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41B40">
      <w:pPr>
        <w:spacing w:line="360" w:lineRule="auto"/>
        <w:ind w:firstLine="1044" w:firstLineChars="200"/>
        <w:rPr>
          <w:rFonts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2466C30D">
      <w:pPr>
        <w:spacing w:line="360" w:lineRule="auto"/>
        <w:ind w:firstLine="3200" w:firstLineChars="10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年度）</w:t>
      </w:r>
    </w:p>
    <w:p w14:paraId="4A9C2446">
      <w:pPr>
        <w:spacing w:line="720" w:lineRule="auto"/>
        <w:rPr>
          <w:rFonts w:ascii="仿宋_GB2312" w:hAnsi="宋体" w:eastAsia="仿宋_GB2312"/>
          <w:sz w:val="32"/>
        </w:rPr>
      </w:pPr>
    </w:p>
    <w:p w14:paraId="41E24096">
      <w:pPr>
        <w:spacing w:line="720" w:lineRule="auto"/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项目名称：档案事业经费</w:t>
      </w:r>
    </w:p>
    <w:p w14:paraId="18DF6A23">
      <w:pPr>
        <w:ind w:firstLine="1449" w:firstLineChars="453"/>
        <w:rPr>
          <w:rFonts w:ascii="仿宋_GB2312" w:hAnsi="宋体" w:eastAsia="仿宋_GB2312"/>
          <w:sz w:val="32"/>
        </w:rPr>
      </w:pPr>
    </w:p>
    <w:p w14:paraId="11FCBB24">
      <w:pPr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项目单位：（公章）仁化县档案馆</w:t>
      </w:r>
    </w:p>
    <w:p w14:paraId="49093256">
      <w:pPr>
        <w:rPr>
          <w:rFonts w:ascii="仿宋_GB2312" w:hAnsi="宋体" w:eastAsia="仿宋_GB2312"/>
          <w:sz w:val="24"/>
        </w:rPr>
      </w:pPr>
      <w:r>
        <w:rPr>
          <w:rFonts w:ascii="仿宋_GB2312" w:hAnsi="宋体" w:eastAsia="仿宋_GB2312"/>
          <w:sz w:val="24"/>
        </w:rPr>
        <w:t>(</w:t>
      </w:r>
      <w:r>
        <w:rPr>
          <w:rFonts w:hint="eastAsia" w:ascii="仿宋_GB2312" w:hAnsi="宋体" w:eastAsia="仿宋_GB2312"/>
          <w:sz w:val="24"/>
        </w:rPr>
        <w:t>一级预算单位</w:t>
      </w:r>
      <w:r>
        <w:rPr>
          <w:rFonts w:ascii="仿宋_GB2312" w:hAnsi="宋体" w:eastAsia="仿宋_GB2312"/>
          <w:sz w:val="24"/>
        </w:rPr>
        <w:t>)</w:t>
      </w:r>
    </w:p>
    <w:p w14:paraId="6A496B9E">
      <w:pPr>
        <w:spacing w:line="720" w:lineRule="auto"/>
        <w:ind w:firstLine="1449" w:firstLineChars="453"/>
        <w:rPr>
          <w:rFonts w:ascii="仿宋_GB2312" w:hAnsi="宋体" w:eastAsia="仿宋_GB2312"/>
          <w:sz w:val="32"/>
        </w:rPr>
      </w:pPr>
    </w:p>
    <w:p w14:paraId="2341B61A">
      <w:pPr>
        <w:spacing w:line="720" w:lineRule="auto"/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填报人姓名：胡永恒</w:t>
      </w:r>
    </w:p>
    <w:p w14:paraId="6D12FE18">
      <w:pPr>
        <w:spacing w:line="720" w:lineRule="auto"/>
        <w:ind w:firstLine="1449" w:firstLineChars="453"/>
        <w:rPr>
          <w:rFonts w:ascii="仿宋_GB2312" w:hAnsi="宋体" w:eastAsia="仿宋_GB2312"/>
          <w:sz w:val="32"/>
        </w:rPr>
      </w:pPr>
    </w:p>
    <w:p w14:paraId="513F0B44">
      <w:pPr>
        <w:spacing w:line="720" w:lineRule="auto"/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ascii="仿宋_GB2312" w:hAnsi="宋体" w:eastAsia="仿宋_GB2312"/>
          <w:sz w:val="32"/>
        </w:rPr>
        <w:t>15917039393</w:t>
      </w:r>
      <w:r>
        <w:rPr>
          <w:rFonts w:ascii="仿宋_GB2312" w:hAnsi="宋体" w:eastAsia="仿宋_GB2312"/>
          <w:sz w:val="32"/>
        </w:rPr>
        <w:tab/>
      </w:r>
      <w:r>
        <w:rPr>
          <w:rFonts w:ascii="仿宋_GB2312" w:hAnsi="宋体" w:eastAsia="仿宋_GB2312"/>
          <w:sz w:val="32"/>
        </w:rPr>
        <w:tab/>
      </w:r>
      <w:r>
        <w:rPr>
          <w:rFonts w:ascii="仿宋_GB2312" w:hAnsi="宋体" w:eastAsia="仿宋_GB2312"/>
          <w:sz w:val="32"/>
        </w:rPr>
        <w:tab/>
      </w:r>
    </w:p>
    <w:p w14:paraId="1749ADB9">
      <w:pPr>
        <w:spacing w:line="720" w:lineRule="auto"/>
        <w:rPr>
          <w:rFonts w:ascii="仿宋_GB2312" w:hAnsi="宋体" w:eastAsia="仿宋_GB2312"/>
          <w:sz w:val="32"/>
        </w:rPr>
      </w:pPr>
    </w:p>
    <w:p w14:paraId="5CD4DC4C">
      <w:pPr>
        <w:spacing w:line="720" w:lineRule="auto"/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ascii="仿宋_GB2312" w:hAnsi="宋体" w:eastAsia="仿宋_GB2312"/>
          <w:sz w:val="32"/>
        </w:rPr>
        <w:t>202</w:t>
      </w:r>
      <w:r>
        <w:rPr>
          <w:rFonts w:hint="eastAsia" w:ascii="仿宋_GB2312" w:hAnsi="宋体" w:eastAsia="仿宋_GB2312"/>
          <w:sz w:val="32"/>
          <w:lang w:val="en-US" w:eastAsia="zh-CN"/>
        </w:rPr>
        <w:t>6</w:t>
      </w:r>
      <w:r>
        <w:rPr>
          <w:rFonts w:hint="eastAsia" w:ascii="仿宋_GB2312" w:hAnsi="宋体" w:eastAsia="仿宋_GB2312"/>
          <w:sz w:val="32"/>
        </w:rPr>
        <w:t>年</w:t>
      </w:r>
      <w:r>
        <w:rPr>
          <w:rFonts w:hint="eastAsia" w:ascii="仿宋_GB2312" w:hAnsi="宋体" w:eastAsia="仿宋_GB2312"/>
          <w:sz w:val="32"/>
          <w:lang w:val="en-US" w:eastAsia="zh-CN"/>
        </w:rPr>
        <w:t>3</w:t>
      </w:r>
      <w:r>
        <w:rPr>
          <w:rFonts w:hint="eastAsia" w:ascii="仿宋_GB2312" w:hAnsi="宋体" w:eastAsia="仿宋_GB2312"/>
          <w:sz w:val="32"/>
        </w:rPr>
        <w:t>月</w:t>
      </w:r>
      <w:r>
        <w:rPr>
          <w:rFonts w:ascii="仿宋_GB2312" w:hAnsi="宋体" w:eastAsia="仿宋_GB2312"/>
          <w:sz w:val="32"/>
        </w:rPr>
        <w:t>4</w:t>
      </w:r>
      <w:r>
        <w:rPr>
          <w:rFonts w:hint="eastAsia" w:ascii="仿宋_GB2312" w:hAnsi="宋体" w:eastAsia="仿宋_GB2312"/>
          <w:sz w:val="32"/>
        </w:rPr>
        <w:t>日</w:t>
      </w:r>
    </w:p>
    <w:p w14:paraId="61E8A1A0">
      <w:pPr>
        <w:ind w:firstLine="1449" w:firstLineChars="453"/>
        <w:rPr>
          <w:rFonts w:ascii="仿宋_GB2312" w:hAnsi="宋体" w:eastAsia="仿宋_GB2312"/>
          <w:sz w:val="32"/>
          <w:u w:val="single"/>
        </w:rPr>
      </w:pPr>
    </w:p>
    <w:p w14:paraId="2FFE1F9B">
      <w:pPr>
        <w:spacing w:line="225" w:lineRule="atLeast"/>
        <w:jc w:val="center"/>
        <w:rPr>
          <w:rFonts w:ascii="楷体_GB2312" w:hAnsi="宋体" w:eastAsia="楷体_GB2312"/>
          <w:sz w:val="32"/>
          <w:szCs w:val="32"/>
        </w:rPr>
      </w:pPr>
    </w:p>
    <w:p w14:paraId="42BC5249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 w14:paraId="50B00190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 w14:paraId="572465DB">
      <w:pPr>
        <w:snapToGrid w:val="0"/>
        <w:spacing w:line="360" w:lineRule="auto"/>
        <w:ind w:firstLine="640" w:firstLineChars="200"/>
        <w:rPr>
          <w:rFonts w:ascii="黑体" w:eastAsia="黑体"/>
          <w:sz w:val="32"/>
          <w:szCs w:val="32"/>
        </w:rPr>
      </w:pPr>
    </w:p>
    <w:p w14:paraId="6ECEC7F8">
      <w:pPr>
        <w:snapToGrid w:val="0"/>
        <w:spacing w:line="360" w:lineRule="auto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55D4324B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仁化县档案馆是县委直属公益一类事业单位，主要职责是贯彻执行党和国家档案事业的方针政策以及法律法规，落实省、市、县档案事业发展规划、计划和相关政策法规。</w:t>
      </w:r>
    </w:p>
    <w:p w14:paraId="5F2A368B">
      <w:pPr>
        <w:spacing w:line="560" w:lineRule="exact"/>
        <w:ind w:firstLine="640"/>
      </w:pPr>
      <w:r>
        <w:rPr>
          <w:rFonts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年度财政项目一个，资金共计</w:t>
      </w:r>
      <w:r>
        <w:rPr>
          <w:rFonts w:ascii="仿宋_GB2312" w:hAnsi="仿宋_GB2312" w:eastAsia="仿宋_GB2312" w:cs="仿宋_GB2312"/>
          <w:sz w:val="32"/>
          <w:szCs w:val="32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万元、由财政全额拨款。主要用于对馆藏档案进行保护、保管、利用，利用档案开展编研、征集、培训，对重点档案进行抢救和保护等。确保档案收集、利用好，服务于广大人民群众。</w:t>
      </w:r>
    </w:p>
    <w:p w14:paraId="78819B3A">
      <w:pPr>
        <w:snapToGrid w:val="0"/>
        <w:spacing w:line="360" w:lineRule="auto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43B0CDC1"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（一）自评结论</w:t>
      </w:r>
    </w:p>
    <w:p w14:paraId="64E916C8"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我单位严格按照财政支出项目要求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做好资金使用。</w:t>
      </w:r>
    </w:p>
    <w:p w14:paraId="7295B0EA"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强化局馆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协同作用。协同指导各单位“三合一”制度的编制，对新成立的社会工作部等单位及时安排全宗号，指导其开展档案管理工作，使档案衔接有序。与县档案局联合印发了《仁化县直机关、团体、企业事业单位档案整理工作指引》，进一步规范细化了档案整理工作的各个环节。</w:t>
      </w:r>
    </w:p>
    <w:p w14:paraId="0973F5BC"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2.注重档案资源体系建设。2025年1月至10月共计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完成24869卷9950件档案的接收，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征集了大革命期间“广东仁化县农民协会会员证章”一枚。完成2024年度重大活动和突发事件档案资料的收集整理，2025年参与县重大会议活动拍摄28场次，拍摄照片2464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00637F88"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提升档案利用服务效能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1月至</w:t>
      </w:r>
      <w:r>
        <w:rPr>
          <w:rFonts w:hint="eastAsia" w:ascii="仿宋_GB2312" w:hAnsi="仿宋_GB2312" w:eastAsia="仿宋_GB2312" w:cs="仿宋_GB2312"/>
          <w:sz w:val="32"/>
          <w:szCs w:val="32"/>
        </w:rPr>
        <w:t>10月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共</w:t>
      </w:r>
      <w:r>
        <w:rPr>
          <w:rFonts w:hint="eastAsia" w:ascii="仿宋_GB2312" w:hAnsi="仿宋_GB2312" w:eastAsia="仿宋_GB2312" w:cs="仿宋_GB2312"/>
          <w:sz w:val="32"/>
          <w:szCs w:val="32"/>
        </w:rPr>
        <w:t>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</w:rPr>
        <w:t>约368人查阅档案，利用档案696卷/件，解决了山林权属纠纷、退休工龄认定等问题，为县委组织部、社保中心等单位工作查考提供了重要依据。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深化馆藏档案的资源开发利用，完成了《仁化古代清廉人物简介》等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篇材料的整理编写。积极开展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馆藏档案开放鉴定工作，今年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共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个全宗单位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2557件</w:t>
      </w:r>
      <w:r>
        <w:rPr>
          <w:rFonts w:hint="eastAsia" w:ascii="仿宋_GB2312" w:hAnsi="仿宋_GB2312" w:eastAsia="仿宋_GB2312" w:cs="仿宋_GB2312"/>
          <w:sz w:val="32"/>
          <w:szCs w:val="32"/>
        </w:rPr>
        <w:t>馆藏档案的开放鉴定工作。</w:t>
      </w:r>
    </w:p>
    <w:p w14:paraId="2F8AD748"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加快档案数字化进程。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2025年1月至10月</w:t>
      </w:r>
      <w:r>
        <w:rPr>
          <w:rFonts w:hint="eastAsia" w:ascii="仿宋_GB2312" w:hAnsi="仿宋_GB2312" w:eastAsia="仿宋_GB2312" w:cs="仿宋_GB2312"/>
          <w:sz w:val="32"/>
          <w:szCs w:val="32"/>
        </w:rPr>
        <w:t>共计完成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馆藏文书档案</w:t>
      </w:r>
      <w:r>
        <w:rPr>
          <w:rFonts w:hint="eastAsia" w:ascii="仿宋_GB2312" w:hAnsi="仿宋_GB2312" w:eastAsia="仿宋_GB2312" w:cs="仿宋_GB2312"/>
          <w:sz w:val="32"/>
          <w:szCs w:val="32"/>
        </w:rPr>
        <w:t>数字化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849</w:t>
      </w:r>
      <w:r>
        <w:rPr>
          <w:rFonts w:hint="eastAsia" w:ascii="仿宋_GB2312" w:hAnsi="仿宋_GB2312" w:eastAsia="仿宋_GB2312" w:cs="仿宋_GB2312"/>
          <w:sz w:val="32"/>
          <w:szCs w:val="32"/>
        </w:rPr>
        <w:t>卷，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8.2万余</w:t>
      </w:r>
      <w:r>
        <w:rPr>
          <w:rFonts w:hint="eastAsia" w:ascii="仿宋_GB2312" w:hAnsi="仿宋_GB2312" w:eastAsia="仿宋_GB2312" w:cs="仿宋_GB2312"/>
          <w:sz w:val="32"/>
          <w:szCs w:val="32"/>
        </w:rPr>
        <w:t>页/幅档案的数字化扫描工作。累计档案数字化8.6万余卷及5.5万余件，合计副本256.3万幅，应数字化档案数字化率达81%。完成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6万余</w:t>
      </w:r>
      <w:r>
        <w:rPr>
          <w:rFonts w:hint="eastAsia" w:ascii="仿宋_GB2312" w:hAnsi="仿宋_GB2312" w:eastAsia="仿宋_GB2312" w:cs="仿宋_GB2312"/>
          <w:sz w:val="32"/>
          <w:szCs w:val="32"/>
        </w:rPr>
        <w:t>条目录数据库与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33万余</w:t>
      </w:r>
      <w:r>
        <w:rPr>
          <w:rFonts w:hint="eastAsia" w:ascii="仿宋_GB2312" w:hAnsi="仿宋_GB2312" w:eastAsia="仿宋_GB2312" w:cs="仿宋_GB2312"/>
          <w:sz w:val="32"/>
          <w:szCs w:val="32"/>
        </w:rPr>
        <w:t>幅数字图像的准确挂接，实现了档案实体与数字资源的有效关联。</w:t>
      </w:r>
    </w:p>
    <w:p w14:paraId="484C8EDE"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5.筑牢档案安全体系。一是实体安全常抓不懈。严格执行库房管理制度，坚持温湿度监测调控、定期通风除尘、每月到库房进行常态化巡查和维护，对发现的设备故障问题迅速抢修。二是信息安全有效保障。</w:t>
      </w:r>
      <w:r>
        <w:rPr>
          <w:rFonts w:hint="eastAsia" w:ascii="仿宋_GB2312" w:hAnsi="仿宋_GB2312" w:eastAsia="仿宋_GB2312" w:cs="仿宋_GB2312"/>
          <w:sz w:val="32"/>
          <w:szCs w:val="32"/>
        </w:rPr>
        <w:t>及时备份系统目录数据及新增档案数据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定期检测移动硬盘、磁盘阵列等备份载体。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加强对数字化加工外包业务的监管，确保档案数据在采集、存储、利用各环节安全可控。</w:t>
      </w:r>
    </w:p>
    <w:p w14:paraId="6C72E2A7">
      <w:pPr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（二）资金使用绩效</w:t>
      </w:r>
    </w:p>
    <w:p w14:paraId="08D12DFE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年档案事业费下达</w:t>
      </w:r>
      <w:r>
        <w:rPr>
          <w:rFonts w:ascii="仿宋_GB2312" w:hAnsi="仿宋_GB2312" w:eastAsia="仿宋_GB2312" w:cs="仿宋_GB2312"/>
          <w:sz w:val="32"/>
          <w:szCs w:val="32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万元，实际使用</w:t>
      </w:r>
      <w:r>
        <w:rPr>
          <w:rFonts w:ascii="仿宋_GB2312" w:hAnsi="仿宋_GB2312" w:eastAsia="仿宋_GB2312" w:cs="仿宋_GB2312"/>
          <w:sz w:val="32"/>
          <w:szCs w:val="32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万元，资金使用率为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B63F1AE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资金完成绩效目标情况。资金到位及时，分配合理，按规定履行调整报批手续，实际支出未超出预算，取得良好的社会效益。</w:t>
      </w:r>
      <w:bookmarkStart w:id="0" w:name="_GoBack"/>
      <w:bookmarkEnd w:id="0"/>
    </w:p>
    <w:p w14:paraId="0EE1A4CB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资金分用途使用绩效。资金主要用于馆藏档案数字化项目，与馆藏档案相关的维护费用开支，如购置档案柜，档案保管设备维护、档案展览设计费用等，有利地保证了馆藏档案的安全与利用实效。</w:t>
      </w:r>
    </w:p>
    <w:p w14:paraId="65363944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（三）资金使用绩效存在的问题。资金使用绩效暂未发现存在问题。</w:t>
      </w:r>
    </w:p>
    <w:p w14:paraId="5ED62526">
      <w:pPr>
        <w:snapToGrid w:val="0"/>
        <w:spacing w:line="360" w:lineRule="auto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759FD48D">
      <w:pPr>
        <w:spacing w:line="560" w:lineRule="exact"/>
        <w:ind w:firstLine="640"/>
      </w:pPr>
      <w:r>
        <w:rPr>
          <w:rFonts w:hint="eastAsia" w:ascii="仿宋_GB2312" w:hAnsi="仿宋_GB2312" w:eastAsia="仿宋_GB2312" w:cs="仿宋_GB2312"/>
          <w:sz w:val="32"/>
          <w:szCs w:val="32"/>
        </w:rPr>
        <w:t>针对资金使用绩效暂无其它意见。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汉仪细圆B5">
    <w:altName w:val="华文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A46AB2">
    <w:pPr>
      <w:pStyle w:val="3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067E25F0"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2D7D8"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lkZTNkZTczYzZjOTIyZWRmOWZhZDI2NDIxYzg2ZWIifQ=="/>
  </w:docVars>
  <w:rsids>
    <w:rsidRoot w:val="0BFE5C14"/>
    <w:rsid w:val="002048AC"/>
    <w:rsid w:val="00301105"/>
    <w:rsid w:val="00610A0C"/>
    <w:rsid w:val="007C0472"/>
    <w:rsid w:val="00986335"/>
    <w:rsid w:val="00A557C0"/>
    <w:rsid w:val="00A87610"/>
    <w:rsid w:val="00D42F55"/>
    <w:rsid w:val="099A00A9"/>
    <w:rsid w:val="0ABF1BFB"/>
    <w:rsid w:val="0BFE5C14"/>
    <w:rsid w:val="1EDE4CF4"/>
    <w:rsid w:val="27327EBB"/>
    <w:rsid w:val="2DE123DA"/>
    <w:rsid w:val="42F145B3"/>
    <w:rsid w:val="57025F93"/>
    <w:rsid w:val="6CFE24A2"/>
    <w:rsid w:val="6FB85168"/>
    <w:rsid w:val="BE5F9F3A"/>
    <w:rsid w:val="EF7B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0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locked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Footer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Header Char"/>
    <w:basedOn w:val="6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4</Pages>
  <Words>251</Words>
  <Characters>1434</Characters>
  <Lines>0</Lines>
  <Paragraphs>0</Paragraphs>
  <TotalTime>3</TotalTime>
  <ScaleCrop>false</ScaleCrop>
  <LinksUpToDate>false</LinksUpToDate>
  <CharactersWithSpaces>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2021-02-26T19:06:00Z</dcterms:created>
  <dc:creator>Administrator</dc:creator>
  <cp:lastModifiedBy>HUAWEI</cp:lastModifiedBy>
  <dcterms:modified xsi:type="dcterms:W3CDTF">2026-03-04T14:42:59Z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F9D5D3FAD1974A0FBF00DB278CCEC2FE</vt:lpwstr>
  </property>
</Properties>
</file>