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041" w:firstLineChars="200"/>
        <w:rPr>
          <w:rFonts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w:t>
      </w:r>
    </w:p>
    <w:p>
      <w:pPr>
        <w:spacing w:line="720" w:lineRule="auto"/>
        <w:rPr>
          <w:rFonts w:ascii="仿宋_GB2312" w:hAnsi="宋体" w:eastAsia="仿宋_GB2312"/>
          <w:sz w:val="32"/>
        </w:rPr>
      </w:pPr>
    </w:p>
    <w:p>
      <w:pPr>
        <w:spacing w:line="720" w:lineRule="auto"/>
        <w:rPr>
          <w:rFonts w:ascii="仿宋_GB2312" w:hAnsi="宋体" w:eastAsia="仿宋_GB2312"/>
          <w:sz w:val="32"/>
        </w:rPr>
      </w:pPr>
      <w:r>
        <w:rPr>
          <w:rFonts w:hint="eastAsia" w:ascii="仿宋_GB2312" w:hAnsi="宋体" w:eastAsia="仿宋_GB2312"/>
          <w:sz w:val="32"/>
        </w:rPr>
        <w:t>项目名称：数字财政等系统运维及线路租赁费用</w:t>
      </w:r>
    </w:p>
    <w:p>
      <w:pPr>
        <w:ind w:firstLine="1449" w:firstLineChars="453"/>
        <w:rPr>
          <w:rFonts w:ascii="仿宋_GB2312" w:hAnsi="宋体" w:eastAsia="仿宋_GB2312"/>
          <w:sz w:val="32"/>
        </w:rPr>
      </w:pPr>
    </w:p>
    <w:p>
      <w:pPr>
        <w:rPr>
          <w:rFonts w:ascii="仿宋_GB2312" w:hAnsi="宋体" w:eastAsia="仿宋_GB2312"/>
          <w:sz w:val="32"/>
        </w:rPr>
      </w:pPr>
      <w:r>
        <w:rPr>
          <w:rFonts w:hint="eastAsia" w:ascii="仿宋_GB2312" w:hAnsi="宋体" w:eastAsia="仿宋_GB2312"/>
          <w:sz w:val="32"/>
        </w:rPr>
        <w:t>项目单位：（公章）仁化县财政局</w:t>
      </w:r>
    </w:p>
    <w:p>
      <w:pPr>
        <w:rPr>
          <w:rFonts w:ascii="仿宋_GB2312" w:hAnsi="宋体" w:eastAsia="仿宋_GB2312"/>
          <w:sz w:val="24"/>
        </w:rPr>
      </w:pPr>
      <w:r>
        <w:rPr>
          <w:rFonts w:hint="eastAsia" w:ascii="仿宋_GB2312" w:hAnsi="宋体" w:eastAsia="仿宋_GB2312"/>
          <w:sz w:val="24"/>
        </w:rPr>
        <w:t>(一级预算单位)</w:t>
      </w:r>
    </w:p>
    <w:p>
      <w:pPr>
        <w:spacing w:line="720" w:lineRule="auto"/>
        <w:ind w:firstLine="1449" w:firstLineChars="453"/>
        <w:rPr>
          <w:rFonts w:ascii="仿宋_GB2312" w:hAnsi="宋体" w:eastAsia="仿宋_GB2312"/>
          <w:sz w:val="32"/>
        </w:rPr>
      </w:pPr>
    </w:p>
    <w:p>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王幼芝</w:t>
      </w:r>
    </w:p>
    <w:p>
      <w:pPr>
        <w:spacing w:line="720" w:lineRule="auto"/>
        <w:rPr>
          <w:rFonts w:hint="eastAsia" w:ascii="仿宋_GB2312" w:hAnsi="宋体" w:eastAsia="仿宋_GB2312"/>
          <w:sz w:val="32"/>
          <w:lang w:eastAsia="zh-CN"/>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6357051</w:t>
      </w:r>
    </w:p>
    <w:p>
      <w:pPr>
        <w:spacing w:line="720" w:lineRule="auto"/>
        <w:rPr>
          <w:rFonts w:hint="default" w:ascii="仿宋_GB2312" w:hAnsi="宋体" w:eastAsia="仿宋_GB2312"/>
          <w:sz w:val="32"/>
          <w:lang w:val="en-US" w:eastAsia="zh-CN"/>
        </w:rPr>
      </w:pPr>
    </w:p>
    <w:p>
      <w:pPr>
        <w:spacing w:line="720" w:lineRule="auto"/>
        <w:rPr>
          <w:rFonts w:ascii="仿宋_GB2312" w:hAnsi="宋体" w:eastAsia="仿宋_GB2312"/>
          <w:sz w:val="32"/>
        </w:rPr>
      </w:pPr>
      <w:r>
        <w:rPr>
          <w:rFonts w:hint="eastAsia" w:ascii="仿宋_GB2312" w:hAnsi="宋体" w:eastAsia="仿宋_GB2312"/>
          <w:sz w:val="32"/>
        </w:rPr>
        <w:t>填报日期：2026年3月</w:t>
      </w:r>
      <w:r>
        <w:rPr>
          <w:rFonts w:hint="eastAsia" w:ascii="仿宋_GB2312" w:hAnsi="宋体" w:eastAsia="仿宋_GB2312"/>
          <w:sz w:val="32"/>
          <w:lang w:val="en-US" w:eastAsia="zh-CN"/>
        </w:rPr>
        <w:t>18</w:t>
      </w:r>
      <w:r>
        <w:rPr>
          <w:rFonts w:hint="eastAsia" w:ascii="仿宋_GB2312" w:hAnsi="宋体" w:eastAsia="仿宋_GB2312"/>
          <w:sz w:val="32"/>
        </w:rPr>
        <w:t>日</w:t>
      </w:r>
    </w:p>
    <w:p>
      <w:pPr>
        <w:ind w:firstLine="1449" w:firstLineChars="453"/>
        <w:rPr>
          <w:rFonts w:ascii="仿宋_GB2312" w:hAnsi="宋体" w:eastAsia="仿宋_GB2312"/>
          <w:sz w:val="32"/>
          <w:u w:val="single"/>
        </w:rPr>
      </w:pPr>
    </w:p>
    <w:p>
      <w:pPr>
        <w:spacing w:line="225" w:lineRule="atLeast"/>
        <w:jc w:val="center"/>
        <w:rPr>
          <w:rFonts w:ascii="楷体_GB2312" w:hAnsi="宋体" w:eastAsia="楷体_GB2312"/>
          <w:sz w:val="32"/>
          <w:szCs w:val="32"/>
        </w:rPr>
      </w:pPr>
    </w:p>
    <w:p>
      <w:pPr>
        <w:spacing w:line="360" w:lineRule="auto"/>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napToGrid w:val="0"/>
        <w:spacing w:line="360" w:lineRule="auto"/>
        <w:rPr>
          <w:rFonts w:ascii="黑体" w:eastAsia="黑体"/>
          <w:sz w:val="32"/>
          <w:szCs w:val="32"/>
        </w:rPr>
      </w:pPr>
    </w:p>
    <w:p>
      <w:pPr>
        <w:snapToGrid w:val="0"/>
        <w:spacing w:line="360" w:lineRule="auto"/>
        <w:ind w:firstLine="640" w:firstLineChars="200"/>
        <w:rPr>
          <w:rFonts w:ascii="黑体" w:eastAsia="黑体"/>
          <w:sz w:val="32"/>
          <w:szCs w:val="32"/>
        </w:rPr>
      </w:pPr>
      <w:r>
        <w:rPr>
          <w:rFonts w:hint="eastAsia" w:ascii="黑体" w:eastAsia="黑体"/>
          <w:sz w:val="32"/>
          <w:szCs w:val="32"/>
        </w:rPr>
        <w:t>一、基本情况</w:t>
      </w:r>
    </w:p>
    <w:p>
      <w:pPr>
        <w:spacing w:line="720" w:lineRule="auto"/>
        <w:ind w:firstLine="320" w:firstLineChars="100"/>
        <w:rPr>
          <w:rFonts w:hint="eastAsia" w:ascii="仿宋_GB2312" w:hAnsi="宋体" w:eastAsia="仿宋_GB2312"/>
          <w:sz w:val="32"/>
          <w:lang w:eastAsia="zh-CN"/>
        </w:rPr>
      </w:pPr>
      <w:r>
        <w:rPr>
          <w:rFonts w:hint="eastAsia" w:ascii="仿宋_GB2312" w:eastAsia="仿宋_GB2312"/>
          <w:sz w:val="32"/>
          <w:szCs w:val="32"/>
        </w:rPr>
        <w:t>2025年度，根据财政信息化建设要求安排</w:t>
      </w:r>
      <w:r>
        <w:rPr>
          <w:rFonts w:hint="eastAsia" w:ascii="仿宋_GB2312" w:hAnsi="宋体" w:eastAsia="仿宋_GB2312"/>
          <w:sz w:val="32"/>
        </w:rPr>
        <w:t>数字财政等系统运维及线路租赁费用</w:t>
      </w:r>
      <w:r>
        <w:rPr>
          <w:rFonts w:hint="eastAsia" w:ascii="仿宋_GB2312" w:hAnsi="宋体" w:eastAsia="仿宋_GB2312"/>
          <w:sz w:val="32"/>
          <w:lang w:val="en-US" w:eastAsia="zh-CN"/>
        </w:rPr>
        <w:t>114.47</w:t>
      </w:r>
      <w:r>
        <w:rPr>
          <w:rFonts w:hint="eastAsia" w:ascii="仿宋_GB2312" w:hAnsi="宋体" w:eastAsia="仿宋_GB2312"/>
          <w:sz w:val="32"/>
        </w:rPr>
        <w:t>万元，保障数字财政</w:t>
      </w:r>
      <w:r>
        <w:rPr>
          <w:rFonts w:hint="eastAsia" w:ascii="仿宋_GB2312" w:hAnsi="宋体" w:eastAsia="仿宋_GB2312"/>
          <w:sz w:val="32"/>
          <w:lang w:eastAsia="zh-CN"/>
        </w:rPr>
        <w:t>等</w:t>
      </w:r>
      <w:r>
        <w:rPr>
          <w:rFonts w:hint="eastAsia" w:ascii="仿宋_GB2312" w:hAnsi="宋体" w:eastAsia="仿宋_GB2312"/>
          <w:sz w:val="32"/>
        </w:rPr>
        <w:t>系统正常</w:t>
      </w:r>
      <w:r>
        <w:rPr>
          <w:rFonts w:hint="eastAsia" w:ascii="仿宋_GB2312" w:hAnsi="宋体" w:eastAsia="仿宋_GB2312"/>
          <w:sz w:val="32"/>
          <w:lang w:eastAsia="zh-CN"/>
        </w:rPr>
        <w:t>运行。</w:t>
      </w:r>
    </w:p>
    <w:p>
      <w:pPr>
        <w:snapToGrid w:val="0"/>
        <w:spacing w:line="360" w:lineRule="auto"/>
        <w:ind w:firstLine="640" w:firstLineChars="200"/>
        <w:rPr>
          <w:rFonts w:ascii="黑体" w:eastAsia="黑体"/>
          <w:sz w:val="32"/>
          <w:szCs w:val="32"/>
        </w:rPr>
      </w:pPr>
      <w:r>
        <w:rPr>
          <w:rFonts w:hint="eastAsia" w:ascii="黑体" w:eastAsia="黑体"/>
          <w:sz w:val="32"/>
          <w:szCs w:val="32"/>
        </w:rPr>
        <w:t>二、自评情况</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（一）自评分数</w:t>
      </w:r>
    </w:p>
    <w:p>
      <w:pPr>
        <w:snapToGrid w:val="0"/>
        <w:spacing w:line="360" w:lineRule="auto"/>
        <w:ind w:firstLine="640" w:firstLineChars="200"/>
        <w:rPr>
          <w:rFonts w:ascii="仿宋_GB2312" w:eastAsia="仿宋_GB2312"/>
          <w:sz w:val="32"/>
          <w:szCs w:val="32"/>
        </w:rPr>
      </w:pPr>
      <w:r>
        <w:rPr>
          <w:rFonts w:hint="eastAsia" w:ascii="仿宋_GB2312" w:hAnsi="仿宋_GB2312" w:eastAsia="仿宋_GB2312" w:cs="仿宋_GB2312"/>
          <w:sz w:val="32"/>
          <w:szCs w:val="32"/>
        </w:rPr>
        <w:t>按照县级项目支出绩效自评表，本项目绩效自评得分为</w:t>
      </w:r>
      <w:r>
        <w:rPr>
          <w:rFonts w:hint="eastAsia" w:ascii="仿宋_GB2312" w:hAnsi="仿宋_GB2312" w:eastAsia="仿宋_GB2312" w:cs="仿宋_GB2312"/>
          <w:sz w:val="32"/>
          <w:szCs w:val="32"/>
          <w:lang w:val="en-US" w:eastAsia="zh-CN"/>
        </w:rPr>
        <w:t>94.82</w:t>
      </w:r>
      <w:r>
        <w:rPr>
          <w:rFonts w:hint="eastAsia" w:ascii="仿宋_GB2312" w:hAnsi="仿宋_GB2312" w:eastAsia="仿宋_GB2312" w:cs="仿宋_GB2312"/>
          <w:sz w:val="32"/>
          <w:szCs w:val="32"/>
        </w:rPr>
        <w:t>分。</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（二）资金使用绩效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 xml:space="preserve">  1.资金支出情况。</w:t>
      </w:r>
    </w:p>
    <w:p>
      <w:pPr>
        <w:snapToGrid w:val="0"/>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2025年度安排</w:t>
      </w:r>
      <w:r>
        <w:rPr>
          <w:rFonts w:hint="eastAsia" w:ascii="仿宋_GB2312" w:hAnsi="仿宋_GB2312" w:eastAsia="仿宋_GB2312" w:cs="仿宋_GB2312"/>
          <w:sz w:val="32"/>
          <w:szCs w:val="32"/>
          <w:lang w:eastAsia="zh-CN"/>
        </w:rPr>
        <w:t>年初</w:t>
      </w:r>
      <w:r>
        <w:rPr>
          <w:rFonts w:hint="eastAsia" w:ascii="仿宋_GB2312" w:hAnsi="仿宋_GB2312" w:eastAsia="仿宋_GB2312" w:cs="仿宋_GB2312"/>
          <w:sz w:val="32"/>
          <w:szCs w:val="32"/>
        </w:rPr>
        <w:t>预算资金</w:t>
      </w:r>
      <w:r>
        <w:rPr>
          <w:rFonts w:hint="eastAsia" w:ascii="仿宋_GB2312" w:hAnsi="宋体" w:eastAsia="仿宋_GB2312"/>
          <w:sz w:val="32"/>
          <w:lang w:val="en-US" w:eastAsia="zh-CN"/>
        </w:rPr>
        <w:t>114.47</w:t>
      </w:r>
      <w:r>
        <w:rPr>
          <w:rFonts w:hint="eastAsia" w:ascii="仿宋_GB2312" w:hAnsi="宋体" w:eastAsia="仿宋_GB2312"/>
          <w:sz w:val="32"/>
        </w:rPr>
        <w:t>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全年</w:t>
      </w:r>
      <w:r>
        <w:rPr>
          <w:rFonts w:hint="eastAsia" w:ascii="仿宋_GB2312" w:hAnsi="仿宋_GB2312" w:eastAsia="仿宋_GB2312" w:cs="仿宋_GB2312"/>
          <w:sz w:val="32"/>
          <w:szCs w:val="32"/>
        </w:rPr>
        <w:t>预算资金</w:t>
      </w:r>
      <w:r>
        <w:rPr>
          <w:rFonts w:hint="eastAsia" w:ascii="仿宋_GB2312" w:hAnsi="宋体" w:eastAsia="仿宋_GB2312"/>
          <w:sz w:val="32"/>
          <w:lang w:val="en-US" w:eastAsia="zh-CN"/>
        </w:rPr>
        <w:t>114.47</w:t>
      </w:r>
      <w:r>
        <w:rPr>
          <w:rFonts w:hint="eastAsia" w:ascii="仿宋_GB2312" w:hAnsi="宋体" w:eastAsia="仿宋_GB2312"/>
          <w:sz w:val="32"/>
        </w:rPr>
        <w:t>万</w:t>
      </w:r>
      <w:r>
        <w:rPr>
          <w:rFonts w:hint="eastAsia" w:ascii="仿宋_GB2312" w:hAnsi="仿宋_GB2312" w:eastAsia="仿宋_GB2312" w:cs="仿宋_GB2312"/>
          <w:sz w:val="32"/>
          <w:szCs w:val="32"/>
        </w:rPr>
        <w:t>元，实际支出</w:t>
      </w:r>
      <w:r>
        <w:rPr>
          <w:rFonts w:hint="eastAsia" w:ascii="仿宋_GB2312" w:hAnsi="仿宋_GB2312" w:eastAsia="仿宋_GB2312" w:cs="仿宋_GB2312"/>
          <w:sz w:val="32"/>
          <w:szCs w:val="32"/>
          <w:lang w:val="en-US" w:eastAsia="zh-CN"/>
        </w:rPr>
        <w:t>100.97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 xml:space="preserve">  2.资金完成绩效目标情况。</w:t>
      </w:r>
    </w:p>
    <w:p>
      <w:pPr>
        <w:snapToGrid w:val="0"/>
        <w:spacing w:line="360" w:lineRule="auto"/>
        <w:ind w:firstLine="640" w:firstLineChars="200"/>
        <w:rPr>
          <w:rFonts w:hint="eastAsia" w:ascii="仿宋_GB2312" w:hAnsi="宋体" w:eastAsia="仿宋_GB2312"/>
          <w:sz w:val="32"/>
        </w:rPr>
      </w:pPr>
      <w:r>
        <w:rPr>
          <w:rFonts w:hint="eastAsia" w:ascii="仿宋_GB2312" w:hAnsi="宋体" w:eastAsia="仿宋_GB2312"/>
          <w:sz w:val="32"/>
          <w:lang w:eastAsia="zh-CN"/>
        </w:rPr>
        <w:t>完成了对应绩效目标，例如</w:t>
      </w:r>
      <w:r>
        <w:rPr>
          <w:rFonts w:hint="eastAsia" w:ascii="仿宋_GB2312" w:hAnsi="宋体" w:eastAsia="仿宋_GB2312"/>
          <w:sz w:val="32"/>
        </w:rPr>
        <w:t>数字财政系统全县145家预算单位都在使用，单位反应的系统问题都能在2小时内解决，为全县财政资金的正常支付提供了有力保障。</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  3.资金分用途使用绩效</w:t>
      </w:r>
      <w:r>
        <w:rPr>
          <w:rFonts w:hint="eastAsia" w:ascii="仿宋_GB2312" w:eastAsia="仿宋_GB2312"/>
          <w:sz w:val="32"/>
          <w:szCs w:val="32"/>
          <w:lang w:eastAsia="zh-CN"/>
        </w:rPr>
        <w:t>。</w:t>
      </w:r>
    </w:p>
    <w:p>
      <w:pPr>
        <w:numPr>
          <w:ilvl w:val="0"/>
          <w:numId w:val="0"/>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本次评价期间为</w:t>
      </w:r>
      <w:r>
        <w:rPr>
          <w:rFonts w:hint="eastAsia" w:ascii="仿宋_GB2312" w:eastAsia="仿宋_GB2312"/>
          <w:sz w:val="32"/>
          <w:szCs w:val="32"/>
          <w:lang w:val="en-US" w:eastAsia="zh-CN"/>
        </w:rPr>
        <w:t>2025年1月1日至2025年12月31日，年初制定的绩效目标整体完成较好。</w:t>
      </w:r>
    </w:p>
    <w:p>
      <w:pPr>
        <w:numPr>
          <w:ilvl w:val="0"/>
          <w:numId w:val="1"/>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数量指标得分率为100%：2025年,使用数字财政、广东政府采购智慧云平台等系统预算单位数、政银直联支付接口户数都完成了年度指标值。</w:t>
      </w:r>
    </w:p>
    <w:p>
      <w:pPr>
        <w:numPr>
          <w:ilvl w:val="0"/>
          <w:numId w:val="1"/>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质量指标得分率100%：保障预算绩效管理信息化应用、部门决算和政府国有财务报告系统、资产数字化管理平台和非税收入管理系统一体化平台及票据管理系统的运行稳定。</w:t>
      </w:r>
    </w:p>
    <w:p>
      <w:pPr>
        <w:numPr>
          <w:ilvl w:val="0"/>
          <w:numId w:val="1"/>
        </w:numPr>
        <w:snapToGrid w:val="0"/>
        <w:spacing w:beforeLines="0" w:afterLines="0" w:line="360" w:lineRule="auto"/>
        <w:ind w:firstLine="640" w:firstLineChars="200"/>
        <w:rPr>
          <w:rFonts w:hint="eastAsia" w:ascii="仿宋_GB2312" w:hAnsi="宋体" w:eastAsia="仿宋_GB2312"/>
          <w:sz w:val="32"/>
          <w:lang w:eastAsia="zh-CN"/>
        </w:rPr>
      </w:pPr>
      <w:r>
        <w:rPr>
          <w:rFonts w:hint="eastAsia" w:ascii="仿宋_GB2312" w:eastAsia="仿宋_GB2312"/>
          <w:sz w:val="32"/>
          <w:szCs w:val="32"/>
          <w:lang w:val="en-US" w:eastAsia="zh-CN"/>
        </w:rPr>
        <w:t>时效指标得分率100%：在数字财政等系统运行中解决系统故障修复响应小于2小时，提高工资发放效率、促使我县财政业务正常开展，进一步推动我县财政数字化建设。</w:t>
      </w:r>
    </w:p>
    <w:p>
      <w:pPr>
        <w:numPr>
          <w:ilvl w:val="0"/>
          <w:numId w:val="1"/>
        </w:numPr>
        <w:snapToGrid w:val="0"/>
        <w:spacing w:beforeLines="0" w:afterLines="0" w:line="360" w:lineRule="auto"/>
        <w:ind w:firstLine="640" w:firstLineChars="200"/>
        <w:rPr>
          <w:rFonts w:hint="eastAsia" w:ascii="仿宋_GB2312" w:hAnsi="宋体" w:eastAsia="仿宋_GB2312"/>
          <w:sz w:val="32"/>
          <w:lang w:eastAsia="zh-CN"/>
        </w:rPr>
      </w:pPr>
      <w:r>
        <w:rPr>
          <w:rFonts w:hint="eastAsia" w:ascii="仿宋_GB2312" w:eastAsia="仿宋_GB2312"/>
          <w:sz w:val="32"/>
          <w:szCs w:val="32"/>
          <w:lang w:val="en-US" w:eastAsia="zh-CN"/>
        </w:rPr>
        <w:t>社会效益指标得分率86.67%：实现了软件完全自主可控，提升农村财务监督力度、国有资产数字化建设水平。</w:t>
      </w:r>
    </w:p>
    <w:p>
      <w:pPr>
        <w:numPr>
          <w:ilvl w:val="0"/>
          <w:numId w:val="2"/>
        </w:numPr>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ascii="仿宋_GB2312" w:eastAsia="仿宋_GB2312"/>
          <w:sz w:val="32"/>
          <w:szCs w:val="32"/>
        </w:rPr>
      </w:pPr>
      <w:r>
        <w:rPr>
          <w:rFonts w:hint="eastAsia" w:ascii="仿宋_GB2312" w:eastAsia="仿宋_GB2312"/>
          <w:sz w:val="32"/>
          <w:szCs w:val="32"/>
          <w:lang w:eastAsia="zh-CN"/>
        </w:rPr>
        <w:t>无。</w:t>
      </w:r>
    </w:p>
    <w:p>
      <w:pPr>
        <w:snapToGrid w:val="0"/>
        <w:spacing w:line="360" w:lineRule="auto"/>
        <w:ind w:firstLine="640" w:firstLineChars="200"/>
        <w:rPr>
          <w:rFonts w:ascii="黑体" w:eastAsia="黑体"/>
          <w:sz w:val="32"/>
          <w:szCs w:val="32"/>
        </w:rPr>
      </w:pPr>
      <w:r>
        <w:rPr>
          <w:rFonts w:hint="eastAsia" w:ascii="黑体" w:eastAsia="黑体"/>
          <w:sz w:val="32"/>
          <w:szCs w:val="32"/>
        </w:rPr>
        <w:t>三、改进意见</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无。</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6FFADB"/>
    <w:multiLevelType w:val="singleLevel"/>
    <w:tmpl w:val="D76FFADB"/>
    <w:lvl w:ilvl="0" w:tentative="0">
      <w:start w:val="3"/>
      <w:numFmt w:val="chineseCounting"/>
      <w:suff w:val="nothing"/>
      <w:lvlText w:val="（%1）"/>
      <w:lvlJc w:val="left"/>
      <w:rPr>
        <w:rFonts w:hint="eastAsia"/>
      </w:rPr>
    </w:lvl>
  </w:abstractNum>
  <w:abstractNum w:abstractNumId="1">
    <w:nsid w:val="74FD2F5C"/>
    <w:multiLevelType w:val="singleLevel"/>
    <w:tmpl w:val="74FD2F5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lkZTNkZTczYzZjOTIyZWRmOWZhZDI2NDIxYzg2ZWIifQ=="/>
  </w:docVars>
  <w:rsids>
    <w:rsidRoot w:val="0BFE5C14"/>
    <w:rsid w:val="00467FCD"/>
    <w:rsid w:val="006C5B6C"/>
    <w:rsid w:val="00736922"/>
    <w:rsid w:val="007A1173"/>
    <w:rsid w:val="009B0D3B"/>
    <w:rsid w:val="00AD0D69"/>
    <w:rsid w:val="00AF775D"/>
    <w:rsid w:val="00B51B2F"/>
    <w:rsid w:val="00BD119F"/>
    <w:rsid w:val="00E0409B"/>
    <w:rsid w:val="0237460F"/>
    <w:rsid w:val="099A00A9"/>
    <w:rsid w:val="0ABF1BFB"/>
    <w:rsid w:val="0BFE5C14"/>
    <w:rsid w:val="171BBD51"/>
    <w:rsid w:val="1EDE4CF4"/>
    <w:rsid w:val="27327EBB"/>
    <w:rsid w:val="2DE123DA"/>
    <w:rsid w:val="42F145B3"/>
    <w:rsid w:val="6CFE24A2"/>
    <w:rsid w:val="EFE7F2B4"/>
    <w:rsid w:val="EFEF68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65</Words>
  <Characters>374</Characters>
  <Lines>3</Lines>
  <Paragraphs>1</Paragraphs>
  <TotalTime>7</TotalTime>
  <ScaleCrop>false</ScaleCrop>
  <LinksUpToDate>false</LinksUpToDate>
  <CharactersWithSpaces>438</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2021-02-26T11:06:00Z</dcterms:created>
  <dc:creator>Administrator</dc:creator>
  <cp:lastModifiedBy>Administrator</cp:lastModifiedBy>
  <dcterms:modified xsi:type="dcterms:W3CDTF">2026-03-18T03:47:52Z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ribbonExt">
    <vt:lpwstr>{"WPSExtOfficeTab":{"OnGetEnabled":false,"OnGetVisible":false}}</vt:lpwstr>
  </property>
  <property fmtid="{D5CDD505-2E9C-101B-9397-08002B2CF9AE}" pid="4" name="ICV">
    <vt:lpwstr>F9D5D3FAD1974A0FBF00DB278CCEC2FE</vt:lpwstr>
  </property>
</Properties>
</file>