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D5495">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4E6C6158">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2FA0A5EA">
      <w:pPr>
        <w:spacing w:line="720" w:lineRule="auto"/>
        <w:rPr>
          <w:rFonts w:hint="eastAsia" w:ascii="仿宋_GB2312" w:hAnsi="宋体" w:eastAsia="仿宋_GB2312"/>
          <w:sz w:val="32"/>
        </w:rPr>
      </w:pPr>
    </w:p>
    <w:p w14:paraId="7F86D604">
      <w:pPr>
        <w:spacing w:line="720" w:lineRule="auto"/>
        <w:rPr>
          <w:rFonts w:hint="eastAsia" w:ascii="仿宋_GB2312" w:hAnsi="宋体" w:eastAsia="仿宋_GB2312"/>
          <w:sz w:val="32"/>
        </w:rPr>
      </w:pPr>
      <w:r>
        <w:rPr>
          <w:rFonts w:hint="eastAsia" w:ascii="仿宋_GB2312" w:hAnsi="宋体" w:eastAsia="仿宋_GB2312"/>
          <w:sz w:val="32"/>
        </w:rPr>
        <w:t>项目名称：森林防灭火经费</w:t>
      </w:r>
    </w:p>
    <w:p w14:paraId="48550E35">
      <w:pPr>
        <w:spacing w:line="240" w:lineRule="auto"/>
        <w:ind w:firstLine="1449" w:firstLineChars="453"/>
        <w:rPr>
          <w:rFonts w:hint="eastAsia" w:ascii="仿宋_GB2312" w:hAnsi="宋体" w:eastAsia="仿宋_GB2312"/>
          <w:sz w:val="32"/>
        </w:rPr>
      </w:pPr>
    </w:p>
    <w:p w14:paraId="2D27A96A">
      <w:pPr>
        <w:spacing w:line="240" w:lineRule="auto"/>
        <w:rPr>
          <w:rFonts w:hint="eastAsia" w:ascii="仿宋_GB2312" w:hAnsi="宋体" w:eastAsia="仿宋_GB2312"/>
          <w:sz w:val="32"/>
        </w:rPr>
      </w:pPr>
      <w:r>
        <w:rPr>
          <w:rFonts w:hint="eastAsia" w:ascii="仿宋_GB2312" w:hAnsi="宋体" w:eastAsia="仿宋_GB2312"/>
          <w:sz w:val="32"/>
        </w:rPr>
        <w:t>项目单位：</w:t>
      </w:r>
      <w:r>
        <w:rPr>
          <w:rFonts w:hint="eastAsia" w:ascii="仿宋_GB2312" w:hAnsi="宋体" w:eastAsia="仿宋_GB2312"/>
          <w:sz w:val="32"/>
          <w:lang w:val="en-US" w:eastAsia="zh-CN"/>
        </w:rPr>
        <w:t>仁化县应急管理局</w:t>
      </w:r>
      <w:r>
        <w:rPr>
          <w:rFonts w:hint="eastAsia" w:ascii="仿宋_GB2312" w:hAnsi="宋体" w:eastAsia="仿宋_GB2312"/>
          <w:sz w:val="32"/>
        </w:rPr>
        <w:t>（公章）</w:t>
      </w:r>
    </w:p>
    <w:p w14:paraId="53FC6A5D">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18720DFB">
      <w:pPr>
        <w:spacing w:line="720" w:lineRule="auto"/>
        <w:ind w:firstLine="1449" w:firstLineChars="453"/>
        <w:rPr>
          <w:rFonts w:hint="eastAsia" w:ascii="仿宋_GB2312" w:hAnsi="宋体" w:eastAsia="仿宋_GB2312"/>
          <w:sz w:val="32"/>
        </w:rPr>
      </w:pPr>
    </w:p>
    <w:p w14:paraId="0B89640E">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张萍</w:t>
      </w:r>
    </w:p>
    <w:p w14:paraId="3FFD06E2">
      <w:pPr>
        <w:spacing w:line="720" w:lineRule="auto"/>
        <w:ind w:firstLine="1449" w:firstLineChars="453"/>
        <w:rPr>
          <w:rFonts w:hint="eastAsia" w:ascii="仿宋_GB2312" w:hAnsi="宋体" w:eastAsia="仿宋_GB2312"/>
          <w:sz w:val="32"/>
        </w:rPr>
      </w:pPr>
    </w:p>
    <w:p w14:paraId="61AC7C65">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6391878</w:t>
      </w:r>
    </w:p>
    <w:p w14:paraId="4A7B9D7C">
      <w:pPr>
        <w:spacing w:line="720" w:lineRule="auto"/>
        <w:rPr>
          <w:rFonts w:hint="eastAsia" w:ascii="仿宋_GB2312" w:hAnsi="宋体" w:eastAsia="仿宋_GB2312"/>
          <w:sz w:val="32"/>
        </w:rPr>
      </w:pPr>
    </w:p>
    <w:p w14:paraId="39E88DE5">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2026年3月18日</w:t>
      </w:r>
    </w:p>
    <w:p w14:paraId="15C07BA6">
      <w:pPr>
        <w:spacing w:line="240" w:lineRule="auto"/>
        <w:ind w:firstLine="1449" w:firstLineChars="453"/>
        <w:rPr>
          <w:rFonts w:hint="eastAsia" w:ascii="仿宋_GB2312" w:hAnsi="宋体" w:eastAsia="仿宋_GB2312"/>
          <w:sz w:val="32"/>
          <w:u w:val="single"/>
        </w:rPr>
      </w:pPr>
    </w:p>
    <w:p w14:paraId="4509248F">
      <w:pPr>
        <w:spacing w:line="225" w:lineRule="atLeast"/>
        <w:jc w:val="center"/>
        <w:rPr>
          <w:rFonts w:hint="eastAsia" w:ascii="楷体_GB2312" w:hAnsi="宋体" w:eastAsia="楷体_GB2312"/>
          <w:sz w:val="32"/>
          <w:szCs w:val="32"/>
        </w:rPr>
      </w:pPr>
    </w:p>
    <w:p w14:paraId="4AEACEF5">
      <w:pPr>
        <w:spacing w:line="360" w:lineRule="auto"/>
        <w:jc w:val="both"/>
        <w:rPr>
          <w:rFonts w:hint="eastAsia" w:ascii="仿宋_GB2312" w:hAnsi="仿宋_GB2312" w:eastAsia="仿宋_GB2312" w:cs="仿宋_GB2312"/>
          <w:sz w:val="32"/>
          <w:szCs w:val="32"/>
          <w:lang w:eastAsia="zh-CN"/>
        </w:rPr>
      </w:pPr>
    </w:p>
    <w:p w14:paraId="62446CD6">
      <w:pPr>
        <w:spacing w:line="360" w:lineRule="auto"/>
        <w:jc w:val="both"/>
        <w:rPr>
          <w:rFonts w:hint="eastAsia" w:ascii="仿宋_GB2312" w:hAnsi="仿宋_GB2312" w:eastAsia="仿宋_GB2312" w:cs="仿宋_GB2312"/>
          <w:sz w:val="32"/>
          <w:szCs w:val="32"/>
          <w:lang w:eastAsia="zh-CN"/>
        </w:rPr>
      </w:pPr>
    </w:p>
    <w:p w14:paraId="63CCCC58">
      <w:pPr>
        <w:snapToGrid w:val="0"/>
        <w:spacing w:beforeLines="0" w:afterLines="0" w:line="360" w:lineRule="auto"/>
        <w:ind w:firstLine="640" w:firstLineChars="200"/>
        <w:rPr>
          <w:rFonts w:hint="eastAsia" w:ascii="黑体" w:eastAsia="黑体"/>
          <w:sz w:val="32"/>
          <w:szCs w:val="32"/>
        </w:rPr>
      </w:pPr>
    </w:p>
    <w:p w14:paraId="113983CE">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022A3C27">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w:t>
      </w:r>
      <w:r>
        <w:rPr>
          <w:rFonts w:hint="eastAsia" w:ascii="仿宋_GB2312" w:eastAsia="仿宋_GB2312"/>
          <w:sz w:val="32"/>
          <w:szCs w:val="32"/>
        </w:rPr>
        <w:t>一）资金额度</w:t>
      </w:r>
    </w:p>
    <w:p w14:paraId="2196B75F">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本评价年度，森林防灭火经费财政项目批复预算资金总额为</w:t>
      </w:r>
      <w:r>
        <w:rPr>
          <w:rFonts w:hint="eastAsia" w:ascii="仿宋_GB2312" w:eastAsia="仿宋_GB2312"/>
          <w:sz w:val="32"/>
          <w:szCs w:val="32"/>
          <w:lang w:val="en-US" w:eastAsia="zh-CN"/>
        </w:rPr>
        <w:t>105.13</w:t>
      </w:r>
      <w:r>
        <w:rPr>
          <w:rFonts w:hint="eastAsia" w:ascii="仿宋_GB2312" w:eastAsia="仿宋_GB2312"/>
          <w:sz w:val="32"/>
          <w:szCs w:val="32"/>
        </w:rPr>
        <w:t>万元。财政实际下达资金</w:t>
      </w:r>
      <w:r>
        <w:rPr>
          <w:rFonts w:hint="eastAsia" w:ascii="仿宋_GB2312" w:eastAsia="仿宋_GB2312"/>
          <w:sz w:val="32"/>
          <w:szCs w:val="32"/>
          <w:lang w:val="en-US" w:eastAsia="zh-CN"/>
        </w:rPr>
        <w:t>105.13</w:t>
      </w:r>
      <w:r>
        <w:rPr>
          <w:rFonts w:hint="eastAsia" w:ascii="仿宋_GB2312" w:eastAsia="仿宋_GB2312"/>
          <w:sz w:val="32"/>
          <w:szCs w:val="32"/>
        </w:rPr>
        <w:t>万元，资金到位率100%。</w:t>
      </w:r>
    </w:p>
    <w:p w14:paraId="061527F4">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（二）资金分配方式</w:t>
      </w:r>
    </w:p>
    <w:p w14:paraId="39EF66B1">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资金分配遵循“按编核定、据实保障”的原则。依据森林消防队伍人员工资待遇的相关政策标准，结合队伍实际在岗人数、职级构成、社会保险缴纳基数及公积金缴存比例进行测算</w:t>
      </w:r>
      <w:r>
        <w:rPr>
          <w:rFonts w:hint="eastAsia" w:ascii="仿宋_GB2312" w:eastAsia="仿宋_GB2312"/>
          <w:sz w:val="32"/>
          <w:szCs w:val="32"/>
          <w:lang w:eastAsia="zh-CN"/>
        </w:rPr>
        <w:t>，</w:t>
      </w:r>
      <w:r>
        <w:rPr>
          <w:rFonts w:hint="eastAsia" w:ascii="仿宋_GB2312" w:eastAsia="仿宋_GB2312"/>
          <w:sz w:val="32"/>
          <w:szCs w:val="32"/>
        </w:rPr>
        <w:t>经审批后通过</w:t>
      </w:r>
      <w:r>
        <w:rPr>
          <w:rFonts w:hint="eastAsia" w:ascii="仿宋_GB2312" w:eastAsia="仿宋_GB2312"/>
          <w:sz w:val="32"/>
          <w:szCs w:val="32"/>
          <w:lang w:val="en-US" w:eastAsia="zh-CN"/>
        </w:rPr>
        <w:t>财政授权支付</w:t>
      </w:r>
      <w:r>
        <w:rPr>
          <w:rFonts w:hint="eastAsia" w:ascii="仿宋_GB2312" w:eastAsia="仿宋_GB2312"/>
          <w:sz w:val="32"/>
          <w:szCs w:val="32"/>
        </w:rPr>
        <w:t>银行代发系统发放至个人账户，并按月向税务及社保部门缴纳相关税费。</w:t>
      </w:r>
    </w:p>
    <w:p w14:paraId="4D8B9DDF">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（三）主要用途</w:t>
      </w:r>
    </w:p>
    <w:p w14:paraId="1B045A47">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该项目资金专项用于保障森林消防队伍人员经费支出，具体包括：</w:t>
      </w:r>
      <w:r>
        <w:rPr>
          <w:rFonts w:hint="eastAsia" w:ascii="仿宋_GB2312" w:eastAsia="仿宋_GB2312"/>
          <w:sz w:val="32"/>
          <w:szCs w:val="32"/>
          <w:lang w:val="en-US" w:eastAsia="zh-CN"/>
        </w:rPr>
        <w:t>基本工资</w:t>
      </w:r>
      <w:r>
        <w:rPr>
          <w:rFonts w:hint="eastAsia" w:ascii="仿宋_GB2312" w:eastAsia="仿宋_GB2312"/>
          <w:sz w:val="32"/>
          <w:szCs w:val="32"/>
          <w:lang w:eastAsia="zh-CN"/>
        </w:rPr>
        <w:t>、</w:t>
      </w:r>
      <w:r>
        <w:rPr>
          <w:rFonts w:hint="eastAsia" w:ascii="仿宋_GB2312" w:eastAsia="仿宋_GB2312"/>
          <w:sz w:val="32"/>
          <w:szCs w:val="32"/>
        </w:rPr>
        <w:t>岗位</w:t>
      </w:r>
      <w:r>
        <w:rPr>
          <w:rFonts w:hint="eastAsia" w:ascii="仿宋_GB2312" w:eastAsia="仿宋_GB2312"/>
          <w:sz w:val="32"/>
          <w:szCs w:val="32"/>
          <w:lang w:val="en-US" w:eastAsia="zh-CN"/>
        </w:rPr>
        <w:t>性补贴、生活性补贴、</w:t>
      </w:r>
      <w:r>
        <w:rPr>
          <w:rFonts w:hint="eastAsia" w:ascii="仿宋_GB2312" w:eastAsia="仿宋_GB2312"/>
          <w:sz w:val="32"/>
          <w:szCs w:val="32"/>
        </w:rPr>
        <w:t>绩效工资</w:t>
      </w:r>
      <w:r>
        <w:rPr>
          <w:rFonts w:hint="eastAsia" w:ascii="仿宋_GB2312" w:eastAsia="仿宋_GB2312"/>
          <w:sz w:val="32"/>
          <w:szCs w:val="32"/>
          <w:lang w:eastAsia="zh-CN"/>
        </w:rPr>
        <w:t>、</w:t>
      </w:r>
      <w:r>
        <w:rPr>
          <w:rFonts w:hint="eastAsia" w:ascii="仿宋_GB2312" w:eastAsia="仿宋_GB2312"/>
          <w:sz w:val="32"/>
          <w:szCs w:val="32"/>
        </w:rPr>
        <w:t>人身意外伤害保险</w:t>
      </w:r>
      <w:r>
        <w:rPr>
          <w:rFonts w:hint="eastAsia" w:ascii="仿宋_GB2312" w:eastAsia="仿宋_GB2312"/>
          <w:sz w:val="32"/>
          <w:szCs w:val="32"/>
          <w:lang w:val="en-US" w:eastAsia="zh-CN"/>
        </w:rPr>
        <w:t>等</w:t>
      </w:r>
      <w:r>
        <w:rPr>
          <w:rFonts w:hint="eastAsia" w:ascii="仿宋_GB2312" w:eastAsia="仿宋_GB2312"/>
          <w:sz w:val="32"/>
          <w:szCs w:val="32"/>
          <w:lang w:eastAsia="zh-CN"/>
        </w:rPr>
        <w:t>；</w:t>
      </w:r>
      <w:r>
        <w:rPr>
          <w:rFonts w:hint="eastAsia" w:ascii="仿宋_GB2312" w:eastAsia="仿宋_GB2312"/>
          <w:sz w:val="32"/>
          <w:szCs w:val="32"/>
        </w:rPr>
        <w:t>基本养老保险、基本医疗保险</w:t>
      </w:r>
      <w:r>
        <w:rPr>
          <w:rFonts w:hint="eastAsia" w:ascii="仿宋_GB2312" w:eastAsia="仿宋_GB2312"/>
          <w:sz w:val="32"/>
          <w:szCs w:val="32"/>
          <w:lang w:val="en-US" w:eastAsia="zh-CN"/>
        </w:rPr>
        <w:t>等</w:t>
      </w:r>
      <w:r>
        <w:rPr>
          <w:rFonts w:hint="eastAsia" w:ascii="仿宋_GB2312" w:eastAsia="仿宋_GB2312"/>
          <w:sz w:val="32"/>
          <w:szCs w:val="32"/>
        </w:rPr>
        <w:t>单位缴纳部分；住房公积金单位缴存部分</w:t>
      </w:r>
      <w:r>
        <w:rPr>
          <w:rFonts w:hint="eastAsia" w:ascii="仿宋_GB2312" w:eastAsia="仿宋_GB2312"/>
          <w:sz w:val="32"/>
          <w:szCs w:val="32"/>
          <w:lang w:eastAsia="zh-CN"/>
        </w:rPr>
        <w:t>。</w:t>
      </w:r>
    </w:p>
    <w:p w14:paraId="7E457622">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（四）绩效目标</w:t>
      </w:r>
    </w:p>
    <w:p w14:paraId="4FF0B55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1. 总体</w:t>
      </w:r>
      <w:r>
        <w:rPr>
          <w:rFonts w:hint="eastAsia" w:ascii="仿宋_GB2312" w:eastAsia="仿宋_GB2312"/>
          <w:sz w:val="32"/>
          <w:szCs w:val="32"/>
          <w:lang w:val="en-US" w:eastAsia="zh-CN"/>
        </w:rPr>
        <w:t>绩效</w:t>
      </w:r>
      <w:r>
        <w:rPr>
          <w:rFonts w:hint="eastAsia" w:ascii="仿宋_GB2312" w:eastAsia="仿宋_GB2312"/>
          <w:sz w:val="32"/>
          <w:szCs w:val="32"/>
        </w:rPr>
        <w:t>目标</w:t>
      </w:r>
      <w:r>
        <w:rPr>
          <w:rFonts w:hint="eastAsia" w:ascii="仿宋_GB2312" w:eastAsia="仿宋_GB2312"/>
          <w:sz w:val="32"/>
          <w:szCs w:val="32"/>
          <w:lang w:eastAsia="zh-CN"/>
        </w:rPr>
        <w:t>：</w:t>
      </w:r>
      <w:r>
        <w:rPr>
          <w:rFonts w:hint="eastAsia" w:ascii="仿宋_GB2312" w:eastAsia="仿宋_GB2312"/>
          <w:sz w:val="32"/>
          <w:szCs w:val="32"/>
        </w:rPr>
        <w:t>足额保障森林消防队伍人员经费，稳定队伍人心，激发队员工作积极性，确保森林消防队伍“招得来、留得住、用得上”，为保护森林资源安全、有效预防和扑救森林火灾提供坚实的人力保障。</w:t>
      </w:r>
    </w:p>
    <w:p w14:paraId="72F3FA8B">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 年度</w:t>
      </w:r>
      <w:r>
        <w:rPr>
          <w:rFonts w:hint="eastAsia" w:ascii="仿宋_GB2312" w:eastAsia="仿宋_GB2312"/>
          <w:sz w:val="32"/>
          <w:szCs w:val="32"/>
          <w:lang w:val="en-US" w:eastAsia="zh-CN"/>
        </w:rPr>
        <w:t>绩效</w:t>
      </w:r>
      <w:r>
        <w:rPr>
          <w:rFonts w:hint="eastAsia" w:ascii="仿宋_GB2312" w:eastAsia="仿宋_GB2312"/>
          <w:sz w:val="32"/>
          <w:szCs w:val="32"/>
        </w:rPr>
        <w:t>目标：人员经费按时足额发放率达到100%；社保及公积金按时足额缴纳率达到100%；人身意外伤害保险</w:t>
      </w:r>
      <w:r>
        <w:rPr>
          <w:rFonts w:hint="eastAsia" w:ascii="仿宋_GB2312" w:eastAsia="仿宋_GB2312"/>
          <w:sz w:val="32"/>
          <w:szCs w:val="32"/>
          <w:lang w:val="en-US" w:eastAsia="zh-CN"/>
        </w:rPr>
        <w:t>购买率达到100%；</w:t>
      </w:r>
      <w:r>
        <w:rPr>
          <w:rFonts w:hint="eastAsia" w:ascii="仿宋_GB2312" w:eastAsia="仿宋_GB2312"/>
          <w:sz w:val="32"/>
          <w:szCs w:val="32"/>
        </w:rPr>
        <w:t>保障队伍全年战备值班、训练及灭火任务正常开展。</w:t>
      </w:r>
    </w:p>
    <w:p w14:paraId="60689D7C">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6BB32F1B">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（一）自评</w:t>
      </w:r>
      <w:r>
        <w:rPr>
          <w:rFonts w:hint="eastAsia" w:ascii="仿宋_GB2312" w:eastAsia="仿宋_GB2312"/>
          <w:sz w:val="32"/>
          <w:szCs w:val="32"/>
          <w:lang w:eastAsia="zh-CN"/>
        </w:rPr>
        <w:t>结论、</w:t>
      </w:r>
      <w:r>
        <w:rPr>
          <w:rFonts w:hint="eastAsia" w:ascii="仿宋_GB2312" w:eastAsia="仿宋_GB2312"/>
          <w:sz w:val="32"/>
          <w:szCs w:val="32"/>
        </w:rPr>
        <w:t>分数</w:t>
      </w:r>
      <w:r>
        <w:rPr>
          <w:rFonts w:hint="eastAsia" w:ascii="仿宋_GB2312" w:eastAsia="仿宋_GB2312"/>
          <w:sz w:val="32"/>
          <w:szCs w:val="32"/>
          <w:lang w:eastAsia="zh-CN"/>
        </w:rPr>
        <w:t>、等级</w:t>
      </w:r>
    </w:p>
    <w:p w14:paraId="4A0BE287">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经对项目决策、资金管理、产出效益及满意度指标进行全面评价，本项目立项依据充分，资金管理规范，保障措施有力，人员队伍稳定，各项绩效指标完成情况良好。</w:t>
      </w:r>
    </w:p>
    <w:p w14:paraId="702F208C">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综合自评得分为</w:t>
      </w:r>
      <w:r>
        <w:rPr>
          <w:rFonts w:hint="eastAsia" w:ascii="仿宋_GB2312" w:eastAsia="仿宋_GB2312"/>
          <w:sz w:val="32"/>
          <w:szCs w:val="32"/>
          <w:lang w:val="en-US" w:eastAsia="zh-CN"/>
        </w:rPr>
        <w:t>95</w:t>
      </w:r>
      <w:r>
        <w:rPr>
          <w:rFonts w:hint="eastAsia" w:ascii="仿宋_GB2312" w:eastAsia="仿宋_GB2312"/>
          <w:sz w:val="32"/>
          <w:szCs w:val="32"/>
          <w:lang w:eastAsia="zh-CN"/>
        </w:rPr>
        <w:t xml:space="preserve"> 分。</w:t>
      </w:r>
    </w:p>
    <w:p w14:paraId="188222B7">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36900C1F">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1.资金支出情况。</w:t>
      </w:r>
    </w:p>
    <w:p w14:paraId="7A78DA8C">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截至</w:t>
      </w:r>
      <w:r>
        <w:rPr>
          <w:rFonts w:hint="eastAsia" w:ascii="仿宋_GB2312" w:eastAsia="仿宋_GB2312"/>
          <w:sz w:val="32"/>
          <w:szCs w:val="32"/>
          <w:lang w:val="en-US" w:eastAsia="zh-CN"/>
        </w:rPr>
        <w:t>2025年</w:t>
      </w:r>
      <w:r>
        <w:rPr>
          <w:rFonts w:hint="eastAsia" w:ascii="仿宋_GB2312" w:eastAsia="仿宋_GB2312"/>
          <w:sz w:val="32"/>
          <w:szCs w:val="32"/>
        </w:rPr>
        <w:t>12月31日，该项目实际支出资金</w:t>
      </w:r>
      <w:r>
        <w:rPr>
          <w:rFonts w:hint="eastAsia" w:ascii="仿宋_GB2312" w:eastAsia="仿宋_GB2312"/>
          <w:sz w:val="32"/>
          <w:szCs w:val="32"/>
          <w:lang w:val="en-US" w:eastAsia="zh-CN"/>
        </w:rPr>
        <w:t>105.13</w:t>
      </w:r>
      <w:r>
        <w:rPr>
          <w:rFonts w:hint="eastAsia" w:ascii="仿宋_GB2312" w:eastAsia="仿宋_GB2312"/>
          <w:sz w:val="32"/>
          <w:szCs w:val="32"/>
        </w:rPr>
        <w:t xml:space="preserve">万元，预算执行率为 </w:t>
      </w:r>
      <w:r>
        <w:rPr>
          <w:rFonts w:hint="eastAsia" w:ascii="仿宋_GB2312" w:eastAsia="仿宋_GB2312"/>
          <w:sz w:val="32"/>
          <w:szCs w:val="32"/>
          <w:lang w:val="en-US" w:eastAsia="zh-CN"/>
        </w:rPr>
        <w:t>100</w:t>
      </w:r>
      <w:r>
        <w:rPr>
          <w:rFonts w:hint="eastAsia" w:ascii="仿宋_GB2312" w:eastAsia="仿宋_GB2312"/>
          <w:sz w:val="32"/>
          <w:szCs w:val="32"/>
        </w:rPr>
        <w:t>%。</w:t>
      </w:r>
      <w:r>
        <w:rPr>
          <w:rFonts w:hint="eastAsia" w:ascii="仿宋_GB2312" w:eastAsia="仿宋_GB2312"/>
          <w:sz w:val="32"/>
          <w:szCs w:val="32"/>
          <w:lang w:val="en-US" w:eastAsia="zh-CN"/>
        </w:rPr>
        <w:t>资</w:t>
      </w:r>
      <w:r>
        <w:rPr>
          <w:rFonts w:hint="eastAsia" w:ascii="仿宋_GB2312" w:eastAsia="仿宋_GB2312"/>
          <w:sz w:val="32"/>
          <w:szCs w:val="32"/>
        </w:rPr>
        <w:t>金支出严格履行审批程序，财务核算规范，做到了专款专用，未发生截留、挪用或虚列支出现象。</w:t>
      </w:r>
    </w:p>
    <w:p w14:paraId="7F2F90C3">
      <w:pPr>
        <w:numPr>
          <w:ilvl w:val="0"/>
          <w:numId w:val="0"/>
        </w:num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资金完成绩效目标情况。</w:t>
      </w:r>
      <w:r>
        <w:rPr>
          <w:rFonts w:hint="eastAsia" w:ascii="仿宋_GB2312" w:eastAsia="仿宋_GB2312"/>
          <w:sz w:val="32"/>
          <w:szCs w:val="32"/>
          <w:lang w:val="en-US" w:eastAsia="zh-CN"/>
        </w:rPr>
        <w:t xml:space="preserve"> </w:t>
      </w:r>
    </w:p>
    <w:p w14:paraId="0DBDB343">
      <w:pPr>
        <w:numPr>
          <w:ilvl w:val="0"/>
          <w:numId w:val="0"/>
        </w:num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项目各项绩效指标均已完成或超额完成预期目标。全年共保障 51名森林消防队员的人员经费，确保了队伍全年365天24小时应急值守、日常体能技能训练、林区巡逻及火情早期处置等工作的正常开展。年度内未发生因人员经费保障不到位导致的劳资纠纷或队伍不稳定事件。</w:t>
      </w:r>
    </w:p>
    <w:p w14:paraId="5E149368">
      <w:pPr>
        <w:numPr>
          <w:ilvl w:val="0"/>
          <w:numId w:val="0"/>
        </w:num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r>
        <w:rPr>
          <w:rFonts w:hint="eastAsia" w:ascii="仿宋_GB2312" w:eastAsia="仿宋_GB2312"/>
          <w:sz w:val="32"/>
          <w:szCs w:val="32"/>
          <w:lang w:eastAsia="zh-CN"/>
        </w:rPr>
        <w:t>（对产出指标、成本指标、效益指标、满意度指标等进行分析）。</w:t>
      </w:r>
    </w:p>
    <w:p w14:paraId="28FBB5D5">
      <w:pPr>
        <w:numPr>
          <w:ilvl w:val="0"/>
          <w:numId w:val="0"/>
        </w:num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产出指标：人员经费发放覆盖率100%，完成了对全体在岗人员经费的全覆盖，无遗漏。</w:t>
      </w:r>
      <w:r>
        <w:rPr>
          <w:rFonts w:hint="eastAsia" w:ascii="仿宋_GB2312" w:eastAsia="仿宋_GB2312"/>
          <w:sz w:val="32"/>
          <w:szCs w:val="32"/>
          <w:lang w:eastAsia="zh-CN"/>
        </w:rPr>
        <w:t>发放及时性</w:t>
      </w:r>
      <w:r>
        <w:rPr>
          <w:rFonts w:hint="eastAsia" w:ascii="仿宋_GB2312" w:eastAsia="仿宋_GB2312"/>
          <w:sz w:val="32"/>
          <w:szCs w:val="32"/>
          <w:lang w:val="en-US" w:eastAsia="zh-CN"/>
        </w:rPr>
        <w:t>达到100%，</w:t>
      </w:r>
      <w:r>
        <w:rPr>
          <w:rFonts w:hint="eastAsia" w:ascii="仿宋_GB2312" w:eastAsia="仿宋_GB2312"/>
          <w:sz w:val="32"/>
          <w:szCs w:val="32"/>
          <w:lang w:eastAsia="zh-CN"/>
        </w:rPr>
        <w:t>每月均在规定时限内将</w:t>
      </w:r>
      <w:r>
        <w:rPr>
          <w:rFonts w:hint="eastAsia" w:ascii="仿宋_GB2312" w:eastAsia="仿宋_GB2312"/>
          <w:sz w:val="32"/>
          <w:szCs w:val="32"/>
          <w:lang w:val="en-US" w:eastAsia="zh-CN"/>
        </w:rPr>
        <w:t>工资等</w:t>
      </w:r>
      <w:r>
        <w:rPr>
          <w:rFonts w:hint="eastAsia" w:ascii="仿宋_GB2312" w:eastAsia="仿宋_GB2312"/>
          <w:sz w:val="32"/>
          <w:szCs w:val="32"/>
          <w:lang w:eastAsia="zh-CN"/>
        </w:rPr>
        <w:t>发放至队员银行卡中。</w:t>
      </w:r>
    </w:p>
    <w:p w14:paraId="09A5B3EE">
      <w:pPr>
        <w:numPr>
          <w:ilvl w:val="0"/>
          <w:numId w:val="0"/>
        </w:num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效益指标：工资、社保、补贴等各项支出比例符合预算及实际需求。队伍稳定，人员流失率低于预期，核心骨干保持稳定，队伍凝聚力增强。人员经费保障到位，队员无后顾之忧，值班备勤秩序良好。有火情，队伍</w:t>
      </w:r>
      <w:bookmarkStart w:id="0" w:name="_GoBack"/>
      <w:bookmarkEnd w:id="0"/>
      <w:r>
        <w:rPr>
          <w:rFonts w:hint="eastAsia" w:ascii="仿宋_GB2312" w:eastAsia="仿宋_GB2312"/>
          <w:sz w:val="32"/>
          <w:szCs w:val="32"/>
          <w:lang w:val="en-US" w:eastAsia="zh-CN"/>
        </w:rPr>
        <w:t>能拉得出、冲得上，无因人员不足影响出动。</w:t>
      </w:r>
    </w:p>
    <w:p w14:paraId="756B5CEC">
      <w:pPr>
        <w:numPr>
          <w:ilvl w:val="0"/>
          <w:numId w:val="1"/>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14:paraId="1AC1F653">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薪酬动态调整机制不够灵敏。随着物价水平和社会平均工资的变化，现行人员经费标准虽能满足基本保障，但与地方经济发展水平的联动调整机制不够健全，可能影响队伍长期稳定性。</w:t>
      </w:r>
    </w:p>
    <w:p w14:paraId="6E51B3D9">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59F96338">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针对资金使用绩效存在的问题提出完善意见。</w:t>
      </w:r>
    </w:p>
    <w:p w14:paraId="58AFA5CE">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积极与财政、人社部门沟通协调，探索建立与地区经济发展水平、财政收入状况及社会平均工资增长相适应的薪酬动态调整机制。定期对队伍人员经费保障标准进行评估，适时提出调整建议，确保森林消防队伍薪酬待遇具有市场竞争力，吸引和留住专业人才。在保障基本工资待遇的同时，进一步关注队员的身心健康</w:t>
      </w:r>
      <w:r>
        <w:rPr>
          <w:rFonts w:hint="eastAsia" w:ascii="仿宋_GB2312" w:eastAsia="仿宋_GB2312"/>
          <w:sz w:val="32"/>
          <w:szCs w:val="32"/>
          <w:lang w:eastAsia="zh-CN"/>
        </w:rPr>
        <w:t>，</w:t>
      </w:r>
      <w:r>
        <w:rPr>
          <w:rFonts w:hint="eastAsia" w:ascii="仿宋_GB2312" w:eastAsia="仿宋_GB2312"/>
          <w:sz w:val="32"/>
          <w:szCs w:val="32"/>
        </w:rPr>
        <w:t>增强职业荣誉感和归属感，从多维度保障队伍稳定。</w:t>
      </w:r>
    </w:p>
    <w:p w14:paraId="6B854FD0">
      <w:pPr>
        <w:spacing w:line="360" w:lineRule="auto"/>
        <w:jc w:val="both"/>
        <w:rPr>
          <w:rFonts w:hint="eastAsia" w:ascii="仿宋_GB2312" w:hAnsi="仿宋_GB2312" w:eastAsia="仿宋_GB2312" w:cs="仿宋_GB2312"/>
          <w:sz w:val="32"/>
          <w:szCs w:val="32"/>
          <w:lang w:eastAsia="zh-CN"/>
        </w:rPr>
      </w:pPr>
    </w:p>
    <w:p w14:paraId="611BF5B6"/>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8F4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C9481">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8C9481">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F01EC">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44544F"/>
    <w:multiLevelType w:val="singleLevel"/>
    <w:tmpl w:val="A144544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kZTNkZTczYzZjOTIyZWRmOWZhZDI2NDIxYzg2ZWIifQ=="/>
  </w:docVars>
  <w:rsids>
    <w:rsidRoot w:val="0BFE5C14"/>
    <w:rsid w:val="099A00A9"/>
    <w:rsid w:val="0ABF1BFB"/>
    <w:rsid w:val="0BFE5C14"/>
    <w:rsid w:val="1EDE4CF4"/>
    <w:rsid w:val="27327EBB"/>
    <w:rsid w:val="2DE123DA"/>
    <w:rsid w:val="311C4289"/>
    <w:rsid w:val="3F1371CA"/>
    <w:rsid w:val="42F145B3"/>
    <w:rsid w:val="5049176B"/>
    <w:rsid w:val="57025F93"/>
    <w:rsid w:val="5BFFF24A"/>
    <w:rsid w:val="6CFE24A2"/>
    <w:rsid w:val="77335254"/>
    <w:rsid w:val="784C0677"/>
    <w:rsid w:val="EFF78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1225</Words>
  <Characters>1286</Characters>
  <Lines>0</Lines>
  <Paragraphs>0</Paragraphs>
  <TotalTime>8</TotalTime>
  <ScaleCrop>false</ScaleCrop>
  <LinksUpToDate>false</LinksUpToDate>
  <CharactersWithSpaces>1295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2021-02-26T11:06:00Z</dcterms:created>
  <dc:creator>Administrator</dc:creator>
  <cp:lastModifiedBy>PINGCHEUNG</cp:lastModifiedBy>
  <dcterms:modified xsi:type="dcterms:W3CDTF">2026-03-19T02:33:01Z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ribbonExt">
    <vt:lpwstr>{"WPSExtOfficeTab":{"OnGetEnabled":false,"OnGetVisible":false}}</vt:lpwstr>
  </property>
  <property fmtid="{D5CDD505-2E9C-101B-9397-08002B2CF9AE}" pid="4" name="ICV">
    <vt:lpwstr>F9D5D3FAD1974A0FBF00DB278CCEC2FE</vt:lpwstr>
  </property>
  <property fmtid="{D5CDD505-2E9C-101B-9397-08002B2CF9AE}" pid="5" name="KSOTemplateDocerSaveRecord">
    <vt:lpwstr>eyJoZGlkIjoiMDM0ZWI3NmI4MzQ1NDliZjg2OGVkNzhmOGYxNzcwYjMiLCJ1c2VySWQiOiIyNTMyMDk1MjEifQ==</vt:lpwstr>
  </property>
</Properties>
</file>