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67FB4">
      <w:pPr>
        <w:pStyle w:val="15"/>
        <w:ind w:left="0" w:leftChars="0" w:firstLine="0" w:firstLineChars="0"/>
        <w:rPr>
          <w:rFonts w:hint="eastAsia" w:ascii="黑体" w:hAnsi="黑体" w:eastAsia="黑体" w:cs="黑体"/>
          <w:color w:val="auto"/>
          <w:lang w:val="en-US" w:eastAsia="zh-CN"/>
        </w:rPr>
      </w:pPr>
      <w:bookmarkStart w:id="1416" w:name="_GoBack"/>
      <w:bookmarkEnd w:id="1416"/>
    </w:p>
    <w:p w14:paraId="3A52BAC3">
      <w:pPr>
        <w:pStyle w:val="15"/>
        <w:ind w:left="0" w:leftChars="0" w:firstLine="0" w:firstLineChars="0"/>
        <w:rPr>
          <w:rFonts w:hint="eastAsia" w:ascii="黑体" w:hAnsi="黑体" w:eastAsia="黑体" w:cs="黑体"/>
          <w:color w:val="auto"/>
          <w:lang w:val="en-US" w:eastAsia="zh-CN"/>
        </w:rPr>
      </w:pPr>
    </w:p>
    <w:p w14:paraId="1ED617B5">
      <w:pPr>
        <w:keepNext w:val="0"/>
        <w:keepLines w:val="0"/>
        <w:widowControl/>
        <w:suppressLineNumbers w:val="0"/>
        <w:jc w:val="center"/>
      </w:pPr>
      <w:r>
        <w:rPr>
          <w:rFonts w:ascii="方正小标宋简体" w:hAnsi="方正小标宋简体" w:eastAsia="方正小标宋简体" w:cs="方正小标宋简体"/>
          <w:color w:val="000000"/>
          <w:kern w:val="0"/>
          <w:sz w:val="43"/>
          <w:szCs w:val="43"/>
          <w:lang w:val="en-US" w:eastAsia="zh-CN" w:bidi="ar"/>
        </w:rPr>
        <w:t>仁化县人民政府关于印发《仁化县国民经济</w:t>
      </w:r>
    </w:p>
    <w:p w14:paraId="7845CB2D">
      <w:pPr>
        <w:keepNext w:val="0"/>
        <w:keepLines w:val="0"/>
        <w:widowControl/>
        <w:suppressLineNumbers w:val="0"/>
        <w:jc w:val="center"/>
      </w:pPr>
      <w:r>
        <w:rPr>
          <w:rFonts w:hint="eastAsia" w:ascii="方正小标宋简体" w:hAnsi="方正小标宋简体" w:eastAsia="方正小标宋简体" w:cs="方正小标宋简体"/>
          <w:color w:val="000000"/>
          <w:kern w:val="0"/>
          <w:sz w:val="43"/>
          <w:szCs w:val="43"/>
          <w:lang w:val="en-US" w:eastAsia="zh-CN" w:bidi="ar"/>
        </w:rPr>
        <w:t>和社会发展第十四个五年规划和二</w:t>
      </w:r>
      <w:r>
        <w:rPr>
          <w:rFonts w:hint="eastAsia" w:ascii="宋体" w:hAnsi="宋体" w:eastAsia="宋体" w:cs="宋体"/>
          <w:color w:val="000000"/>
          <w:kern w:val="0"/>
          <w:sz w:val="43"/>
          <w:szCs w:val="43"/>
          <w:lang w:val="en-US" w:eastAsia="zh-CN" w:bidi="ar"/>
        </w:rPr>
        <w:t>〇</w:t>
      </w:r>
      <w:r>
        <w:rPr>
          <w:rFonts w:hint="eastAsia" w:ascii="方正小标宋简体" w:hAnsi="方正小标宋简体" w:eastAsia="方正小标宋简体" w:cs="方正小标宋简体"/>
          <w:color w:val="000000"/>
          <w:kern w:val="0"/>
          <w:sz w:val="43"/>
          <w:szCs w:val="43"/>
          <w:lang w:val="en-US" w:eastAsia="zh-CN" w:bidi="ar"/>
        </w:rPr>
        <w:t>三五</w:t>
      </w:r>
    </w:p>
    <w:p w14:paraId="2652D82F">
      <w:pPr>
        <w:keepNext w:val="0"/>
        <w:keepLines w:val="0"/>
        <w:widowControl/>
        <w:suppressLineNumbers w:val="0"/>
        <w:jc w:val="center"/>
      </w:pPr>
      <w:r>
        <w:rPr>
          <w:rFonts w:hint="eastAsia" w:ascii="方正小标宋简体" w:hAnsi="方正小标宋简体" w:eastAsia="方正小标宋简体" w:cs="方正小标宋简体"/>
          <w:color w:val="000000"/>
          <w:kern w:val="0"/>
          <w:sz w:val="43"/>
          <w:szCs w:val="43"/>
          <w:lang w:val="en-US" w:eastAsia="zh-CN" w:bidi="ar"/>
        </w:rPr>
        <w:t>年远景目标纲要》的通知</w:t>
      </w:r>
    </w:p>
    <w:p w14:paraId="2F5B0FF7">
      <w:pPr>
        <w:keepNext w:val="0"/>
        <w:keepLines w:val="0"/>
        <w:widowControl/>
        <w:suppressLineNumbers w:val="0"/>
        <w:jc w:val="left"/>
      </w:pPr>
      <w:r>
        <w:rPr>
          <w:rFonts w:ascii="仿宋_GB2312" w:hAnsi="宋体" w:eastAsia="仿宋_GB2312" w:cs="仿宋_GB2312"/>
          <w:color w:val="000000"/>
          <w:kern w:val="0"/>
          <w:sz w:val="31"/>
          <w:szCs w:val="31"/>
          <w:lang w:val="en-US" w:eastAsia="zh-CN" w:bidi="ar"/>
        </w:rPr>
        <w:t xml:space="preserve">各镇人民政府，县各有关单位： </w:t>
      </w:r>
    </w:p>
    <w:p w14:paraId="169D01BD">
      <w:pPr>
        <w:keepNext w:val="0"/>
        <w:keepLines w:val="0"/>
        <w:widowControl/>
        <w:suppressLineNumbers w:val="0"/>
        <w:ind w:firstLine="1276" w:firstLineChars="400"/>
        <w:jc w:val="left"/>
      </w:pPr>
      <w:r>
        <w:rPr>
          <w:rFonts w:hint="eastAsia" w:ascii="仿宋_GB2312" w:hAnsi="宋体" w:eastAsia="仿宋_GB2312" w:cs="仿宋_GB2312"/>
          <w:color w:val="000000"/>
          <w:kern w:val="0"/>
          <w:sz w:val="31"/>
          <w:szCs w:val="31"/>
          <w:lang w:val="en-US" w:eastAsia="zh-CN" w:bidi="ar"/>
        </w:rPr>
        <w:t xml:space="preserve">《仁化县国民经济和社会发展第十四个五年规划和二 </w:t>
      </w:r>
    </w:p>
    <w:p w14:paraId="4C9298AA">
      <w:pPr>
        <w:keepNext w:val="0"/>
        <w:keepLines w:val="0"/>
        <w:widowControl/>
        <w:suppressLineNumbers w:val="0"/>
        <w:jc w:val="left"/>
      </w:pPr>
      <w:r>
        <w:rPr>
          <w:rFonts w:hint="eastAsia" w:ascii="宋体" w:hAnsi="宋体" w:eastAsia="宋体" w:cs="宋体"/>
          <w:color w:val="000000"/>
          <w:kern w:val="0"/>
          <w:sz w:val="31"/>
          <w:szCs w:val="31"/>
          <w:lang w:val="en-US" w:eastAsia="zh-CN" w:bidi="ar"/>
        </w:rPr>
        <w:t>〇</w:t>
      </w:r>
      <w:r>
        <w:rPr>
          <w:rFonts w:hint="eastAsia" w:ascii="仿宋_GB2312" w:hAnsi="宋体" w:eastAsia="仿宋_GB2312" w:cs="仿宋_GB2312"/>
          <w:color w:val="000000"/>
          <w:kern w:val="0"/>
          <w:sz w:val="31"/>
          <w:szCs w:val="31"/>
          <w:lang w:val="en-US" w:eastAsia="zh-CN" w:bidi="ar"/>
        </w:rPr>
        <w:t xml:space="preserve">三五年远景目标纲要》业经县第十五届人大七次会议审议 </w:t>
      </w:r>
    </w:p>
    <w:p w14:paraId="2D7BD761">
      <w:pPr>
        <w:keepNext w:val="0"/>
        <w:keepLines w:val="0"/>
        <w:widowControl/>
        <w:suppressLineNumbers w:val="0"/>
        <w:jc w:val="left"/>
      </w:pPr>
      <w:r>
        <w:rPr>
          <w:rFonts w:hint="eastAsia" w:ascii="仿宋_GB2312" w:hAnsi="宋体" w:eastAsia="仿宋_GB2312" w:cs="仿宋_GB2312"/>
          <w:color w:val="000000"/>
          <w:kern w:val="0"/>
          <w:sz w:val="31"/>
          <w:szCs w:val="31"/>
          <w:lang w:val="en-US" w:eastAsia="zh-CN" w:bidi="ar"/>
        </w:rPr>
        <w:t>批准，现印发给你们，请认真组织实施。</w:t>
      </w:r>
    </w:p>
    <w:p w14:paraId="46AB9227">
      <w:pPr>
        <w:keepNext w:val="0"/>
        <w:keepLines w:val="0"/>
        <w:widowControl/>
        <w:suppressLineNumbers w:val="0"/>
        <w:jc w:val="right"/>
      </w:pPr>
      <w:r>
        <w:rPr>
          <w:rFonts w:hint="eastAsia" w:ascii="仿宋_GB2312" w:hAnsi="宋体" w:eastAsia="仿宋_GB2312" w:cs="仿宋_GB2312"/>
          <w:color w:val="000000"/>
          <w:kern w:val="0"/>
          <w:sz w:val="31"/>
          <w:szCs w:val="31"/>
          <w:lang w:val="en-US" w:eastAsia="zh-CN" w:bidi="ar"/>
        </w:rPr>
        <w:t xml:space="preserve">仁化县人民政府 </w:t>
      </w:r>
    </w:p>
    <w:p w14:paraId="7F217A5C">
      <w:pPr>
        <w:keepNext w:val="0"/>
        <w:keepLines w:val="0"/>
        <w:widowControl/>
        <w:suppressLineNumbers w:val="0"/>
        <w:jc w:val="right"/>
      </w:pPr>
      <w:r>
        <w:rPr>
          <w:rFonts w:hint="eastAsia" w:ascii="仿宋_GB2312" w:hAnsi="宋体" w:eastAsia="仿宋_GB2312" w:cs="仿宋_GB2312"/>
          <w:color w:val="000000"/>
          <w:kern w:val="0"/>
          <w:sz w:val="31"/>
          <w:szCs w:val="31"/>
          <w:lang w:val="en-US" w:eastAsia="zh-CN" w:bidi="ar"/>
        </w:rPr>
        <w:t>2021 年 7 月 13 日</w:t>
      </w:r>
    </w:p>
    <w:p w14:paraId="06B2027B">
      <w:pPr>
        <w:widowControl/>
        <w:ind w:firstLine="883"/>
        <w:jc w:val="center"/>
        <w:rPr>
          <w:rFonts w:ascii="方正小标宋简体" w:hAnsi="方正小标宋简体"/>
          <w:b/>
          <w:bCs/>
          <w:color w:val="auto"/>
          <w:kern w:val="0"/>
          <w:sz w:val="44"/>
          <w:szCs w:val="44"/>
          <w:shd w:val="clear" w:color="auto" w:fill="FFFFFF"/>
        </w:rPr>
      </w:pPr>
    </w:p>
    <w:p w14:paraId="45A9CF07">
      <w:pPr>
        <w:pStyle w:val="2"/>
        <w:rPr>
          <w:rFonts w:ascii="方正小标宋简体" w:hAnsi="方正小标宋简体"/>
          <w:b/>
          <w:bCs/>
          <w:color w:val="auto"/>
          <w:kern w:val="0"/>
          <w:sz w:val="44"/>
          <w:szCs w:val="44"/>
          <w:shd w:val="clear" w:color="auto" w:fill="FFFFFF"/>
        </w:rPr>
      </w:pPr>
    </w:p>
    <w:p w14:paraId="1037A65E">
      <w:pPr>
        <w:pStyle w:val="2"/>
        <w:rPr>
          <w:rFonts w:ascii="方正小标宋简体" w:hAnsi="方正小标宋简体"/>
          <w:b/>
          <w:bCs/>
          <w:color w:val="auto"/>
          <w:kern w:val="0"/>
          <w:sz w:val="44"/>
          <w:szCs w:val="44"/>
          <w:shd w:val="clear" w:color="auto" w:fill="FFFFFF"/>
        </w:rPr>
      </w:pPr>
    </w:p>
    <w:p w14:paraId="79574B76">
      <w:pPr>
        <w:pStyle w:val="2"/>
        <w:rPr>
          <w:rFonts w:ascii="方正小标宋简体" w:hAnsi="方正小标宋简体"/>
          <w:b/>
          <w:bCs/>
          <w:color w:val="auto"/>
          <w:kern w:val="0"/>
          <w:sz w:val="44"/>
          <w:szCs w:val="44"/>
          <w:shd w:val="clear" w:color="auto" w:fill="FFFFFF"/>
        </w:rPr>
      </w:pPr>
    </w:p>
    <w:p w14:paraId="48C1EF91">
      <w:pPr>
        <w:pStyle w:val="2"/>
        <w:rPr>
          <w:rFonts w:ascii="方正小标宋简体" w:hAnsi="方正小标宋简体"/>
          <w:b/>
          <w:bCs/>
          <w:color w:val="auto"/>
          <w:kern w:val="0"/>
          <w:sz w:val="44"/>
          <w:szCs w:val="44"/>
          <w:shd w:val="clear" w:color="auto" w:fill="FFFFFF"/>
        </w:rPr>
      </w:pPr>
    </w:p>
    <w:p w14:paraId="0FFD9F14">
      <w:pPr>
        <w:ind w:firstLine="0" w:firstLineChars="0"/>
        <w:jc w:val="center"/>
        <w:rPr>
          <w:rFonts w:hint="eastAsia" w:ascii="方正小标宋简体" w:hAnsi="方正小标宋简体" w:eastAsia="方正小标宋简体" w:cs="方正小标宋简体"/>
          <w:b/>
          <w:bCs/>
          <w:color w:val="auto"/>
          <w:sz w:val="44"/>
          <w:szCs w:val="44"/>
        </w:rPr>
      </w:pPr>
    </w:p>
    <w:p w14:paraId="47FA52DD">
      <w:pPr>
        <w:ind w:firstLine="0" w:firstLineChars="0"/>
        <w:jc w:val="center"/>
        <w:rPr>
          <w:rFonts w:hint="eastAsia" w:ascii="方正小标宋简体" w:hAnsi="方正小标宋简体" w:eastAsia="方正小标宋简体" w:cs="方正小标宋简体"/>
          <w:b/>
          <w:bCs/>
          <w:color w:val="auto"/>
          <w:sz w:val="44"/>
          <w:szCs w:val="44"/>
        </w:rPr>
      </w:pPr>
    </w:p>
    <w:p w14:paraId="5BF98C3B">
      <w:pPr>
        <w:ind w:firstLine="0" w:firstLineChars="0"/>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仁化县国民经济和社会发展第十四个五年规划和二〇三五年远景目标纲要</w:t>
      </w:r>
    </w:p>
    <w:p w14:paraId="3C92B274">
      <w:pPr>
        <w:pStyle w:val="2"/>
        <w:ind w:left="0" w:leftChars="0" w:firstLine="0" w:firstLineChars="0"/>
        <w:jc w:val="center"/>
        <w:rPr>
          <w:rFonts w:hint="eastAsia"/>
          <w:b w:val="0"/>
          <w:bCs w:val="0"/>
          <w:color w:val="auto"/>
          <w:sz w:val="32"/>
          <w:szCs w:val="32"/>
          <w:lang w:eastAsia="zh-CN"/>
        </w:rPr>
      </w:pPr>
      <w:r>
        <w:rPr>
          <w:rFonts w:hint="eastAsia"/>
          <w:b w:val="0"/>
          <w:bCs w:val="0"/>
          <w:color w:val="auto"/>
          <w:sz w:val="32"/>
          <w:szCs w:val="32"/>
          <w:lang w:eastAsia="zh-CN"/>
        </w:rPr>
        <w:t>（</w:t>
      </w:r>
      <w:r>
        <w:rPr>
          <w:rFonts w:hint="eastAsia"/>
          <w:b w:val="0"/>
          <w:bCs w:val="0"/>
          <w:color w:val="auto"/>
          <w:sz w:val="32"/>
          <w:szCs w:val="32"/>
          <w:lang w:val="en-US" w:eastAsia="zh-CN"/>
        </w:rPr>
        <w:t>2021年2月9日县第十五届人大七次会议审议批准</w:t>
      </w:r>
      <w:r>
        <w:rPr>
          <w:rFonts w:hint="eastAsia"/>
          <w:b w:val="0"/>
          <w:bCs w:val="0"/>
          <w:color w:val="auto"/>
          <w:sz w:val="32"/>
          <w:szCs w:val="32"/>
          <w:lang w:eastAsia="zh-CN"/>
        </w:rPr>
        <w:t>）</w:t>
      </w:r>
    </w:p>
    <w:p w14:paraId="2A9FE0EF">
      <w:pPr>
        <w:pStyle w:val="3"/>
        <w:numPr>
          <w:ilvl w:val="0"/>
          <w:numId w:val="0"/>
        </w:numPr>
        <w:spacing w:before="218" w:after="218"/>
        <w:jc w:val="both"/>
        <w:rPr>
          <w:color w:val="auto"/>
        </w:rPr>
      </w:pPr>
    </w:p>
    <w:p w14:paraId="2ECECEDA">
      <w:pPr>
        <w:rPr>
          <w:color w:val="auto"/>
        </w:rPr>
      </w:pPr>
    </w:p>
    <w:p w14:paraId="0F47E4CB">
      <w:pPr>
        <w:rPr>
          <w:color w:val="auto"/>
        </w:rPr>
      </w:pPr>
    </w:p>
    <w:p w14:paraId="6092F27F">
      <w:pPr>
        <w:rPr>
          <w:color w:val="auto"/>
        </w:rPr>
      </w:pPr>
    </w:p>
    <w:p w14:paraId="597E13E4">
      <w:pPr>
        <w:rPr>
          <w:color w:val="auto"/>
        </w:rPr>
      </w:pPr>
    </w:p>
    <w:p w14:paraId="685228F0">
      <w:pPr>
        <w:rPr>
          <w:color w:val="auto"/>
        </w:rPr>
      </w:pPr>
    </w:p>
    <w:p w14:paraId="21F6434D">
      <w:pPr>
        <w:rPr>
          <w:color w:val="auto"/>
        </w:rPr>
      </w:pPr>
    </w:p>
    <w:p w14:paraId="4CC5D8DB">
      <w:pPr>
        <w:rPr>
          <w:color w:val="auto"/>
        </w:rPr>
      </w:pPr>
    </w:p>
    <w:p w14:paraId="63EA9FB2">
      <w:pPr>
        <w:rPr>
          <w:color w:val="auto"/>
        </w:rPr>
      </w:pPr>
    </w:p>
    <w:p w14:paraId="5B25EE75">
      <w:pPr>
        <w:rPr>
          <w:color w:val="auto"/>
        </w:rPr>
      </w:pPr>
    </w:p>
    <w:p w14:paraId="08D34CC2">
      <w:pPr>
        <w:rPr>
          <w:color w:val="auto"/>
        </w:rPr>
      </w:pPr>
    </w:p>
    <w:p w14:paraId="6E2E54DF">
      <w:pPr>
        <w:rPr>
          <w:color w:val="auto"/>
        </w:rPr>
      </w:pPr>
    </w:p>
    <w:p w14:paraId="36790047">
      <w:pPr>
        <w:rPr>
          <w:color w:val="auto"/>
        </w:rPr>
      </w:pPr>
    </w:p>
    <w:p w14:paraId="516B2F88">
      <w:pPr>
        <w:rPr>
          <w:color w:val="auto"/>
        </w:rPr>
      </w:pPr>
    </w:p>
    <w:p w14:paraId="6D91D166">
      <w:pPr>
        <w:rPr>
          <w:color w:val="auto"/>
        </w:rPr>
      </w:pPr>
    </w:p>
    <w:p w14:paraId="64D5E4C5">
      <w:pPr>
        <w:rPr>
          <w:color w:val="auto"/>
        </w:rPr>
      </w:pPr>
    </w:p>
    <w:p w14:paraId="7F97AE40">
      <w:pPr>
        <w:tabs>
          <w:tab w:val="right" w:pos="8205"/>
        </w:tabs>
        <w:jc w:val="left"/>
        <w:rPr>
          <w:color w:val="auto"/>
        </w:rPr>
        <w:sectPr>
          <w:headerReference r:id="rId7" w:type="first"/>
          <w:footerReference r:id="rId10" w:type="first"/>
          <w:headerReference r:id="rId5" w:type="default"/>
          <w:footerReference r:id="rId8" w:type="default"/>
          <w:headerReference r:id="rId6" w:type="even"/>
          <w:footerReference r:id="rId9" w:type="even"/>
          <w:pgSz w:w="11906" w:h="16838"/>
          <w:pgMar w:top="1440" w:right="1474" w:bottom="1440" w:left="1587" w:header="851" w:footer="992" w:gutter="0"/>
          <w:pgNumType w:fmt="numberInDash"/>
          <w:cols w:space="0" w:num="1"/>
          <w:docGrid w:type="lines" w:linePitch="436" w:charSpace="0"/>
        </w:sectPr>
      </w:pPr>
    </w:p>
    <w:sdt>
      <w:sdtPr>
        <w:rPr>
          <w:rFonts w:ascii="宋体" w:hAnsi="宋体" w:eastAsia="宋体"/>
          <w:b/>
          <w:bCs/>
          <w:color w:val="auto"/>
          <w:sz w:val="44"/>
          <w:szCs w:val="44"/>
        </w:rPr>
        <w:id w:val="147463429"/>
        <w:docPartObj>
          <w:docPartGallery w:val="Table of Contents"/>
          <w:docPartUnique/>
        </w:docPartObj>
      </w:sdtPr>
      <w:sdtEndPr>
        <w:rPr>
          <w:rFonts w:ascii="宋体" w:hAnsi="宋体" w:eastAsia="宋体"/>
          <w:b/>
          <w:bCs/>
          <w:color w:val="auto"/>
          <w:sz w:val="44"/>
          <w:szCs w:val="44"/>
        </w:rPr>
      </w:sdtEndPr>
      <w:sdtContent>
        <w:p w14:paraId="38ED8C47">
          <w:pPr>
            <w:spacing w:line="240" w:lineRule="auto"/>
            <w:ind w:firstLine="0" w:firstLineChars="0"/>
            <w:jc w:val="center"/>
            <w:rPr>
              <w:b/>
              <w:bCs/>
              <w:color w:val="auto"/>
              <w:sz w:val="44"/>
              <w:szCs w:val="44"/>
            </w:rPr>
          </w:pPr>
          <w:bookmarkStart w:id="0" w:name="_Toc14207"/>
          <w:r>
            <w:rPr>
              <w:rFonts w:ascii="宋体" w:hAnsi="宋体" w:eastAsia="宋体"/>
              <w:b/>
              <w:bCs/>
              <w:color w:val="auto"/>
              <w:sz w:val="44"/>
              <w:szCs w:val="44"/>
            </w:rPr>
            <w:t>目</w:t>
          </w:r>
          <w:r>
            <w:rPr>
              <w:rFonts w:hint="eastAsia" w:ascii="宋体" w:hAnsi="宋体" w:eastAsia="宋体"/>
              <w:b/>
              <w:bCs/>
              <w:color w:val="auto"/>
              <w:sz w:val="44"/>
              <w:szCs w:val="44"/>
            </w:rPr>
            <w:t xml:space="preserve"> </w:t>
          </w:r>
          <w:r>
            <w:rPr>
              <w:rFonts w:ascii="宋体" w:hAnsi="宋体" w:eastAsia="宋体"/>
              <w:b/>
              <w:bCs/>
              <w:color w:val="auto"/>
              <w:sz w:val="44"/>
              <w:szCs w:val="44"/>
            </w:rPr>
            <w:t>录</w:t>
          </w:r>
        </w:p>
        <w:p w14:paraId="0B3D6A66">
          <w:pPr>
            <w:pStyle w:val="21"/>
            <w:tabs>
              <w:tab w:val="right" w:leader="dot" w:pos="8306"/>
            </w:tabs>
            <w:ind w:firstLine="560"/>
            <w:rPr>
              <w:rFonts w:ascii="仿宋" w:hAnsi="仿宋" w:cs="仿宋"/>
              <w:color w:val="auto"/>
            </w:rPr>
          </w:pPr>
          <w:r>
            <w:rPr>
              <w:color w:val="auto"/>
              <w:sz w:val="28"/>
              <w:szCs w:val="28"/>
            </w:rPr>
            <w:fldChar w:fldCharType="begin"/>
          </w:r>
          <w:r>
            <w:rPr>
              <w:color w:val="auto"/>
              <w:sz w:val="28"/>
              <w:szCs w:val="28"/>
            </w:rPr>
            <w:instrText xml:space="preserve">TOC \o "1-2" \h \u </w:instrText>
          </w:r>
          <w:r>
            <w:rPr>
              <w:color w:val="auto"/>
              <w:sz w:val="28"/>
              <w:szCs w:val="28"/>
            </w:rPr>
            <w:fldChar w:fldCharType="separate"/>
          </w:r>
          <w:r>
            <w:rPr>
              <w:color w:val="auto"/>
            </w:rPr>
            <w:fldChar w:fldCharType="begin"/>
          </w:r>
          <w:r>
            <w:rPr>
              <w:color w:val="auto"/>
            </w:rPr>
            <w:instrText xml:space="preserve"> HYPERLINK \l "_Toc19149" </w:instrText>
          </w:r>
          <w:r>
            <w:rPr>
              <w:color w:val="auto"/>
            </w:rPr>
            <w:fldChar w:fldCharType="separate"/>
          </w:r>
          <w:r>
            <w:rPr>
              <w:rFonts w:hint="eastAsia" w:ascii="仿宋" w:hAnsi="仿宋" w:cs="仿宋"/>
              <w:color w:val="auto"/>
            </w:rPr>
            <w:t>第一章 “十三五”时期重大成就和“十四五”时期发展形势</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_Toc19149 </w:instrText>
          </w:r>
          <w:r>
            <w:rPr>
              <w:rFonts w:hint="eastAsia" w:ascii="仿宋" w:hAnsi="仿宋" w:cs="仿宋"/>
              <w:color w:val="auto"/>
            </w:rPr>
            <w:fldChar w:fldCharType="separate"/>
          </w:r>
          <w:r>
            <w:rPr>
              <w:rFonts w:hint="eastAsia" w:ascii="仿宋" w:hAnsi="仿宋" w:cs="仿宋"/>
              <w:color w:val="auto"/>
            </w:rPr>
            <w:t>- 1 -</w:t>
          </w:r>
          <w:r>
            <w:rPr>
              <w:rFonts w:hint="eastAsia" w:ascii="仿宋" w:hAnsi="仿宋" w:cs="仿宋"/>
              <w:color w:val="auto"/>
            </w:rPr>
            <w:fldChar w:fldCharType="end"/>
          </w:r>
          <w:r>
            <w:rPr>
              <w:rFonts w:hint="eastAsia" w:ascii="仿宋" w:hAnsi="仿宋" w:cs="仿宋"/>
              <w:color w:val="auto"/>
            </w:rPr>
            <w:fldChar w:fldCharType="end"/>
          </w:r>
        </w:p>
        <w:p w14:paraId="080EDDC3">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"_Toc1279" </w:instrText>
          </w:r>
          <w:r>
            <w:rPr>
              <w:color w:val="auto"/>
            </w:rPr>
            <w:fldChar w:fldCharType="separate"/>
          </w:r>
          <w:r>
            <w:rPr>
              <w:rFonts w:hint="eastAsia" w:ascii="仿宋" w:hAnsi="仿宋" w:cs="仿宋"/>
              <w:color w:val="auto"/>
            </w:rPr>
            <w:t>第一节 “十三五”时期发展成就</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_Toc1279 </w:instrText>
          </w:r>
          <w:r>
            <w:rPr>
              <w:rFonts w:hint="eastAsia" w:ascii="仿宋" w:hAnsi="仿宋" w:cs="仿宋"/>
              <w:color w:val="auto"/>
            </w:rPr>
            <w:fldChar w:fldCharType="separate"/>
          </w:r>
          <w:r>
            <w:rPr>
              <w:rFonts w:hint="eastAsia" w:ascii="仿宋" w:hAnsi="仿宋" w:cs="仿宋"/>
              <w:color w:val="auto"/>
            </w:rPr>
            <w:t>- 1 -</w:t>
          </w:r>
          <w:r>
            <w:rPr>
              <w:rFonts w:hint="eastAsia" w:ascii="仿宋" w:hAnsi="仿宋" w:cs="仿宋"/>
              <w:color w:val="auto"/>
            </w:rPr>
            <w:fldChar w:fldCharType="end"/>
          </w:r>
          <w:r>
            <w:rPr>
              <w:rFonts w:hint="eastAsia" w:ascii="仿宋" w:hAnsi="仿宋" w:cs="仿宋"/>
              <w:color w:val="auto"/>
            </w:rPr>
            <w:fldChar w:fldCharType="end"/>
          </w:r>
        </w:p>
        <w:p w14:paraId="60E0652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"_Toc26484" </w:instrText>
          </w:r>
          <w:r>
            <w:rPr>
              <w:color w:val="auto"/>
            </w:rPr>
            <w:fldChar w:fldCharType="separate"/>
          </w:r>
          <w:r>
            <w:rPr>
              <w:rFonts w:hint="eastAsia" w:ascii="仿宋" w:hAnsi="仿宋" w:cs="仿宋"/>
              <w:color w:val="auto"/>
            </w:rPr>
            <w:t>第二节 “十四五”时期面临的发展形势</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_Toc26484 </w:instrText>
          </w:r>
          <w:r>
            <w:rPr>
              <w:rFonts w:hint="eastAsia" w:ascii="仿宋" w:hAnsi="仿宋" w:cs="仿宋"/>
              <w:color w:val="auto"/>
            </w:rPr>
            <w:fldChar w:fldCharType="separate"/>
          </w:r>
          <w:r>
            <w:rPr>
              <w:rFonts w:hint="eastAsia" w:ascii="仿宋" w:hAnsi="仿宋" w:cs="仿宋"/>
              <w:color w:val="auto"/>
            </w:rPr>
            <w:t>- 7 -</w:t>
          </w:r>
          <w:r>
            <w:rPr>
              <w:rFonts w:hint="eastAsia" w:ascii="仿宋" w:hAnsi="仿宋" w:cs="仿宋"/>
              <w:color w:val="auto"/>
            </w:rPr>
            <w:fldChar w:fldCharType="end"/>
          </w:r>
          <w:r>
            <w:rPr>
              <w:rFonts w:hint="eastAsia" w:ascii="仿宋" w:hAnsi="仿宋" w:cs="仿宋"/>
              <w:color w:val="auto"/>
            </w:rPr>
            <w:fldChar w:fldCharType="end"/>
          </w:r>
        </w:p>
        <w:p w14:paraId="585265D4">
          <w:pPr>
            <w:pStyle w:val="21"/>
            <w:tabs>
              <w:tab w:val="right" w:leader="dot" w:pos="8306"/>
            </w:tabs>
            <w:rPr>
              <w:rFonts w:ascii="仿宋" w:hAnsi="仿宋" w:cs="仿宋"/>
              <w:color w:val="auto"/>
            </w:rPr>
          </w:pPr>
          <w:r>
            <w:rPr>
              <w:color w:val="auto"/>
            </w:rPr>
            <w:fldChar w:fldCharType="begin"/>
          </w:r>
          <w:r>
            <w:rPr>
              <w:color w:val="auto"/>
            </w:rPr>
            <w:instrText xml:space="preserve"> HYPERLINK \l "_Toc3613" </w:instrText>
          </w:r>
          <w:r>
            <w:rPr>
              <w:color w:val="auto"/>
            </w:rPr>
            <w:fldChar w:fldCharType="separate"/>
          </w:r>
          <w:r>
            <w:rPr>
              <w:rFonts w:hint="eastAsia" w:ascii="仿宋" w:hAnsi="仿宋" w:cs="仿宋"/>
              <w:color w:val="auto"/>
            </w:rPr>
            <w:t>第二章 发展思路和主要目标</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_Toc3613 </w:instrText>
          </w:r>
          <w:r>
            <w:rPr>
              <w:rFonts w:hint="eastAsia" w:ascii="仿宋" w:hAnsi="仿宋" w:cs="仿宋"/>
              <w:color w:val="auto"/>
            </w:rPr>
            <w:fldChar w:fldCharType="separate"/>
          </w:r>
          <w:r>
            <w:rPr>
              <w:rFonts w:hint="eastAsia" w:ascii="仿宋" w:hAnsi="仿宋" w:cs="仿宋"/>
              <w:color w:val="auto"/>
            </w:rPr>
            <w:t>- 14 -</w:t>
          </w:r>
          <w:r>
            <w:rPr>
              <w:rFonts w:hint="eastAsia" w:ascii="仿宋" w:hAnsi="仿宋" w:cs="仿宋"/>
              <w:color w:val="auto"/>
            </w:rPr>
            <w:fldChar w:fldCharType="end"/>
          </w:r>
          <w:r>
            <w:rPr>
              <w:rFonts w:hint="eastAsia" w:ascii="仿宋" w:hAnsi="仿宋" w:cs="仿宋"/>
              <w:color w:val="auto"/>
            </w:rPr>
            <w:fldChar w:fldCharType="end"/>
          </w:r>
        </w:p>
        <w:p w14:paraId="2AA3534A">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"_Toc30521" </w:instrText>
          </w:r>
          <w:r>
            <w:rPr>
              <w:color w:val="auto"/>
            </w:rPr>
            <w:fldChar w:fldCharType="separate"/>
          </w:r>
          <w:r>
            <w:rPr>
              <w:rFonts w:hint="eastAsia" w:ascii="仿宋" w:hAnsi="仿宋" w:cs="仿宋"/>
              <w:color w:val="auto"/>
            </w:rPr>
            <w:t>第一节 指导思想</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_Toc30521 </w:instrText>
          </w:r>
          <w:r>
            <w:rPr>
              <w:rFonts w:hint="eastAsia" w:ascii="仿宋" w:hAnsi="仿宋" w:cs="仿宋"/>
              <w:color w:val="auto"/>
            </w:rPr>
            <w:fldChar w:fldCharType="separate"/>
          </w:r>
          <w:r>
            <w:rPr>
              <w:rFonts w:hint="eastAsia" w:ascii="仿宋" w:hAnsi="仿宋" w:cs="仿宋"/>
              <w:color w:val="auto"/>
            </w:rPr>
            <w:t>- 14 -</w:t>
          </w:r>
          <w:r>
            <w:rPr>
              <w:rFonts w:hint="eastAsia" w:ascii="仿宋" w:hAnsi="仿宋" w:cs="仿宋"/>
              <w:color w:val="auto"/>
            </w:rPr>
            <w:fldChar w:fldCharType="end"/>
          </w:r>
          <w:r>
            <w:rPr>
              <w:rFonts w:hint="eastAsia" w:ascii="仿宋" w:hAnsi="仿宋" w:cs="仿宋"/>
              <w:color w:val="auto"/>
            </w:rPr>
            <w:fldChar w:fldCharType="end"/>
          </w:r>
        </w:p>
        <w:p w14:paraId="54E8A5D3">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"_Toc3853" </w:instrText>
          </w:r>
          <w:r>
            <w:rPr>
              <w:color w:val="auto"/>
            </w:rPr>
            <w:fldChar w:fldCharType="separate"/>
          </w:r>
          <w:r>
            <w:rPr>
              <w:rFonts w:hint="eastAsia" w:ascii="仿宋" w:hAnsi="仿宋" w:cs="仿宋"/>
              <w:color w:val="auto"/>
            </w:rPr>
            <w:t>第二节 基本原则</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_Toc3853 </w:instrText>
          </w:r>
          <w:r>
            <w:rPr>
              <w:rFonts w:hint="eastAsia" w:ascii="仿宋" w:hAnsi="仿宋" w:cs="仿宋"/>
              <w:color w:val="auto"/>
            </w:rPr>
            <w:fldChar w:fldCharType="separate"/>
          </w:r>
          <w:r>
            <w:rPr>
              <w:rFonts w:hint="eastAsia" w:ascii="仿宋" w:hAnsi="仿宋" w:cs="仿宋"/>
              <w:color w:val="auto"/>
            </w:rPr>
            <w:t>- 15 -</w:t>
          </w:r>
          <w:r>
            <w:rPr>
              <w:rFonts w:hint="eastAsia" w:ascii="仿宋" w:hAnsi="仿宋" w:cs="仿宋"/>
              <w:color w:val="auto"/>
            </w:rPr>
            <w:fldChar w:fldCharType="end"/>
          </w:r>
          <w:r>
            <w:rPr>
              <w:rFonts w:hint="eastAsia" w:ascii="仿宋" w:hAnsi="仿宋" w:cs="仿宋"/>
              <w:color w:val="auto"/>
            </w:rPr>
            <w:fldChar w:fldCharType="end"/>
          </w:r>
        </w:p>
        <w:p w14:paraId="4A4F168A">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"_Toc20167" </w:instrText>
          </w:r>
          <w:r>
            <w:rPr>
              <w:color w:val="auto"/>
            </w:rPr>
            <w:fldChar w:fldCharType="separate"/>
          </w:r>
          <w:r>
            <w:rPr>
              <w:rFonts w:hint="eastAsia" w:ascii="仿宋" w:hAnsi="仿宋" w:cs="仿宋"/>
              <w:color w:val="auto"/>
            </w:rPr>
            <w:t>第三节 “两带两区”引领</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_Toc20167 </w:instrText>
          </w:r>
          <w:r>
            <w:rPr>
              <w:rFonts w:hint="eastAsia" w:ascii="仿宋" w:hAnsi="仿宋" w:cs="仿宋"/>
              <w:color w:val="auto"/>
            </w:rPr>
            <w:fldChar w:fldCharType="separate"/>
          </w:r>
          <w:r>
            <w:rPr>
              <w:rFonts w:hint="eastAsia" w:ascii="仿宋" w:hAnsi="仿宋" w:cs="仿宋"/>
              <w:color w:val="auto"/>
            </w:rPr>
            <w:t>- 16 -</w:t>
          </w:r>
          <w:r>
            <w:rPr>
              <w:rFonts w:hint="eastAsia" w:ascii="仿宋" w:hAnsi="仿宋" w:cs="仿宋"/>
              <w:color w:val="auto"/>
            </w:rPr>
            <w:fldChar w:fldCharType="end"/>
          </w:r>
          <w:r>
            <w:rPr>
              <w:rFonts w:hint="eastAsia" w:ascii="仿宋" w:hAnsi="仿宋" w:cs="仿宋"/>
              <w:color w:val="auto"/>
            </w:rPr>
            <w:fldChar w:fldCharType="end"/>
          </w:r>
        </w:p>
        <w:p w14:paraId="20EEBC6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"_Toc14311" </w:instrText>
          </w:r>
          <w:r>
            <w:rPr>
              <w:color w:val="auto"/>
            </w:rPr>
            <w:fldChar w:fldCharType="separate"/>
          </w:r>
          <w:r>
            <w:rPr>
              <w:rFonts w:hint="eastAsia" w:ascii="仿宋" w:hAnsi="仿宋" w:cs="仿宋"/>
              <w:color w:val="auto"/>
            </w:rPr>
            <w:t>第四节 主要目标</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_Toc14311 </w:instrText>
          </w:r>
          <w:r>
            <w:rPr>
              <w:rFonts w:hint="eastAsia" w:ascii="仿宋" w:hAnsi="仿宋" w:cs="仿宋"/>
              <w:color w:val="auto"/>
            </w:rPr>
            <w:fldChar w:fldCharType="separate"/>
          </w:r>
          <w:r>
            <w:rPr>
              <w:rFonts w:hint="eastAsia" w:ascii="仿宋" w:hAnsi="仿宋" w:cs="仿宋"/>
              <w:color w:val="auto"/>
            </w:rPr>
            <w:t>- 17 -</w:t>
          </w:r>
          <w:r>
            <w:rPr>
              <w:rFonts w:hint="eastAsia" w:ascii="仿宋" w:hAnsi="仿宋" w:cs="仿宋"/>
              <w:color w:val="auto"/>
            </w:rPr>
            <w:fldChar w:fldCharType="end"/>
          </w:r>
          <w:r>
            <w:rPr>
              <w:rFonts w:hint="eastAsia" w:ascii="仿宋" w:hAnsi="仿宋" w:cs="仿宋"/>
              <w:color w:val="auto"/>
            </w:rPr>
            <w:fldChar w:fldCharType="end"/>
          </w:r>
        </w:p>
        <w:p w14:paraId="5A06EEA5">
          <w:pPr>
            <w:pStyle w:val="21"/>
            <w:tabs>
              <w:tab w:val="right" w:leader="dot" w:pos="8306"/>
            </w:tabs>
            <w:rPr>
              <w:rFonts w:ascii="仿宋" w:hAnsi="仿宋" w:cs="仿宋"/>
              <w:color w:val="auto"/>
            </w:rPr>
          </w:pPr>
          <w:r>
            <w:rPr>
              <w:color w:val="auto"/>
            </w:rPr>
            <w:fldChar w:fldCharType="begin"/>
          </w:r>
          <w:r>
            <w:rPr>
              <w:color w:val="auto"/>
            </w:rPr>
            <w:instrText xml:space="preserve"> HYPERLINK \l "_Toc2515" </w:instrText>
          </w:r>
          <w:r>
            <w:rPr>
              <w:color w:val="auto"/>
            </w:rPr>
            <w:fldChar w:fldCharType="separate"/>
          </w:r>
          <w:r>
            <w:rPr>
              <w:rFonts w:hint="eastAsia" w:ascii="仿宋" w:hAnsi="仿宋" w:cs="仿宋"/>
              <w:color w:val="auto"/>
            </w:rPr>
            <w:t>第三章 坚持生态优先，筑牢高质量发展生态支撑</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_Toc2515 </w:instrText>
          </w:r>
          <w:r>
            <w:rPr>
              <w:rFonts w:hint="eastAsia" w:ascii="仿宋" w:hAnsi="仿宋" w:cs="仿宋"/>
              <w:color w:val="auto"/>
            </w:rPr>
            <w:fldChar w:fldCharType="separate"/>
          </w:r>
          <w:r>
            <w:rPr>
              <w:rFonts w:hint="eastAsia" w:ascii="仿宋" w:hAnsi="仿宋" w:cs="仿宋"/>
              <w:color w:val="auto"/>
            </w:rPr>
            <w:t>- 21 -</w:t>
          </w:r>
          <w:r>
            <w:rPr>
              <w:rFonts w:hint="eastAsia" w:ascii="仿宋" w:hAnsi="仿宋" w:cs="仿宋"/>
              <w:color w:val="auto"/>
            </w:rPr>
            <w:fldChar w:fldCharType="end"/>
          </w:r>
          <w:r>
            <w:rPr>
              <w:rFonts w:hint="eastAsia" w:ascii="仿宋" w:hAnsi="仿宋" w:cs="仿宋"/>
              <w:color w:val="auto"/>
            </w:rPr>
            <w:fldChar w:fldCharType="end"/>
          </w:r>
        </w:p>
        <w:p w14:paraId="44BC20C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"_Toc6554" </w:instrText>
          </w:r>
          <w:r>
            <w:rPr>
              <w:color w:val="auto"/>
            </w:rPr>
            <w:fldChar w:fldCharType="separate"/>
          </w:r>
          <w:r>
            <w:rPr>
              <w:rFonts w:hint="eastAsia" w:ascii="仿宋" w:hAnsi="仿宋" w:cs="仿宋"/>
              <w:color w:val="auto"/>
            </w:rPr>
            <w:t>第一节 持续推进生态环境保护</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_Toc6554 </w:instrText>
          </w:r>
          <w:r>
            <w:rPr>
              <w:rFonts w:hint="eastAsia" w:ascii="仿宋" w:hAnsi="仿宋" w:cs="仿宋"/>
              <w:color w:val="auto"/>
            </w:rPr>
            <w:fldChar w:fldCharType="separate"/>
          </w:r>
          <w:r>
            <w:rPr>
              <w:rFonts w:hint="eastAsia" w:ascii="仿宋" w:hAnsi="仿宋" w:cs="仿宋"/>
              <w:color w:val="auto"/>
            </w:rPr>
            <w:t>- 21 -</w:t>
          </w:r>
          <w:r>
            <w:rPr>
              <w:rFonts w:hint="eastAsia" w:ascii="仿宋" w:hAnsi="仿宋" w:cs="仿宋"/>
              <w:color w:val="auto"/>
            </w:rPr>
            <w:fldChar w:fldCharType="end"/>
          </w:r>
          <w:r>
            <w:rPr>
              <w:rFonts w:hint="eastAsia" w:ascii="仿宋" w:hAnsi="仿宋" w:cs="仿宋"/>
              <w:color w:val="auto"/>
            </w:rPr>
            <w:fldChar w:fldCharType="end"/>
          </w:r>
        </w:p>
        <w:p w14:paraId="74C201C8">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"_Toc4438" </w:instrText>
          </w:r>
          <w:r>
            <w:rPr>
              <w:color w:val="auto"/>
            </w:rPr>
            <w:fldChar w:fldCharType="separate"/>
          </w:r>
          <w:r>
            <w:rPr>
              <w:rFonts w:hint="eastAsia" w:ascii="仿宋" w:hAnsi="仿宋" w:cs="仿宋"/>
              <w:color w:val="auto"/>
            </w:rPr>
            <w:t>第二节 打好污染防治攻坚战</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_Toc4438 </w:instrText>
          </w:r>
          <w:r>
            <w:rPr>
              <w:rFonts w:hint="eastAsia" w:ascii="仿宋" w:hAnsi="仿宋" w:cs="仿宋"/>
              <w:color w:val="auto"/>
            </w:rPr>
            <w:fldChar w:fldCharType="separate"/>
          </w:r>
          <w:r>
            <w:rPr>
              <w:rFonts w:hint="eastAsia" w:ascii="仿宋" w:hAnsi="仿宋" w:cs="仿宋"/>
              <w:color w:val="auto"/>
            </w:rPr>
            <w:t>- 23 -</w:t>
          </w:r>
          <w:r>
            <w:rPr>
              <w:rFonts w:hint="eastAsia" w:ascii="仿宋" w:hAnsi="仿宋" w:cs="仿宋"/>
              <w:color w:val="auto"/>
            </w:rPr>
            <w:fldChar w:fldCharType="end"/>
          </w:r>
          <w:r>
            <w:rPr>
              <w:rFonts w:hint="eastAsia" w:ascii="仿宋" w:hAnsi="仿宋" w:cs="仿宋"/>
              <w:color w:val="auto"/>
            </w:rPr>
            <w:fldChar w:fldCharType="end"/>
          </w:r>
        </w:p>
        <w:p w14:paraId="4B659F92">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"_Toc19934" </w:instrText>
          </w:r>
          <w:r>
            <w:rPr>
              <w:color w:val="auto"/>
            </w:rPr>
            <w:fldChar w:fldCharType="separate"/>
          </w:r>
          <w:r>
            <w:rPr>
              <w:rFonts w:hint="eastAsia" w:ascii="仿宋" w:hAnsi="仿宋" w:cs="仿宋"/>
              <w:color w:val="auto"/>
            </w:rPr>
            <w:t>第三节 强化生态文明建设制度保障</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_Toc19934 </w:instrText>
          </w:r>
          <w:r>
            <w:rPr>
              <w:rFonts w:hint="eastAsia" w:ascii="仿宋" w:hAnsi="仿宋" w:cs="仿宋"/>
              <w:color w:val="auto"/>
            </w:rPr>
            <w:fldChar w:fldCharType="separate"/>
          </w:r>
          <w:r>
            <w:rPr>
              <w:rFonts w:hint="eastAsia" w:ascii="仿宋" w:hAnsi="仿宋" w:cs="仿宋"/>
              <w:color w:val="auto"/>
            </w:rPr>
            <w:t>- 26 -</w:t>
          </w:r>
          <w:r>
            <w:rPr>
              <w:rFonts w:hint="eastAsia" w:ascii="仿宋" w:hAnsi="仿宋" w:cs="仿宋"/>
              <w:color w:val="auto"/>
            </w:rPr>
            <w:fldChar w:fldCharType="end"/>
          </w:r>
          <w:r>
            <w:rPr>
              <w:rFonts w:hint="eastAsia" w:ascii="仿宋" w:hAnsi="仿宋" w:cs="仿宋"/>
              <w:color w:val="auto"/>
            </w:rPr>
            <w:fldChar w:fldCharType="end"/>
          </w:r>
        </w:p>
        <w:p w14:paraId="5FD95472">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"_Toc8770" </w:instrText>
          </w:r>
          <w:r>
            <w:rPr>
              <w:color w:val="auto"/>
            </w:rPr>
            <w:fldChar w:fldCharType="separate"/>
          </w:r>
          <w:r>
            <w:rPr>
              <w:rFonts w:hint="eastAsia" w:ascii="仿宋" w:hAnsi="仿宋" w:cs="仿宋"/>
              <w:color w:val="auto"/>
            </w:rPr>
            <w:t>第四节 提高资源利用效率</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_Toc8770 </w:instrText>
          </w:r>
          <w:r>
            <w:rPr>
              <w:rFonts w:hint="eastAsia" w:ascii="仿宋" w:hAnsi="仿宋" w:cs="仿宋"/>
              <w:color w:val="auto"/>
            </w:rPr>
            <w:fldChar w:fldCharType="separate"/>
          </w:r>
          <w:r>
            <w:rPr>
              <w:rFonts w:hint="eastAsia" w:ascii="仿宋" w:hAnsi="仿宋" w:cs="仿宋"/>
              <w:color w:val="auto"/>
            </w:rPr>
            <w:t>- 29 -</w:t>
          </w:r>
          <w:r>
            <w:rPr>
              <w:rFonts w:hint="eastAsia" w:ascii="仿宋" w:hAnsi="仿宋" w:cs="仿宋"/>
              <w:color w:val="auto"/>
            </w:rPr>
            <w:fldChar w:fldCharType="end"/>
          </w:r>
          <w:r>
            <w:rPr>
              <w:rFonts w:hint="eastAsia" w:ascii="仿宋" w:hAnsi="仿宋" w:cs="仿宋"/>
              <w:color w:val="auto"/>
            </w:rPr>
            <w:fldChar w:fldCharType="end"/>
          </w:r>
        </w:p>
        <w:p w14:paraId="61B8539D">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"_Toc26509" </w:instrText>
          </w:r>
          <w:r>
            <w:rPr>
              <w:color w:val="auto"/>
            </w:rPr>
            <w:fldChar w:fldCharType="separate"/>
          </w:r>
          <w:r>
            <w:rPr>
              <w:rFonts w:hint="eastAsia" w:ascii="仿宋" w:hAnsi="仿宋" w:cs="仿宋"/>
              <w:color w:val="auto"/>
            </w:rPr>
            <w:t xml:space="preserve">第五节 </w:t>
          </w:r>
          <w:r>
            <w:rPr>
              <w:rFonts w:hint="eastAsia" w:ascii="仿宋" w:hAnsi="仿宋" w:cs="仿宋"/>
              <w:bCs/>
              <w:color w:val="auto"/>
              <w:szCs w:val="32"/>
            </w:rPr>
            <w:t>推进绿色低碳发展</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_Toc26509 </w:instrText>
          </w:r>
          <w:r>
            <w:rPr>
              <w:rFonts w:hint="eastAsia" w:ascii="仿宋" w:hAnsi="仿宋" w:cs="仿宋"/>
              <w:color w:val="auto"/>
            </w:rPr>
            <w:fldChar w:fldCharType="separate"/>
          </w:r>
          <w:r>
            <w:rPr>
              <w:rFonts w:hint="eastAsia" w:ascii="仿宋" w:hAnsi="仿宋" w:cs="仿宋"/>
              <w:color w:val="auto"/>
            </w:rPr>
            <w:t>- 30 -</w:t>
          </w:r>
          <w:r>
            <w:rPr>
              <w:rFonts w:hint="eastAsia" w:ascii="仿宋" w:hAnsi="仿宋" w:cs="仿宋"/>
              <w:color w:val="auto"/>
            </w:rPr>
            <w:fldChar w:fldCharType="end"/>
          </w:r>
          <w:r>
            <w:rPr>
              <w:rFonts w:hint="eastAsia" w:ascii="仿宋" w:hAnsi="仿宋" w:cs="仿宋"/>
              <w:color w:val="auto"/>
            </w:rPr>
            <w:fldChar w:fldCharType="end"/>
          </w:r>
        </w:p>
        <w:p w14:paraId="422D4245">
          <w:pPr>
            <w:pStyle w:val="21"/>
            <w:tabs>
              <w:tab w:val="right" w:leader="dot" w:pos="8306"/>
            </w:tabs>
            <w:rPr>
              <w:rFonts w:ascii="仿宋" w:hAnsi="仿宋" w:cs="仿宋"/>
              <w:color w:val="auto"/>
            </w:rPr>
          </w:pPr>
          <w:r>
            <w:rPr>
              <w:color w:val="auto"/>
            </w:rPr>
            <w:fldChar w:fldCharType="begin"/>
          </w:r>
          <w:r>
            <w:rPr>
              <w:color w:val="auto"/>
            </w:rPr>
            <w:instrText xml:space="preserve"> HYPERLINK \l "_Toc28406" </w:instrText>
          </w:r>
          <w:r>
            <w:rPr>
              <w:color w:val="auto"/>
            </w:rPr>
            <w:fldChar w:fldCharType="separate"/>
          </w:r>
          <w:r>
            <w:rPr>
              <w:rFonts w:hint="eastAsia" w:ascii="仿宋" w:hAnsi="仿宋" w:cs="仿宋"/>
              <w:color w:val="auto"/>
            </w:rPr>
            <w:t xml:space="preserve">第四章 </w:t>
          </w:r>
          <w:r>
            <w:rPr>
              <w:rFonts w:hint="eastAsia" w:ascii="仿宋" w:hAnsi="仿宋" w:cs="仿宋"/>
              <w:bCs/>
              <w:color w:val="auto"/>
              <w:kern w:val="44"/>
              <w:szCs w:val="44"/>
            </w:rPr>
            <w:t>坚持创新驱动发展，增强高质量发展新动能</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_Toc28406 </w:instrText>
          </w:r>
          <w:r>
            <w:rPr>
              <w:rFonts w:hint="eastAsia" w:ascii="仿宋" w:hAnsi="仿宋" w:cs="仿宋"/>
              <w:color w:val="auto"/>
            </w:rPr>
            <w:fldChar w:fldCharType="separate"/>
          </w:r>
          <w:r>
            <w:rPr>
              <w:rFonts w:hint="eastAsia" w:ascii="仿宋" w:hAnsi="仿宋" w:cs="仿宋"/>
              <w:color w:val="auto"/>
            </w:rPr>
            <w:t>- 32 -</w:t>
          </w:r>
          <w:r>
            <w:rPr>
              <w:rFonts w:hint="eastAsia" w:ascii="仿宋" w:hAnsi="仿宋" w:cs="仿宋"/>
              <w:color w:val="auto"/>
            </w:rPr>
            <w:fldChar w:fldCharType="end"/>
          </w:r>
          <w:r>
            <w:rPr>
              <w:rFonts w:hint="eastAsia" w:ascii="仿宋" w:hAnsi="仿宋" w:cs="仿宋"/>
              <w:color w:val="auto"/>
            </w:rPr>
            <w:fldChar w:fldCharType="end"/>
          </w:r>
        </w:p>
        <w:p w14:paraId="6BF02FBD">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"_Toc14034" </w:instrText>
          </w:r>
          <w:r>
            <w:rPr>
              <w:color w:val="auto"/>
            </w:rPr>
            <w:fldChar w:fldCharType="separate"/>
          </w:r>
          <w:r>
            <w:rPr>
              <w:rFonts w:hint="eastAsia" w:ascii="仿宋" w:hAnsi="仿宋" w:cs="仿宋"/>
              <w:color w:val="auto"/>
            </w:rPr>
            <w:t>第一节 加强科技创新平台建设</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_Toc14034 </w:instrText>
          </w:r>
          <w:r>
            <w:rPr>
              <w:rFonts w:hint="eastAsia" w:ascii="仿宋" w:hAnsi="仿宋" w:cs="仿宋"/>
              <w:color w:val="auto"/>
            </w:rPr>
            <w:fldChar w:fldCharType="separate"/>
          </w:r>
          <w:r>
            <w:rPr>
              <w:rFonts w:hint="eastAsia" w:ascii="仿宋" w:hAnsi="仿宋" w:cs="仿宋"/>
              <w:color w:val="auto"/>
            </w:rPr>
            <w:t>- 32 -</w:t>
          </w:r>
          <w:r>
            <w:rPr>
              <w:rFonts w:hint="eastAsia" w:ascii="仿宋" w:hAnsi="仿宋" w:cs="仿宋"/>
              <w:color w:val="auto"/>
            </w:rPr>
            <w:fldChar w:fldCharType="end"/>
          </w:r>
          <w:r>
            <w:rPr>
              <w:rFonts w:hint="eastAsia" w:ascii="仿宋" w:hAnsi="仿宋" w:cs="仿宋"/>
              <w:color w:val="auto"/>
            </w:rPr>
            <w:fldChar w:fldCharType="end"/>
          </w:r>
        </w:p>
        <w:p w14:paraId="5394AE5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"_Toc22824" </w:instrText>
          </w:r>
          <w:r>
            <w:rPr>
              <w:color w:val="auto"/>
            </w:rPr>
            <w:fldChar w:fldCharType="separate"/>
          </w:r>
          <w:r>
            <w:rPr>
              <w:rFonts w:hint="eastAsia" w:ascii="仿宋" w:hAnsi="仿宋" w:cs="仿宋"/>
              <w:color w:val="auto"/>
            </w:rPr>
            <w:t>第二节 提升创新驱动发展能力</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_Toc22824 </w:instrText>
          </w:r>
          <w:r>
            <w:rPr>
              <w:rFonts w:hint="eastAsia" w:ascii="仿宋" w:hAnsi="仿宋" w:cs="仿宋"/>
              <w:color w:val="auto"/>
            </w:rPr>
            <w:fldChar w:fldCharType="separate"/>
          </w:r>
          <w:r>
            <w:rPr>
              <w:rFonts w:hint="eastAsia" w:ascii="仿宋" w:hAnsi="仿宋" w:cs="仿宋"/>
              <w:color w:val="auto"/>
            </w:rPr>
            <w:t>- 33 -</w:t>
          </w:r>
          <w:r>
            <w:rPr>
              <w:rFonts w:hint="eastAsia" w:ascii="仿宋" w:hAnsi="仿宋" w:cs="仿宋"/>
              <w:color w:val="auto"/>
            </w:rPr>
            <w:fldChar w:fldCharType="end"/>
          </w:r>
          <w:r>
            <w:rPr>
              <w:rFonts w:hint="eastAsia" w:ascii="仿宋" w:hAnsi="仿宋" w:cs="仿宋"/>
              <w:color w:val="auto"/>
            </w:rPr>
            <w:fldChar w:fldCharType="end"/>
          </w:r>
        </w:p>
        <w:p w14:paraId="78ECC0C7">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"_Toc2006" </w:instrText>
          </w:r>
          <w:r>
            <w:rPr>
              <w:color w:val="auto"/>
            </w:rPr>
            <w:fldChar w:fldCharType="separate"/>
          </w:r>
          <w:r>
            <w:rPr>
              <w:rFonts w:hint="eastAsia" w:ascii="仿宋" w:hAnsi="仿宋" w:cs="仿宋"/>
              <w:color w:val="auto"/>
            </w:rPr>
            <w:t>第三节 积极承接科技成果转化</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_Toc2006 </w:instrText>
          </w:r>
          <w:r>
            <w:rPr>
              <w:rFonts w:hint="eastAsia" w:ascii="仿宋" w:hAnsi="仿宋" w:cs="仿宋"/>
              <w:color w:val="auto"/>
            </w:rPr>
            <w:fldChar w:fldCharType="separate"/>
          </w:r>
          <w:r>
            <w:rPr>
              <w:rFonts w:hint="eastAsia" w:ascii="仿宋" w:hAnsi="仿宋" w:cs="仿宋"/>
              <w:color w:val="auto"/>
            </w:rPr>
            <w:t>- 34 -</w:t>
          </w:r>
          <w:r>
            <w:rPr>
              <w:rFonts w:hint="eastAsia" w:ascii="仿宋" w:hAnsi="仿宋" w:cs="仿宋"/>
              <w:color w:val="auto"/>
            </w:rPr>
            <w:fldChar w:fldCharType="end"/>
          </w:r>
          <w:r>
            <w:rPr>
              <w:rFonts w:hint="eastAsia" w:ascii="仿宋" w:hAnsi="仿宋" w:cs="仿宋"/>
              <w:color w:val="auto"/>
            </w:rPr>
            <w:fldChar w:fldCharType="end"/>
          </w:r>
        </w:p>
        <w:p w14:paraId="2C1A01CC">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"_Toc28775" </w:instrText>
          </w:r>
          <w:r>
            <w:rPr>
              <w:color w:val="auto"/>
            </w:rPr>
            <w:fldChar w:fldCharType="separate"/>
          </w:r>
          <w:r>
            <w:rPr>
              <w:rFonts w:hint="eastAsia" w:ascii="仿宋" w:hAnsi="仿宋" w:cs="仿宋"/>
              <w:color w:val="auto"/>
            </w:rPr>
            <w:t>第四节 完善科技创新体制机制</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_Toc28775 </w:instrText>
          </w:r>
          <w:r>
            <w:rPr>
              <w:rFonts w:hint="eastAsia" w:ascii="仿宋" w:hAnsi="仿宋" w:cs="仿宋"/>
              <w:color w:val="auto"/>
            </w:rPr>
            <w:fldChar w:fldCharType="separate"/>
          </w:r>
          <w:r>
            <w:rPr>
              <w:rFonts w:hint="eastAsia" w:ascii="仿宋" w:hAnsi="仿宋" w:cs="仿宋"/>
              <w:color w:val="auto"/>
            </w:rPr>
            <w:t>- 34 -</w:t>
          </w:r>
          <w:r>
            <w:rPr>
              <w:rFonts w:hint="eastAsia" w:ascii="仿宋" w:hAnsi="仿宋" w:cs="仿宋"/>
              <w:color w:val="auto"/>
            </w:rPr>
            <w:fldChar w:fldCharType="end"/>
          </w:r>
          <w:r>
            <w:rPr>
              <w:rFonts w:hint="eastAsia" w:ascii="仿宋" w:hAnsi="仿宋" w:cs="仿宋"/>
              <w:color w:val="auto"/>
            </w:rPr>
            <w:fldChar w:fldCharType="end"/>
          </w:r>
        </w:p>
        <w:p w14:paraId="2B5074C8">
          <w:pPr>
            <w:pStyle w:val="21"/>
            <w:tabs>
              <w:tab w:val="right" w:leader="dot" w:pos="8306"/>
            </w:tabs>
            <w:rPr>
              <w:rFonts w:ascii="仿宋" w:hAnsi="仿宋" w:cs="仿宋"/>
              <w:color w:val="auto"/>
            </w:rPr>
          </w:pPr>
          <w:r>
            <w:rPr>
              <w:color w:val="auto"/>
            </w:rPr>
            <w:fldChar w:fldCharType="begin"/>
          </w:r>
          <w:r>
            <w:rPr>
              <w:color w:val="auto"/>
            </w:rPr>
            <w:instrText xml:space="preserve"> HYPERLINK \l "_Toc30676" </w:instrText>
          </w:r>
          <w:r>
            <w:rPr>
              <w:color w:val="auto"/>
            </w:rPr>
            <w:fldChar w:fldCharType="separate"/>
          </w:r>
          <w:r>
            <w:rPr>
              <w:rFonts w:hint="eastAsia" w:ascii="仿宋" w:hAnsi="仿宋" w:cs="仿宋"/>
              <w:color w:val="auto"/>
            </w:rPr>
            <w:t>第五章 加快构建生态产业体系，塑造高质量发展新优势</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_Toc30676 </w:instrText>
          </w:r>
          <w:r>
            <w:rPr>
              <w:rFonts w:hint="eastAsia" w:ascii="仿宋" w:hAnsi="仿宋" w:cs="仿宋"/>
              <w:color w:val="auto"/>
            </w:rPr>
            <w:fldChar w:fldCharType="separate"/>
          </w:r>
          <w:r>
            <w:rPr>
              <w:rFonts w:hint="eastAsia" w:ascii="仿宋" w:hAnsi="仿宋" w:cs="仿宋"/>
              <w:color w:val="auto"/>
            </w:rPr>
            <w:t>- 36 -</w:t>
          </w:r>
          <w:r>
            <w:rPr>
              <w:rFonts w:hint="eastAsia" w:ascii="仿宋" w:hAnsi="仿宋" w:cs="仿宋"/>
              <w:color w:val="auto"/>
            </w:rPr>
            <w:fldChar w:fldCharType="end"/>
          </w:r>
          <w:r>
            <w:rPr>
              <w:rFonts w:hint="eastAsia" w:ascii="仿宋" w:hAnsi="仿宋" w:cs="仿宋"/>
              <w:color w:val="auto"/>
            </w:rPr>
            <w:fldChar w:fldCharType="end"/>
          </w:r>
        </w:p>
        <w:p w14:paraId="7DA4BB3B">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"_Toc352" </w:instrText>
          </w:r>
          <w:r>
            <w:rPr>
              <w:color w:val="auto"/>
            </w:rPr>
            <w:fldChar w:fldCharType="separate"/>
          </w:r>
          <w:r>
            <w:rPr>
              <w:rFonts w:hint="eastAsia" w:ascii="仿宋" w:hAnsi="仿宋" w:cs="仿宋"/>
              <w:color w:val="auto"/>
            </w:rPr>
            <w:t>第一节 大力发展生态农业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_Toc352 </w:instrText>
          </w:r>
          <w:r>
            <w:rPr>
              <w:rFonts w:hint="eastAsia" w:ascii="仿宋" w:hAnsi="仿宋" w:cs="仿宋"/>
              <w:color w:val="auto"/>
            </w:rPr>
            <w:fldChar w:fldCharType="separate"/>
          </w:r>
          <w:r>
            <w:rPr>
              <w:rFonts w:hint="eastAsia" w:ascii="仿宋" w:hAnsi="仿宋" w:cs="仿宋"/>
              <w:color w:val="auto"/>
            </w:rPr>
            <w:t>- 36 -</w:t>
          </w:r>
          <w:r>
            <w:rPr>
              <w:rFonts w:hint="eastAsia" w:ascii="仿宋" w:hAnsi="仿宋" w:cs="仿宋"/>
              <w:color w:val="auto"/>
            </w:rPr>
            <w:fldChar w:fldCharType="end"/>
          </w:r>
          <w:r>
            <w:rPr>
              <w:rFonts w:hint="eastAsia" w:ascii="仿宋" w:hAnsi="仿宋" w:cs="仿宋"/>
              <w:color w:val="auto"/>
            </w:rPr>
            <w:fldChar w:fldCharType="end"/>
          </w:r>
        </w:p>
        <w:p w14:paraId="6DEA134F">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"_Toc7090" </w:instrText>
          </w:r>
          <w:r>
            <w:rPr>
              <w:color w:val="auto"/>
            </w:rPr>
            <w:fldChar w:fldCharType="separate"/>
          </w:r>
          <w:r>
            <w:rPr>
              <w:rFonts w:hint="eastAsia" w:ascii="仿宋" w:hAnsi="仿宋" w:cs="仿宋"/>
              <w:color w:val="auto"/>
            </w:rPr>
            <w:t>第二节 大力发展生态旅游</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_Toc7090 </w:instrText>
          </w:r>
          <w:r>
            <w:rPr>
              <w:rFonts w:hint="eastAsia" w:ascii="仿宋" w:hAnsi="仿宋" w:cs="仿宋"/>
              <w:color w:val="auto"/>
            </w:rPr>
            <w:fldChar w:fldCharType="separate"/>
          </w:r>
          <w:r>
            <w:rPr>
              <w:rFonts w:hint="eastAsia" w:ascii="仿宋" w:hAnsi="仿宋" w:cs="仿宋"/>
              <w:color w:val="auto"/>
            </w:rPr>
            <w:t>- 43 -</w:t>
          </w:r>
          <w:r>
            <w:rPr>
              <w:rFonts w:hint="eastAsia" w:ascii="仿宋" w:hAnsi="仿宋" w:cs="仿宋"/>
              <w:color w:val="auto"/>
            </w:rPr>
            <w:fldChar w:fldCharType="end"/>
          </w:r>
          <w:r>
            <w:rPr>
              <w:rFonts w:hint="eastAsia" w:ascii="仿宋" w:hAnsi="仿宋" w:cs="仿宋"/>
              <w:color w:val="auto"/>
            </w:rPr>
            <w:fldChar w:fldCharType="end"/>
          </w:r>
        </w:p>
        <w:p w14:paraId="79719C7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"_Toc9351" </w:instrText>
          </w:r>
          <w:r>
            <w:rPr>
              <w:color w:val="auto"/>
            </w:rPr>
            <w:fldChar w:fldCharType="separate"/>
          </w:r>
          <w:r>
            <w:rPr>
              <w:rFonts w:hint="eastAsia" w:ascii="仿宋" w:hAnsi="仿宋" w:cs="仿宋"/>
              <w:color w:val="auto"/>
            </w:rPr>
            <w:t>第三节 大力发展绿色工业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_Toc9351 </w:instrText>
          </w:r>
          <w:r>
            <w:rPr>
              <w:rFonts w:hint="eastAsia" w:ascii="仿宋" w:hAnsi="仿宋" w:cs="仿宋"/>
              <w:color w:val="auto"/>
            </w:rPr>
            <w:fldChar w:fldCharType="separate"/>
          </w:r>
          <w:r>
            <w:rPr>
              <w:rFonts w:hint="eastAsia" w:ascii="仿宋" w:hAnsi="仿宋" w:cs="仿宋"/>
              <w:color w:val="auto"/>
            </w:rPr>
            <w:t>- 51 -</w:t>
          </w:r>
          <w:r>
            <w:rPr>
              <w:rFonts w:hint="eastAsia" w:ascii="仿宋" w:hAnsi="仿宋" w:cs="仿宋"/>
              <w:color w:val="auto"/>
            </w:rPr>
            <w:fldChar w:fldCharType="end"/>
          </w:r>
          <w:r>
            <w:rPr>
              <w:rFonts w:hint="eastAsia" w:ascii="仿宋" w:hAnsi="仿宋" w:cs="仿宋"/>
              <w:color w:val="auto"/>
            </w:rPr>
            <w:fldChar w:fldCharType="end"/>
          </w:r>
        </w:p>
        <w:p w14:paraId="4A511726">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"_Toc19611" </w:instrText>
          </w:r>
          <w:r>
            <w:rPr>
              <w:color w:val="auto"/>
            </w:rPr>
            <w:fldChar w:fldCharType="separate"/>
          </w:r>
          <w:r>
            <w:rPr>
              <w:rFonts w:hint="eastAsia" w:ascii="仿宋" w:hAnsi="仿宋" w:cs="仿宋"/>
              <w:color w:val="auto"/>
            </w:rPr>
            <w:t>第四节 加快发展现代服务业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_Toc19611 </w:instrText>
          </w:r>
          <w:r>
            <w:rPr>
              <w:rFonts w:hint="eastAsia" w:ascii="仿宋" w:hAnsi="仿宋" w:cs="仿宋"/>
              <w:color w:val="auto"/>
            </w:rPr>
            <w:fldChar w:fldCharType="separate"/>
          </w:r>
          <w:r>
            <w:rPr>
              <w:rFonts w:hint="eastAsia" w:ascii="仿宋" w:hAnsi="仿宋" w:cs="仿宋"/>
              <w:color w:val="auto"/>
            </w:rPr>
            <w:t>- 56 -</w:t>
          </w:r>
          <w:r>
            <w:rPr>
              <w:rFonts w:hint="eastAsia" w:ascii="仿宋" w:hAnsi="仿宋" w:cs="仿宋"/>
              <w:color w:val="auto"/>
            </w:rPr>
            <w:fldChar w:fldCharType="end"/>
          </w:r>
          <w:r>
            <w:rPr>
              <w:rFonts w:hint="eastAsia" w:ascii="仿宋" w:hAnsi="仿宋" w:cs="仿宋"/>
              <w:color w:val="auto"/>
            </w:rPr>
            <w:fldChar w:fldCharType="end"/>
          </w:r>
        </w:p>
        <w:p w14:paraId="23D3E8F4">
          <w:pPr>
            <w:pStyle w:val="21"/>
            <w:tabs>
              <w:tab w:val="right" w:leader="dot" w:pos="8306"/>
            </w:tabs>
            <w:rPr>
              <w:rFonts w:ascii="仿宋" w:hAnsi="仿宋" w:cs="仿宋"/>
              <w:color w:val="auto"/>
            </w:rPr>
          </w:pPr>
          <w:r>
            <w:rPr>
              <w:color w:val="auto"/>
            </w:rPr>
            <w:fldChar w:fldCharType="begin"/>
          </w:r>
          <w:r>
            <w:rPr>
              <w:color w:val="auto"/>
            </w:rPr>
            <w:instrText xml:space="preserve"> HYPERLINK \l "_Toc21034" </w:instrText>
          </w:r>
          <w:r>
            <w:rPr>
              <w:color w:val="auto"/>
            </w:rPr>
            <w:fldChar w:fldCharType="separate"/>
          </w:r>
          <w:r>
            <w:rPr>
              <w:rFonts w:hint="eastAsia" w:ascii="仿宋" w:hAnsi="仿宋" w:cs="仿宋"/>
              <w:color w:val="auto"/>
            </w:rPr>
            <w:t>第六章 统筹推进基础设施建设，提升绿色发展基础支撑能力</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_Toc21034 </w:instrText>
          </w:r>
          <w:r>
            <w:rPr>
              <w:rFonts w:hint="eastAsia" w:ascii="仿宋" w:hAnsi="仿宋" w:cs="仿宋"/>
              <w:color w:val="auto"/>
            </w:rPr>
            <w:fldChar w:fldCharType="separate"/>
          </w:r>
          <w:r>
            <w:rPr>
              <w:rFonts w:hint="eastAsia" w:ascii="仿宋" w:hAnsi="仿宋" w:cs="仿宋"/>
              <w:color w:val="auto"/>
            </w:rPr>
            <w:t>- 59 -</w:t>
          </w:r>
          <w:r>
            <w:rPr>
              <w:rFonts w:hint="eastAsia" w:ascii="仿宋" w:hAnsi="仿宋" w:cs="仿宋"/>
              <w:color w:val="auto"/>
            </w:rPr>
            <w:fldChar w:fldCharType="end"/>
          </w:r>
          <w:r>
            <w:rPr>
              <w:rFonts w:hint="eastAsia" w:ascii="仿宋" w:hAnsi="仿宋" w:cs="仿宋"/>
              <w:color w:val="auto"/>
            </w:rPr>
            <w:fldChar w:fldCharType="end"/>
          </w:r>
        </w:p>
        <w:p w14:paraId="63073C17">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"_Toc15814" </w:instrText>
          </w:r>
          <w:r>
            <w:rPr>
              <w:color w:val="auto"/>
            </w:rPr>
            <w:fldChar w:fldCharType="separate"/>
          </w:r>
          <w:r>
            <w:rPr>
              <w:rFonts w:hint="eastAsia" w:ascii="仿宋" w:hAnsi="仿宋" w:cs="仿宋"/>
              <w:color w:val="auto"/>
            </w:rPr>
            <w:t>第一节 深化融通联动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_Toc15814 </w:instrText>
          </w:r>
          <w:r>
            <w:rPr>
              <w:rFonts w:hint="eastAsia" w:ascii="仿宋" w:hAnsi="仿宋" w:cs="仿宋"/>
              <w:color w:val="auto"/>
            </w:rPr>
            <w:fldChar w:fldCharType="separate"/>
          </w:r>
          <w:r>
            <w:rPr>
              <w:rFonts w:hint="eastAsia" w:ascii="仿宋" w:hAnsi="仿宋" w:cs="仿宋"/>
              <w:color w:val="auto"/>
            </w:rPr>
            <w:t>- 59 -</w:t>
          </w:r>
          <w:r>
            <w:rPr>
              <w:rFonts w:hint="eastAsia" w:ascii="仿宋" w:hAnsi="仿宋" w:cs="仿宋"/>
              <w:color w:val="auto"/>
            </w:rPr>
            <w:fldChar w:fldCharType="end"/>
          </w:r>
          <w:r>
            <w:rPr>
              <w:rFonts w:hint="eastAsia" w:ascii="仿宋" w:hAnsi="仿宋" w:cs="仿宋"/>
              <w:color w:val="auto"/>
            </w:rPr>
            <w:fldChar w:fldCharType="end"/>
          </w:r>
        </w:p>
        <w:p w14:paraId="1E56D3F3">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"_Toc7974" </w:instrText>
          </w:r>
          <w:r>
            <w:rPr>
              <w:color w:val="auto"/>
            </w:rPr>
            <w:fldChar w:fldCharType="separate"/>
          </w:r>
          <w:r>
            <w:rPr>
              <w:rFonts w:hint="eastAsia" w:ascii="仿宋" w:hAnsi="仿宋" w:cs="仿宋"/>
              <w:color w:val="auto"/>
            </w:rPr>
            <w:t>第二节 增强水利保障能力</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_Toc7974 </w:instrText>
          </w:r>
          <w:r>
            <w:rPr>
              <w:rFonts w:hint="eastAsia" w:ascii="仿宋" w:hAnsi="仿宋" w:cs="仿宋"/>
              <w:color w:val="auto"/>
            </w:rPr>
            <w:fldChar w:fldCharType="separate"/>
          </w:r>
          <w:r>
            <w:rPr>
              <w:rFonts w:hint="eastAsia" w:ascii="仿宋" w:hAnsi="仿宋" w:cs="仿宋"/>
              <w:color w:val="auto"/>
            </w:rPr>
            <w:t>- 62 -</w:t>
          </w:r>
          <w:r>
            <w:rPr>
              <w:rFonts w:hint="eastAsia" w:ascii="仿宋" w:hAnsi="仿宋" w:cs="仿宋"/>
              <w:color w:val="auto"/>
            </w:rPr>
            <w:fldChar w:fldCharType="end"/>
          </w:r>
          <w:r>
            <w:rPr>
              <w:rFonts w:hint="eastAsia" w:ascii="仿宋" w:hAnsi="仿宋" w:cs="仿宋"/>
              <w:color w:val="auto"/>
            </w:rPr>
            <w:fldChar w:fldCharType="end"/>
          </w:r>
        </w:p>
        <w:p w14:paraId="23CDE1C7">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"_Toc8094" </w:instrText>
          </w:r>
          <w:r>
            <w:rPr>
              <w:color w:val="auto"/>
            </w:rPr>
            <w:fldChar w:fldCharType="separate"/>
          </w:r>
          <w:r>
            <w:rPr>
              <w:rFonts w:hint="eastAsia" w:ascii="仿宋" w:hAnsi="仿宋" w:cs="仿宋"/>
              <w:color w:val="auto"/>
            </w:rPr>
            <w:t>第三节 加快建设现代能源体系</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_Toc8094 </w:instrText>
          </w:r>
          <w:r>
            <w:rPr>
              <w:rFonts w:hint="eastAsia" w:ascii="仿宋" w:hAnsi="仿宋" w:cs="仿宋"/>
              <w:color w:val="auto"/>
            </w:rPr>
            <w:fldChar w:fldCharType="separate"/>
          </w:r>
          <w:r>
            <w:rPr>
              <w:rFonts w:hint="eastAsia" w:ascii="仿宋" w:hAnsi="仿宋" w:cs="仿宋"/>
              <w:color w:val="auto"/>
            </w:rPr>
            <w:t>- 63 -</w:t>
          </w:r>
          <w:r>
            <w:rPr>
              <w:rFonts w:hint="eastAsia" w:ascii="仿宋" w:hAnsi="仿宋" w:cs="仿宋"/>
              <w:color w:val="auto"/>
            </w:rPr>
            <w:fldChar w:fldCharType="end"/>
          </w:r>
          <w:r>
            <w:rPr>
              <w:rFonts w:hint="eastAsia" w:ascii="仿宋" w:hAnsi="仿宋" w:cs="仿宋"/>
              <w:color w:val="auto"/>
            </w:rPr>
            <w:fldChar w:fldCharType="end"/>
          </w:r>
        </w:p>
        <w:p w14:paraId="646BF5FB">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"_Toc15581" </w:instrText>
          </w:r>
          <w:r>
            <w:rPr>
              <w:color w:val="auto"/>
            </w:rPr>
            <w:fldChar w:fldCharType="separate"/>
          </w:r>
          <w:r>
            <w:rPr>
              <w:rFonts w:hint="eastAsia" w:ascii="仿宋" w:hAnsi="仿宋" w:cs="仿宋"/>
              <w:color w:val="auto"/>
            </w:rPr>
            <w:t>第四节 加快信息基础设施建设</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_Toc15581 </w:instrText>
          </w:r>
          <w:r>
            <w:rPr>
              <w:rFonts w:hint="eastAsia" w:ascii="仿宋" w:hAnsi="仿宋" w:cs="仿宋"/>
              <w:color w:val="auto"/>
            </w:rPr>
            <w:fldChar w:fldCharType="separate"/>
          </w:r>
          <w:r>
            <w:rPr>
              <w:rFonts w:hint="eastAsia" w:ascii="仿宋" w:hAnsi="仿宋" w:cs="仿宋"/>
              <w:color w:val="auto"/>
            </w:rPr>
            <w:t>- 64 -</w:t>
          </w:r>
          <w:r>
            <w:rPr>
              <w:rFonts w:hint="eastAsia" w:ascii="仿宋" w:hAnsi="仿宋" w:cs="仿宋"/>
              <w:color w:val="auto"/>
            </w:rPr>
            <w:fldChar w:fldCharType="end"/>
          </w:r>
          <w:r>
            <w:rPr>
              <w:rFonts w:hint="eastAsia" w:ascii="仿宋" w:hAnsi="仿宋" w:cs="仿宋"/>
              <w:color w:val="auto"/>
            </w:rPr>
            <w:fldChar w:fldCharType="end"/>
          </w:r>
        </w:p>
        <w:p w14:paraId="69CFEEB4">
          <w:pPr>
            <w:pStyle w:val="21"/>
            <w:tabs>
              <w:tab w:val="right" w:leader="dot" w:pos="8306"/>
            </w:tabs>
            <w:rPr>
              <w:rFonts w:ascii="仿宋" w:hAnsi="仿宋" w:cs="仿宋"/>
              <w:color w:val="auto"/>
            </w:rPr>
          </w:pPr>
          <w:r>
            <w:rPr>
              <w:color w:val="auto"/>
            </w:rPr>
            <w:fldChar w:fldCharType="begin"/>
          </w:r>
          <w:r>
            <w:rPr>
              <w:color w:val="auto"/>
            </w:rPr>
            <w:instrText xml:space="preserve"> HYPERLINK \l "_Toc8867" </w:instrText>
          </w:r>
          <w:r>
            <w:rPr>
              <w:color w:val="auto"/>
            </w:rPr>
            <w:fldChar w:fldCharType="separate"/>
          </w:r>
          <w:r>
            <w:rPr>
              <w:rFonts w:hint="eastAsia" w:ascii="仿宋" w:hAnsi="仿宋" w:cs="仿宋"/>
              <w:color w:val="auto"/>
            </w:rPr>
            <w:t>第七章 积极融入服务“双区”建设，拓展高质量发展新空间</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_Toc8867 </w:instrText>
          </w:r>
          <w:r>
            <w:rPr>
              <w:rFonts w:hint="eastAsia" w:ascii="仿宋" w:hAnsi="仿宋" w:cs="仿宋"/>
              <w:color w:val="auto"/>
            </w:rPr>
            <w:fldChar w:fldCharType="separate"/>
          </w:r>
          <w:r>
            <w:rPr>
              <w:rFonts w:hint="eastAsia" w:ascii="仿宋" w:hAnsi="仿宋" w:cs="仿宋"/>
              <w:color w:val="auto"/>
            </w:rPr>
            <w:t>- 66 -</w:t>
          </w:r>
          <w:r>
            <w:rPr>
              <w:rFonts w:hint="eastAsia" w:ascii="仿宋" w:hAnsi="仿宋" w:cs="仿宋"/>
              <w:color w:val="auto"/>
            </w:rPr>
            <w:fldChar w:fldCharType="end"/>
          </w:r>
          <w:r>
            <w:rPr>
              <w:rFonts w:hint="eastAsia" w:ascii="仿宋" w:hAnsi="仿宋" w:cs="仿宋"/>
              <w:color w:val="auto"/>
            </w:rPr>
            <w:fldChar w:fldCharType="end"/>
          </w:r>
        </w:p>
        <w:p w14:paraId="63FC8C1C">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"_Toc31549" </w:instrText>
          </w:r>
          <w:r>
            <w:rPr>
              <w:color w:val="auto"/>
            </w:rPr>
            <w:fldChar w:fldCharType="separate"/>
          </w:r>
          <w:r>
            <w:rPr>
              <w:rFonts w:hint="eastAsia" w:ascii="仿宋" w:hAnsi="仿宋" w:cs="仿宋"/>
              <w:color w:val="auto"/>
            </w:rPr>
            <w:t>第一节 积极拓展投资空间</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_Toc31549 </w:instrText>
          </w:r>
          <w:r>
            <w:rPr>
              <w:rFonts w:hint="eastAsia" w:ascii="仿宋" w:hAnsi="仿宋" w:cs="仿宋"/>
              <w:color w:val="auto"/>
            </w:rPr>
            <w:fldChar w:fldCharType="separate"/>
          </w:r>
          <w:r>
            <w:rPr>
              <w:rFonts w:hint="eastAsia" w:ascii="仿宋" w:hAnsi="仿宋" w:cs="仿宋"/>
              <w:color w:val="auto"/>
            </w:rPr>
            <w:t>- 66 -</w:t>
          </w:r>
          <w:r>
            <w:rPr>
              <w:rFonts w:hint="eastAsia" w:ascii="仿宋" w:hAnsi="仿宋" w:cs="仿宋"/>
              <w:color w:val="auto"/>
            </w:rPr>
            <w:fldChar w:fldCharType="end"/>
          </w:r>
          <w:r>
            <w:rPr>
              <w:rFonts w:hint="eastAsia" w:ascii="仿宋" w:hAnsi="仿宋" w:cs="仿宋"/>
              <w:color w:val="auto"/>
            </w:rPr>
            <w:fldChar w:fldCharType="end"/>
          </w:r>
        </w:p>
        <w:p w14:paraId="20D4EA1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"_Toc25088" </w:instrText>
          </w:r>
          <w:r>
            <w:rPr>
              <w:color w:val="auto"/>
            </w:rPr>
            <w:fldChar w:fldCharType="separate"/>
          </w:r>
          <w:r>
            <w:rPr>
              <w:rFonts w:hint="eastAsia" w:ascii="仿宋" w:hAnsi="仿宋" w:cs="仿宋"/>
              <w:color w:val="auto"/>
            </w:rPr>
            <w:t>第二节 积极打造旅游消费城市</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_Toc25088 </w:instrText>
          </w:r>
          <w:r>
            <w:rPr>
              <w:rFonts w:hint="eastAsia" w:ascii="仿宋" w:hAnsi="仿宋" w:cs="仿宋"/>
              <w:color w:val="auto"/>
            </w:rPr>
            <w:fldChar w:fldCharType="separate"/>
          </w:r>
          <w:r>
            <w:rPr>
              <w:rFonts w:hint="eastAsia" w:ascii="仿宋" w:hAnsi="仿宋" w:cs="仿宋"/>
              <w:color w:val="auto"/>
            </w:rPr>
            <w:t>- 68 -</w:t>
          </w:r>
          <w:r>
            <w:rPr>
              <w:rFonts w:hint="eastAsia" w:ascii="仿宋" w:hAnsi="仿宋" w:cs="仿宋"/>
              <w:color w:val="auto"/>
            </w:rPr>
            <w:fldChar w:fldCharType="end"/>
          </w:r>
          <w:r>
            <w:rPr>
              <w:rFonts w:hint="eastAsia" w:ascii="仿宋" w:hAnsi="仿宋" w:cs="仿宋"/>
              <w:color w:val="auto"/>
            </w:rPr>
            <w:fldChar w:fldCharType="end"/>
          </w:r>
        </w:p>
        <w:p w14:paraId="517EA23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"_Toc19892" </w:instrText>
          </w:r>
          <w:r>
            <w:rPr>
              <w:color w:val="auto"/>
            </w:rPr>
            <w:fldChar w:fldCharType="separate"/>
          </w:r>
          <w:r>
            <w:rPr>
              <w:rFonts w:hint="eastAsia" w:ascii="仿宋" w:hAnsi="仿宋" w:cs="仿宋"/>
              <w:color w:val="auto"/>
            </w:rPr>
            <w:t>第三节 坚持招商引资优先地位</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_Toc19892 </w:instrText>
          </w:r>
          <w:r>
            <w:rPr>
              <w:rFonts w:hint="eastAsia" w:ascii="仿宋" w:hAnsi="仿宋" w:cs="仿宋"/>
              <w:color w:val="auto"/>
            </w:rPr>
            <w:fldChar w:fldCharType="separate"/>
          </w:r>
          <w:r>
            <w:rPr>
              <w:rFonts w:hint="eastAsia" w:ascii="仿宋" w:hAnsi="仿宋" w:cs="仿宋"/>
              <w:color w:val="auto"/>
            </w:rPr>
            <w:t>- 73 -</w:t>
          </w:r>
          <w:r>
            <w:rPr>
              <w:rFonts w:hint="eastAsia" w:ascii="仿宋" w:hAnsi="仿宋" w:cs="仿宋"/>
              <w:color w:val="auto"/>
            </w:rPr>
            <w:fldChar w:fldCharType="end"/>
          </w:r>
          <w:r>
            <w:rPr>
              <w:rFonts w:hint="eastAsia" w:ascii="仿宋" w:hAnsi="仿宋" w:cs="仿宋"/>
              <w:color w:val="auto"/>
            </w:rPr>
            <w:fldChar w:fldCharType="end"/>
          </w:r>
        </w:p>
        <w:p w14:paraId="780C4149">
          <w:pPr>
            <w:pStyle w:val="21"/>
            <w:tabs>
              <w:tab w:val="right" w:leader="dot" w:pos="8306"/>
            </w:tabs>
            <w:rPr>
              <w:rFonts w:ascii="仿宋" w:hAnsi="仿宋" w:cs="仿宋"/>
              <w:color w:val="auto"/>
            </w:rPr>
          </w:pPr>
          <w:r>
            <w:rPr>
              <w:color w:val="auto"/>
            </w:rPr>
            <w:fldChar w:fldCharType="begin"/>
          </w:r>
          <w:r>
            <w:rPr>
              <w:color w:val="auto"/>
            </w:rPr>
            <w:instrText xml:space="preserve"> HYPERLINK \l "_Toc7241" </w:instrText>
          </w:r>
          <w:r>
            <w:rPr>
              <w:color w:val="auto"/>
            </w:rPr>
            <w:fldChar w:fldCharType="separate"/>
          </w:r>
          <w:r>
            <w:rPr>
              <w:rFonts w:hint="eastAsia" w:ascii="仿宋" w:hAnsi="仿宋" w:cs="仿宋"/>
              <w:color w:val="auto"/>
            </w:rPr>
            <w:t>第八章 推动数字化发展，全面塑造发展新优势</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_Toc7241 </w:instrText>
          </w:r>
          <w:r>
            <w:rPr>
              <w:rFonts w:hint="eastAsia" w:ascii="仿宋" w:hAnsi="仿宋" w:cs="仿宋"/>
              <w:color w:val="auto"/>
            </w:rPr>
            <w:fldChar w:fldCharType="separate"/>
          </w:r>
          <w:r>
            <w:rPr>
              <w:rFonts w:hint="eastAsia" w:ascii="仿宋" w:hAnsi="仿宋" w:cs="仿宋"/>
              <w:color w:val="auto"/>
            </w:rPr>
            <w:t>- 75 -</w:t>
          </w:r>
          <w:r>
            <w:rPr>
              <w:rFonts w:hint="eastAsia" w:ascii="仿宋" w:hAnsi="仿宋" w:cs="仿宋"/>
              <w:color w:val="auto"/>
            </w:rPr>
            <w:fldChar w:fldCharType="end"/>
          </w:r>
          <w:r>
            <w:rPr>
              <w:rFonts w:hint="eastAsia" w:ascii="仿宋" w:hAnsi="仿宋" w:cs="仿宋"/>
              <w:color w:val="auto"/>
            </w:rPr>
            <w:fldChar w:fldCharType="end"/>
          </w:r>
        </w:p>
        <w:p w14:paraId="148CEBDA">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"_Toc12195" </w:instrText>
          </w:r>
          <w:r>
            <w:rPr>
              <w:color w:val="auto"/>
            </w:rPr>
            <w:fldChar w:fldCharType="separate"/>
          </w:r>
          <w:r>
            <w:rPr>
              <w:rFonts w:hint="eastAsia" w:ascii="仿宋" w:hAnsi="仿宋" w:cs="仿宋"/>
              <w:color w:val="auto"/>
            </w:rPr>
            <w:t>第一节 推动产业数字化赋能</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_Toc12195 </w:instrText>
          </w:r>
          <w:r>
            <w:rPr>
              <w:rFonts w:hint="eastAsia" w:ascii="仿宋" w:hAnsi="仿宋" w:cs="仿宋"/>
              <w:color w:val="auto"/>
            </w:rPr>
            <w:fldChar w:fldCharType="separate"/>
          </w:r>
          <w:r>
            <w:rPr>
              <w:rFonts w:hint="eastAsia" w:ascii="仿宋" w:hAnsi="仿宋" w:cs="仿宋"/>
              <w:color w:val="auto"/>
            </w:rPr>
            <w:t>- 75 -</w:t>
          </w:r>
          <w:r>
            <w:rPr>
              <w:rFonts w:hint="eastAsia" w:ascii="仿宋" w:hAnsi="仿宋" w:cs="仿宋"/>
              <w:color w:val="auto"/>
            </w:rPr>
            <w:fldChar w:fldCharType="end"/>
          </w:r>
          <w:r>
            <w:rPr>
              <w:rFonts w:hint="eastAsia" w:ascii="仿宋" w:hAnsi="仿宋" w:cs="仿宋"/>
              <w:color w:val="auto"/>
            </w:rPr>
            <w:fldChar w:fldCharType="end"/>
          </w:r>
        </w:p>
        <w:p w14:paraId="1BE188F6">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"_Toc30642" </w:instrText>
          </w:r>
          <w:r>
            <w:rPr>
              <w:color w:val="auto"/>
            </w:rPr>
            <w:fldChar w:fldCharType="separate"/>
          </w:r>
          <w:r>
            <w:rPr>
              <w:rFonts w:hint="eastAsia" w:ascii="仿宋" w:hAnsi="仿宋" w:cs="仿宋"/>
              <w:color w:val="auto"/>
            </w:rPr>
            <w:t>第二节 加快数字社会建设步伐</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_Toc30642 </w:instrText>
          </w:r>
          <w:r>
            <w:rPr>
              <w:rFonts w:hint="eastAsia" w:ascii="仿宋" w:hAnsi="仿宋" w:cs="仿宋"/>
              <w:color w:val="auto"/>
            </w:rPr>
            <w:fldChar w:fldCharType="separate"/>
          </w:r>
          <w:r>
            <w:rPr>
              <w:rFonts w:hint="eastAsia" w:ascii="仿宋" w:hAnsi="仿宋" w:cs="仿宋"/>
              <w:color w:val="auto"/>
            </w:rPr>
            <w:t>- 76 -</w:t>
          </w:r>
          <w:r>
            <w:rPr>
              <w:rFonts w:hint="eastAsia" w:ascii="仿宋" w:hAnsi="仿宋" w:cs="仿宋"/>
              <w:color w:val="auto"/>
            </w:rPr>
            <w:fldChar w:fldCharType="end"/>
          </w:r>
          <w:r>
            <w:rPr>
              <w:rFonts w:hint="eastAsia" w:ascii="仿宋" w:hAnsi="仿宋" w:cs="仿宋"/>
              <w:color w:val="auto"/>
            </w:rPr>
            <w:fldChar w:fldCharType="end"/>
          </w:r>
        </w:p>
        <w:p w14:paraId="0D0B10EC">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"_Toc28448" </w:instrText>
          </w:r>
          <w:r>
            <w:rPr>
              <w:color w:val="auto"/>
            </w:rPr>
            <w:fldChar w:fldCharType="separate"/>
          </w:r>
          <w:r>
            <w:rPr>
              <w:rFonts w:hint="eastAsia" w:ascii="仿宋" w:hAnsi="仿宋" w:cs="仿宋"/>
              <w:color w:val="auto"/>
            </w:rPr>
            <w:t>第三节 提升数字政府建设水平</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_Toc28448 </w:instrText>
          </w:r>
          <w:r>
            <w:rPr>
              <w:rFonts w:hint="eastAsia" w:ascii="仿宋" w:hAnsi="仿宋" w:cs="仿宋"/>
              <w:color w:val="auto"/>
            </w:rPr>
            <w:fldChar w:fldCharType="separate"/>
          </w:r>
          <w:r>
            <w:rPr>
              <w:rFonts w:hint="eastAsia" w:ascii="仿宋" w:hAnsi="仿宋" w:cs="仿宋"/>
              <w:color w:val="auto"/>
            </w:rPr>
            <w:t>- 78 -</w:t>
          </w:r>
          <w:r>
            <w:rPr>
              <w:rFonts w:hint="eastAsia" w:ascii="仿宋" w:hAnsi="仿宋" w:cs="仿宋"/>
              <w:color w:val="auto"/>
            </w:rPr>
            <w:fldChar w:fldCharType="end"/>
          </w:r>
          <w:r>
            <w:rPr>
              <w:rFonts w:hint="eastAsia" w:ascii="仿宋" w:hAnsi="仿宋" w:cs="仿宋"/>
              <w:color w:val="auto"/>
            </w:rPr>
            <w:fldChar w:fldCharType="end"/>
          </w:r>
        </w:p>
        <w:p w14:paraId="3D92B770">
          <w:pPr>
            <w:pStyle w:val="21"/>
            <w:tabs>
              <w:tab w:val="right" w:leader="dot" w:pos="8306"/>
            </w:tabs>
            <w:rPr>
              <w:rFonts w:ascii="仿宋" w:hAnsi="仿宋" w:cs="仿宋"/>
              <w:color w:val="auto"/>
            </w:rPr>
          </w:pPr>
          <w:r>
            <w:rPr>
              <w:color w:val="auto"/>
            </w:rPr>
            <w:fldChar w:fldCharType="begin"/>
          </w:r>
          <w:r>
            <w:rPr>
              <w:color w:val="auto"/>
            </w:rPr>
            <w:instrText xml:space="preserve"> HYPERLINK \l "_Toc13366" </w:instrText>
          </w:r>
          <w:r>
            <w:rPr>
              <w:color w:val="auto"/>
            </w:rPr>
            <w:fldChar w:fldCharType="separate"/>
          </w:r>
          <w:r>
            <w:rPr>
              <w:rFonts w:hint="eastAsia" w:ascii="仿宋" w:hAnsi="仿宋" w:cs="仿宋"/>
              <w:color w:val="auto"/>
            </w:rPr>
            <w:t>第九章 全面深化改革，释放高质量发展新活力</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_Toc13366 </w:instrText>
          </w:r>
          <w:r>
            <w:rPr>
              <w:rFonts w:hint="eastAsia" w:ascii="仿宋" w:hAnsi="仿宋" w:cs="仿宋"/>
              <w:color w:val="auto"/>
            </w:rPr>
            <w:fldChar w:fldCharType="separate"/>
          </w:r>
          <w:r>
            <w:rPr>
              <w:rFonts w:hint="eastAsia" w:ascii="仿宋" w:hAnsi="仿宋" w:cs="仿宋"/>
              <w:color w:val="auto"/>
            </w:rPr>
            <w:t>- 81 -</w:t>
          </w:r>
          <w:r>
            <w:rPr>
              <w:rFonts w:hint="eastAsia" w:ascii="仿宋" w:hAnsi="仿宋" w:cs="仿宋"/>
              <w:color w:val="auto"/>
            </w:rPr>
            <w:fldChar w:fldCharType="end"/>
          </w:r>
          <w:r>
            <w:rPr>
              <w:rFonts w:hint="eastAsia" w:ascii="仿宋" w:hAnsi="仿宋" w:cs="仿宋"/>
              <w:color w:val="auto"/>
            </w:rPr>
            <w:fldChar w:fldCharType="end"/>
          </w:r>
        </w:p>
        <w:p w14:paraId="4F73E77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"_Toc2582" </w:instrText>
          </w:r>
          <w:r>
            <w:rPr>
              <w:color w:val="auto"/>
            </w:rPr>
            <w:fldChar w:fldCharType="separate"/>
          </w:r>
          <w:r>
            <w:rPr>
              <w:rFonts w:hint="eastAsia" w:ascii="仿宋" w:hAnsi="仿宋" w:cs="仿宋"/>
              <w:color w:val="auto"/>
            </w:rPr>
            <w:t>第一节 着力激发市场活力</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_Toc2582 </w:instrText>
          </w:r>
          <w:r>
            <w:rPr>
              <w:rFonts w:hint="eastAsia" w:ascii="仿宋" w:hAnsi="仿宋" w:cs="仿宋"/>
              <w:color w:val="auto"/>
            </w:rPr>
            <w:fldChar w:fldCharType="separate"/>
          </w:r>
          <w:r>
            <w:rPr>
              <w:rFonts w:hint="eastAsia" w:ascii="仿宋" w:hAnsi="仿宋" w:cs="仿宋"/>
              <w:color w:val="auto"/>
            </w:rPr>
            <w:t>- 81 -</w:t>
          </w:r>
          <w:r>
            <w:rPr>
              <w:rFonts w:hint="eastAsia" w:ascii="仿宋" w:hAnsi="仿宋" w:cs="仿宋"/>
              <w:color w:val="auto"/>
            </w:rPr>
            <w:fldChar w:fldCharType="end"/>
          </w:r>
          <w:r>
            <w:rPr>
              <w:rFonts w:hint="eastAsia" w:ascii="仿宋" w:hAnsi="仿宋" w:cs="仿宋"/>
              <w:color w:val="auto"/>
            </w:rPr>
            <w:fldChar w:fldCharType="end"/>
          </w:r>
        </w:p>
        <w:p w14:paraId="3AAB8CAE">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"_Toc31712" </w:instrText>
          </w:r>
          <w:r>
            <w:rPr>
              <w:color w:val="auto"/>
            </w:rPr>
            <w:fldChar w:fldCharType="separate"/>
          </w:r>
          <w:r>
            <w:rPr>
              <w:rFonts w:hint="eastAsia" w:ascii="仿宋" w:hAnsi="仿宋" w:cs="仿宋"/>
              <w:color w:val="auto"/>
            </w:rPr>
            <w:t>第二节 深化要素市场化配置改革</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_Toc31712 </w:instrText>
          </w:r>
          <w:r>
            <w:rPr>
              <w:rFonts w:hint="eastAsia" w:ascii="仿宋" w:hAnsi="仿宋" w:cs="仿宋"/>
              <w:color w:val="auto"/>
            </w:rPr>
            <w:fldChar w:fldCharType="separate"/>
          </w:r>
          <w:r>
            <w:rPr>
              <w:rFonts w:hint="eastAsia" w:ascii="仿宋" w:hAnsi="仿宋" w:cs="仿宋"/>
              <w:color w:val="auto"/>
            </w:rPr>
            <w:t>- 83 -</w:t>
          </w:r>
          <w:r>
            <w:rPr>
              <w:rFonts w:hint="eastAsia" w:ascii="仿宋" w:hAnsi="仿宋" w:cs="仿宋"/>
              <w:color w:val="auto"/>
            </w:rPr>
            <w:fldChar w:fldCharType="end"/>
          </w:r>
          <w:r>
            <w:rPr>
              <w:rFonts w:hint="eastAsia" w:ascii="仿宋" w:hAnsi="仿宋" w:cs="仿宋"/>
              <w:color w:val="auto"/>
            </w:rPr>
            <w:fldChar w:fldCharType="end"/>
          </w:r>
        </w:p>
        <w:p w14:paraId="79E677D9">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"_Toc31093" </w:instrText>
          </w:r>
          <w:r>
            <w:rPr>
              <w:color w:val="auto"/>
            </w:rPr>
            <w:fldChar w:fldCharType="separate"/>
          </w:r>
          <w:r>
            <w:rPr>
              <w:rFonts w:hint="eastAsia" w:ascii="仿宋" w:hAnsi="仿宋" w:cs="仿宋"/>
              <w:color w:val="auto"/>
            </w:rPr>
            <w:t>第三节 打造法治化市场化营商环境</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_Toc31093 </w:instrText>
          </w:r>
          <w:r>
            <w:rPr>
              <w:rFonts w:hint="eastAsia" w:ascii="仿宋" w:hAnsi="仿宋" w:cs="仿宋"/>
              <w:color w:val="auto"/>
            </w:rPr>
            <w:fldChar w:fldCharType="separate"/>
          </w:r>
          <w:r>
            <w:rPr>
              <w:rFonts w:hint="eastAsia" w:ascii="仿宋" w:hAnsi="仿宋" w:cs="仿宋"/>
              <w:color w:val="auto"/>
            </w:rPr>
            <w:t>- 84 -</w:t>
          </w:r>
          <w:r>
            <w:rPr>
              <w:rFonts w:hint="eastAsia" w:ascii="仿宋" w:hAnsi="仿宋" w:cs="仿宋"/>
              <w:color w:val="auto"/>
            </w:rPr>
            <w:fldChar w:fldCharType="end"/>
          </w:r>
          <w:r>
            <w:rPr>
              <w:rFonts w:hint="eastAsia" w:ascii="仿宋" w:hAnsi="仿宋" w:cs="仿宋"/>
              <w:color w:val="auto"/>
            </w:rPr>
            <w:fldChar w:fldCharType="end"/>
          </w:r>
        </w:p>
        <w:p w14:paraId="082ACC20">
          <w:pPr>
            <w:pStyle w:val="21"/>
            <w:tabs>
              <w:tab w:val="right" w:leader="dot" w:pos="8306"/>
            </w:tabs>
            <w:rPr>
              <w:rFonts w:ascii="仿宋" w:hAnsi="仿宋" w:cs="仿宋"/>
              <w:color w:val="auto"/>
            </w:rPr>
          </w:pPr>
          <w:r>
            <w:rPr>
              <w:color w:val="auto"/>
            </w:rPr>
            <w:fldChar w:fldCharType="begin"/>
          </w:r>
          <w:r>
            <w:rPr>
              <w:color w:val="auto"/>
            </w:rPr>
            <w:instrText xml:space="preserve"> HYPERLINK \l "_Toc17335" </w:instrText>
          </w:r>
          <w:r>
            <w:rPr>
              <w:color w:val="auto"/>
            </w:rPr>
            <w:fldChar w:fldCharType="separate"/>
          </w:r>
          <w:r>
            <w:rPr>
              <w:rFonts w:hint="eastAsia" w:ascii="仿宋" w:hAnsi="仿宋" w:cs="仿宋"/>
              <w:color w:val="auto"/>
            </w:rPr>
            <w:t>第十章 协同推进新型城镇化和乡村振兴，加快促进城乡协调发展</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_Toc17335 </w:instrText>
          </w:r>
          <w:r>
            <w:rPr>
              <w:rFonts w:hint="eastAsia" w:ascii="仿宋" w:hAnsi="仿宋" w:cs="仿宋"/>
              <w:color w:val="auto"/>
            </w:rPr>
            <w:fldChar w:fldCharType="separate"/>
          </w:r>
          <w:r>
            <w:rPr>
              <w:rFonts w:hint="eastAsia" w:ascii="仿宋" w:hAnsi="仿宋" w:cs="仿宋"/>
              <w:color w:val="auto"/>
            </w:rPr>
            <w:t>- 87 -</w:t>
          </w:r>
          <w:r>
            <w:rPr>
              <w:rFonts w:hint="eastAsia" w:ascii="仿宋" w:hAnsi="仿宋" w:cs="仿宋"/>
              <w:color w:val="auto"/>
            </w:rPr>
            <w:fldChar w:fldCharType="end"/>
          </w:r>
          <w:r>
            <w:rPr>
              <w:rFonts w:hint="eastAsia" w:ascii="仿宋" w:hAnsi="仿宋" w:cs="仿宋"/>
              <w:color w:val="auto"/>
            </w:rPr>
            <w:fldChar w:fldCharType="end"/>
          </w:r>
        </w:p>
        <w:p w14:paraId="407C2B5B">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"_Toc11674" </w:instrText>
          </w:r>
          <w:r>
            <w:rPr>
              <w:color w:val="auto"/>
            </w:rPr>
            <w:fldChar w:fldCharType="separate"/>
          </w:r>
          <w:r>
            <w:rPr>
              <w:rFonts w:hint="eastAsia" w:ascii="仿宋" w:hAnsi="仿宋" w:cs="仿宋"/>
              <w:color w:val="auto"/>
            </w:rPr>
            <w:t>第一节 优化县域功能分区，加快推进城镇提升</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_Toc11674 </w:instrText>
          </w:r>
          <w:r>
            <w:rPr>
              <w:rFonts w:hint="eastAsia" w:ascii="仿宋" w:hAnsi="仿宋" w:cs="仿宋"/>
              <w:color w:val="auto"/>
            </w:rPr>
            <w:fldChar w:fldCharType="separate"/>
          </w:r>
          <w:r>
            <w:rPr>
              <w:rFonts w:hint="eastAsia" w:ascii="仿宋" w:hAnsi="仿宋" w:cs="仿宋"/>
              <w:color w:val="auto"/>
            </w:rPr>
            <w:t>- 87 -</w:t>
          </w:r>
          <w:r>
            <w:rPr>
              <w:rFonts w:hint="eastAsia" w:ascii="仿宋" w:hAnsi="仿宋" w:cs="仿宋"/>
              <w:color w:val="auto"/>
            </w:rPr>
            <w:fldChar w:fldCharType="end"/>
          </w:r>
          <w:r>
            <w:rPr>
              <w:rFonts w:hint="eastAsia" w:ascii="仿宋" w:hAnsi="仿宋" w:cs="仿宋"/>
              <w:color w:val="auto"/>
            </w:rPr>
            <w:fldChar w:fldCharType="end"/>
          </w:r>
        </w:p>
        <w:p w14:paraId="3E022368">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"_Toc24496" </w:instrText>
          </w:r>
          <w:r>
            <w:rPr>
              <w:color w:val="auto"/>
            </w:rPr>
            <w:fldChar w:fldCharType="separate"/>
          </w:r>
          <w:r>
            <w:rPr>
              <w:rFonts w:hint="eastAsia" w:ascii="仿宋" w:hAnsi="仿宋" w:cs="仿宋"/>
              <w:color w:val="auto"/>
            </w:rPr>
            <w:t>第二节 加快建设美丽乡村，全面推进乡村振兴</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_Toc24496 </w:instrText>
          </w:r>
          <w:r>
            <w:rPr>
              <w:rFonts w:hint="eastAsia" w:ascii="仿宋" w:hAnsi="仿宋" w:cs="仿宋"/>
              <w:color w:val="auto"/>
            </w:rPr>
            <w:fldChar w:fldCharType="separate"/>
          </w:r>
          <w:r>
            <w:rPr>
              <w:rFonts w:hint="eastAsia" w:ascii="仿宋" w:hAnsi="仿宋" w:cs="仿宋"/>
              <w:color w:val="auto"/>
            </w:rPr>
            <w:t>- 91 -</w:t>
          </w:r>
          <w:r>
            <w:rPr>
              <w:rFonts w:hint="eastAsia" w:ascii="仿宋" w:hAnsi="仿宋" w:cs="仿宋"/>
              <w:color w:val="auto"/>
            </w:rPr>
            <w:fldChar w:fldCharType="end"/>
          </w:r>
          <w:r>
            <w:rPr>
              <w:rFonts w:hint="eastAsia" w:ascii="仿宋" w:hAnsi="仿宋" w:cs="仿宋"/>
              <w:color w:val="auto"/>
            </w:rPr>
            <w:fldChar w:fldCharType="end"/>
          </w:r>
        </w:p>
        <w:p w14:paraId="1165900F">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"_Toc21918" </w:instrText>
          </w:r>
          <w:r>
            <w:rPr>
              <w:color w:val="auto"/>
            </w:rPr>
            <w:fldChar w:fldCharType="separate"/>
          </w:r>
          <w:r>
            <w:rPr>
              <w:rFonts w:hint="eastAsia" w:ascii="仿宋" w:hAnsi="仿宋" w:cs="仿宋"/>
              <w:color w:val="auto"/>
            </w:rPr>
            <w:t>第三节 建立健全城乡融合发展体制机制</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_Toc21918 </w:instrText>
          </w:r>
          <w:r>
            <w:rPr>
              <w:rFonts w:hint="eastAsia" w:ascii="仿宋" w:hAnsi="仿宋" w:cs="仿宋"/>
              <w:color w:val="auto"/>
            </w:rPr>
            <w:fldChar w:fldCharType="separate"/>
          </w:r>
          <w:r>
            <w:rPr>
              <w:rFonts w:hint="eastAsia" w:ascii="仿宋" w:hAnsi="仿宋" w:cs="仿宋"/>
              <w:color w:val="auto"/>
            </w:rPr>
            <w:t>- 96 -</w:t>
          </w:r>
          <w:r>
            <w:rPr>
              <w:rFonts w:hint="eastAsia" w:ascii="仿宋" w:hAnsi="仿宋" w:cs="仿宋"/>
              <w:color w:val="auto"/>
            </w:rPr>
            <w:fldChar w:fldCharType="end"/>
          </w:r>
          <w:r>
            <w:rPr>
              <w:rFonts w:hint="eastAsia" w:ascii="仿宋" w:hAnsi="仿宋" w:cs="仿宋"/>
              <w:color w:val="auto"/>
            </w:rPr>
            <w:fldChar w:fldCharType="end"/>
          </w:r>
        </w:p>
        <w:p w14:paraId="2376C308">
          <w:pPr>
            <w:pStyle w:val="21"/>
            <w:tabs>
              <w:tab w:val="right" w:leader="dot" w:pos="8306"/>
            </w:tabs>
            <w:rPr>
              <w:rFonts w:ascii="仿宋" w:hAnsi="仿宋" w:cs="仿宋"/>
              <w:color w:val="auto"/>
            </w:rPr>
          </w:pPr>
          <w:r>
            <w:rPr>
              <w:color w:val="auto"/>
            </w:rPr>
            <w:fldChar w:fldCharType="begin"/>
          </w:r>
          <w:r>
            <w:rPr>
              <w:color w:val="auto"/>
            </w:rPr>
            <w:instrText xml:space="preserve"> HYPERLINK \l "_Toc8825" </w:instrText>
          </w:r>
          <w:r>
            <w:rPr>
              <w:color w:val="auto"/>
            </w:rPr>
            <w:fldChar w:fldCharType="separate"/>
          </w:r>
          <w:r>
            <w:rPr>
              <w:rFonts w:hint="eastAsia" w:ascii="仿宋" w:hAnsi="仿宋" w:cs="仿宋"/>
              <w:color w:val="auto"/>
            </w:rPr>
            <w:t>第十一章 持续加强精神文明建设，全面繁荣发展文化事业和文化产业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_Toc8825 </w:instrText>
          </w:r>
          <w:r>
            <w:rPr>
              <w:rFonts w:hint="eastAsia" w:ascii="仿宋" w:hAnsi="仿宋" w:cs="仿宋"/>
              <w:color w:val="auto"/>
            </w:rPr>
            <w:fldChar w:fldCharType="separate"/>
          </w:r>
          <w:r>
            <w:rPr>
              <w:rFonts w:hint="eastAsia" w:ascii="仿宋" w:hAnsi="仿宋" w:cs="仿宋"/>
              <w:color w:val="auto"/>
            </w:rPr>
            <w:t>- 99 -</w:t>
          </w:r>
          <w:r>
            <w:rPr>
              <w:rFonts w:hint="eastAsia" w:ascii="仿宋" w:hAnsi="仿宋" w:cs="仿宋"/>
              <w:color w:val="auto"/>
            </w:rPr>
            <w:fldChar w:fldCharType="end"/>
          </w:r>
          <w:r>
            <w:rPr>
              <w:rFonts w:hint="eastAsia" w:ascii="仿宋" w:hAnsi="仿宋" w:cs="仿宋"/>
              <w:color w:val="auto"/>
            </w:rPr>
            <w:fldChar w:fldCharType="end"/>
          </w:r>
        </w:p>
        <w:p w14:paraId="67F016E9">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"_Toc31352" </w:instrText>
          </w:r>
          <w:r>
            <w:rPr>
              <w:color w:val="auto"/>
            </w:rPr>
            <w:fldChar w:fldCharType="separate"/>
          </w:r>
          <w:r>
            <w:rPr>
              <w:rFonts w:hint="eastAsia" w:ascii="仿宋" w:hAnsi="仿宋" w:cs="仿宋"/>
              <w:color w:val="auto"/>
            </w:rPr>
            <w:t>第一节 全面提高社会文明程度</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_Toc31352 </w:instrText>
          </w:r>
          <w:r>
            <w:rPr>
              <w:rFonts w:hint="eastAsia" w:ascii="仿宋" w:hAnsi="仿宋" w:cs="仿宋"/>
              <w:color w:val="auto"/>
            </w:rPr>
            <w:fldChar w:fldCharType="separate"/>
          </w:r>
          <w:r>
            <w:rPr>
              <w:rFonts w:hint="eastAsia" w:ascii="仿宋" w:hAnsi="仿宋" w:cs="仿宋"/>
              <w:color w:val="auto"/>
            </w:rPr>
            <w:t>- 99 -</w:t>
          </w:r>
          <w:r>
            <w:rPr>
              <w:rFonts w:hint="eastAsia" w:ascii="仿宋" w:hAnsi="仿宋" w:cs="仿宋"/>
              <w:color w:val="auto"/>
            </w:rPr>
            <w:fldChar w:fldCharType="end"/>
          </w:r>
          <w:r>
            <w:rPr>
              <w:rFonts w:hint="eastAsia" w:ascii="仿宋" w:hAnsi="仿宋" w:cs="仿宋"/>
              <w:color w:val="auto"/>
            </w:rPr>
            <w:fldChar w:fldCharType="end"/>
          </w:r>
        </w:p>
        <w:p w14:paraId="3A36D2A0">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"_Toc1874" </w:instrText>
          </w:r>
          <w:r>
            <w:rPr>
              <w:color w:val="auto"/>
            </w:rPr>
            <w:fldChar w:fldCharType="separate"/>
          </w:r>
          <w:r>
            <w:rPr>
              <w:rFonts w:hint="eastAsia" w:ascii="仿宋" w:hAnsi="仿宋" w:cs="仿宋"/>
              <w:color w:val="auto"/>
            </w:rPr>
            <w:t>第二节 提升公共文化体育服务水平</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_Toc1874 </w:instrText>
          </w:r>
          <w:r>
            <w:rPr>
              <w:rFonts w:hint="eastAsia" w:ascii="仿宋" w:hAnsi="仿宋" w:cs="仿宋"/>
              <w:color w:val="auto"/>
            </w:rPr>
            <w:fldChar w:fldCharType="separate"/>
          </w:r>
          <w:r>
            <w:rPr>
              <w:rFonts w:hint="eastAsia" w:ascii="仿宋" w:hAnsi="仿宋" w:cs="仿宋"/>
              <w:color w:val="auto"/>
            </w:rPr>
            <w:t>- 100 -</w:t>
          </w:r>
          <w:r>
            <w:rPr>
              <w:rFonts w:hint="eastAsia" w:ascii="仿宋" w:hAnsi="仿宋" w:cs="仿宋"/>
              <w:color w:val="auto"/>
            </w:rPr>
            <w:fldChar w:fldCharType="end"/>
          </w:r>
          <w:r>
            <w:rPr>
              <w:rFonts w:hint="eastAsia" w:ascii="仿宋" w:hAnsi="仿宋" w:cs="仿宋"/>
              <w:color w:val="auto"/>
            </w:rPr>
            <w:fldChar w:fldCharType="end"/>
          </w:r>
        </w:p>
        <w:p w14:paraId="4F5EBC15">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"_Toc5876" </w:instrText>
          </w:r>
          <w:r>
            <w:rPr>
              <w:color w:val="auto"/>
            </w:rPr>
            <w:fldChar w:fldCharType="separate"/>
          </w:r>
          <w:r>
            <w:rPr>
              <w:rFonts w:hint="eastAsia" w:ascii="仿宋" w:hAnsi="仿宋" w:cs="仿宋"/>
              <w:color w:val="auto"/>
            </w:rPr>
            <w:t>第三节 大力发展文化体育产业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_Toc5876 </w:instrText>
          </w:r>
          <w:r>
            <w:rPr>
              <w:rFonts w:hint="eastAsia" w:ascii="仿宋" w:hAnsi="仿宋" w:cs="仿宋"/>
              <w:color w:val="auto"/>
            </w:rPr>
            <w:fldChar w:fldCharType="separate"/>
          </w:r>
          <w:r>
            <w:rPr>
              <w:rFonts w:hint="eastAsia" w:ascii="仿宋" w:hAnsi="仿宋" w:cs="仿宋"/>
              <w:color w:val="auto"/>
            </w:rPr>
            <w:t>- 102 -</w:t>
          </w:r>
          <w:r>
            <w:rPr>
              <w:rFonts w:hint="eastAsia" w:ascii="仿宋" w:hAnsi="仿宋" w:cs="仿宋"/>
              <w:color w:val="auto"/>
            </w:rPr>
            <w:fldChar w:fldCharType="end"/>
          </w:r>
          <w:r>
            <w:rPr>
              <w:rFonts w:hint="eastAsia" w:ascii="仿宋" w:hAnsi="仿宋" w:cs="仿宋"/>
              <w:color w:val="auto"/>
            </w:rPr>
            <w:fldChar w:fldCharType="end"/>
          </w:r>
        </w:p>
        <w:p w14:paraId="6A7CECE0">
          <w:pPr>
            <w:pStyle w:val="21"/>
            <w:tabs>
              <w:tab w:val="right" w:leader="dot" w:pos="8306"/>
            </w:tabs>
            <w:rPr>
              <w:rFonts w:ascii="仿宋" w:hAnsi="仿宋" w:cs="仿宋"/>
              <w:color w:val="auto"/>
            </w:rPr>
          </w:pPr>
          <w:r>
            <w:rPr>
              <w:color w:val="auto"/>
            </w:rPr>
            <w:fldChar w:fldCharType="begin"/>
          </w:r>
          <w:r>
            <w:rPr>
              <w:color w:val="auto"/>
            </w:rPr>
            <w:instrText xml:space="preserve"> HYPERLINK \l "_Toc12157" </w:instrText>
          </w:r>
          <w:r>
            <w:rPr>
              <w:color w:val="auto"/>
            </w:rPr>
            <w:fldChar w:fldCharType="separate"/>
          </w:r>
          <w:r>
            <w:rPr>
              <w:rFonts w:hint="eastAsia" w:ascii="仿宋" w:hAnsi="仿宋" w:cs="仿宋"/>
              <w:color w:val="auto"/>
            </w:rPr>
            <w:t>第十二章 着力保障和改善民生，提高人民生活品质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_Toc12157 </w:instrText>
          </w:r>
          <w:r>
            <w:rPr>
              <w:rFonts w:hint="eastAsia" w:ascii="仿宋" w:hAnsi="仿宋" w:cs="仿宋"/>
              <w:color w:val="auto"/>
            </w:rPr>
            <w:fldChar w:fldCharType="separate"/>
          </w:r>
          <w:r>
            <w:rPr>
              <w:rFonts w:hint="eastAsia" w:ascii="仿宋" w:hAnsi="仿宋" w:cs="仿宋"/>
              <w:color w:val="auto"/>
            </w:rPr>
            <w:t>- 105 -</w:t>
          </w:r>
          <w:r>
            <w:rPr>
              <w:rFonts w:hint="eastAsia" w:ascii="仿宋" w:hAnsi="仿宋" w:cs="仿宋"/>
              <w:color w:val="auto"/>
            </w:rPr>
            <w:fldChar w:fldCharType="end"/>
          </w:r>
          <w:r>
            <w:rPr>
              <w:rFonts w:hint="eastAsia" w:ascii="仿宋" w:hAnsi="仿宋" w:cs="仿宋"/>
              <w:color w:val="auto"/>
            </w:rPr>
            <w:fldChar w:fldCharType="end"/>
          </w:r>
        </w:p>
        <w:p w14:paraId="30430D63">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"_Toc27394" </w:instrText>
          </w:r>
          <w:r>
            <w:rPr>
              <w:color w:val="auto"/>
            </w:rPr>
            <w:fldChar w:fldCharType="separate"/>
          </w:r>
          <w:r>
            <w:rPr>
              <w:rFonts w:hint="eastAsia" w:ascii="仿宋" w:hAnsi="仿宋" w:cs="仿宋"/>
              <w:color w:val="auto"/>
            </w:rPr>
            <w:t>第一节 积极扩大就业和稳定就业</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_Toc27394 </w:instrText>
          </w:r>
          <w:r>
            <w:rPr>
              <w:rFonts w:hint="eastAsia" w:ascii="仿宋" w:hAnsi="仿宋" w:cs="仿宋"/>
              <w:color w:val="auto"/>
            </w:rPr>
            <w:fldChar w:fldCharType="separate"/>
          </w:r>
          <w:r>
            <w:rPr>
              <w:rFonts w:hint="eastAsia" w:ascii="仿宋" w:hAnsi="仿宋" w:cs="仿宋"/>
              <w:color w:val="auto"/>
            </w:rPr>
            <w:t>- 105 -</w:t>
          </w:r>
          <w:r>
            <w:rPr>
              <w:rFonts w:hint="eastAsia" w:ascii="仿宋" w:hAnsi="仿宋" w:cs="仿宋"/>
              <w:color w:val="auto"/>
            </w:rPr>
            <w:fldChar w:fldCharType="end"/>
          </w:r>
          <w:r>
            <w:rPr>
              <w:rFonts w:hint="eastAsia" w:ascii="仿宋" w:hAnsi="仿宋" w:cs="仿宋"/>
              <w:color w:val="auto"/>
            </w:rPr>
            <w:fldChar w:fldCharType="end"/>
          </w:r>
        </w:p>
        <w:p w14:paraId="5D5DA6E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"_Toc14804" </w:instrText>
          </w:r>
          <w:r>
            <w:rPr>
              <w:color w:val="auto"/>
            </w:rPr>
            <w:fldChar w:fldCharType="separate"/>
          </w:r>
          <w:r>
            <w:rPr>
              <w:rFonts w:hint="eastAsia" w:ascii="仿宋" w:hAnsi="仿宋" w:cs="仿宋"/>
              <w:color w:val="auto"/>
            </w:rPr>
            <w:t>第二节 推进教育优质均衡发展</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_Toc14804 </w:instrText>
          </w:r>
          <w:r>
            <w:rPr>
              <w:rFonts w:hint="eastAsia" w:ascii="仿宋" w:hAnsi="仿宋" w:cs="仿宋"/>
              <w:color w:val="auto"/>
            </w:rPr>
            <w:fldChar w:fldCharType="separate"/>
          </w:r>
          <w:r>
            <w:rPr>
              <w:rFonts w:hint="eastAsia" w:ascii="仿宋" w:hAnsi="仿宋" w:cs="仿宋"/>
              <w:color w:val="auto"/>
            </w:rPr>
            <w:t>- 106 -</w:t>
          </w:r>
          <w:r>
            <w:rPr>
              <w:rFonts w:hint="eastAsia" w:ascii="仿宋" w:hAnsi="仿宋" w:cs="仿宋"/>
              <w:color w:val="auto"/>
            </w:rPr>
            <w:fldChar w:fldCharType="end"/>
          </w:r>
          <w:r>
            <w:rPr>
              <w:rFonts w:hint="eastAsia" w:ascii="仿宋" w:hAnsi="仿宋" w:cs="仿宋"/>
              <w:color w:val="auto"/>
            </w:rPr>
            <w:fldChar w:fldCharType="end"/>
          </w:r>
        </w:p>
        <w:p w14:paraId="3525F995">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"_Toc4717" </w:instrText>
          </w:r>
          <w:r>
            <w:rPr>
              <w:color w:val="auto"/>
            </w:rPr>
            <w:fldChar w:fldCharType="separate"/>
          </w:r>
          <w:r>
            <w:rPr>
              <w:rFonts w:hint="eastAsia" w:ascii="仿宋" w:hAnsi="仿宋" w:cs="仿宋"/>
              <w:color w:val="auto"/>
            </w:rPr>
            <w:t>第三节 全面推进卫生健康现代化</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_Toc4717 </w:instrText>
          </w:r>
          <w:r>
            <w:rPr>
              <w:rFonts w:hint="eastAsia" w:ascii="仿宋" w:hAnsi="仿宋" w:cs="仿宋"/>
              <w:color w:val="auto"/>
            </w:rPr>
            <w:fldChar w:fldCharType="separate"/>
          </w:r>
          <w:r>
            <w:rPr>
              <w:rFonts w:hint="eastAsia" w:ascii="仿宋" w:hAnsi="仿宋" w:cs="仿宋"/>
              <w:color w:val="auto"/>
            </w:rPr>
            <w:t>- 109 -</w:t>
          </w:r>
          <w:r>
            <w:rPr>
              <w:rFonts w:hint="eastAsia" w:ascii="仿宋" w:hAnsi="仿宋" w:cs="仿宋"/>
              <w:color w:val="auto"/>
            </w:rPr>
            <w:fldChar w:fldCharType="end"/>
          </w:r>
          <w:r>
            <w:rPr>
              <w:rFonts w:hint="eastAsia" w:ascii="仿宋" w:hAnsi="仿宋" w:cs="仿宋"/>
              <w:color w:val="auto"/>
            </w:rPr>
            <w:fldChar w:fldCharType="end"/>
          </w:r>
        </w:p>
        <w:p w14:paraId="5FC25E6D">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"_Toc7655" </w:instrText>
          </w:r>
          <w:r>
            <w:rPr>
              <w:color w:val="auto"/>
            </w:rPr>
            <w:fldChar w:fldCharType="separate"/>
          </w:r>
          <w:r>
            <w:rPr>
              <w:rFonts w:hint="eastAsia" w:ascii="仿宋" w:hAnsi="仿宋" w:cs="仿宋"/>
              <w:color w:val="auto"/>
            </w:rPr>
            <w:t>第四节 切实提高社会保障水平</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_Toc7655 </w:instrText>
          </w:r>
          <w:r>
            <w:rPr>
              <w:rFonts w:hint="eastAsia" w:ascii="仿宋" w:hAnsi="仿宋" w:cs="仿宋"/>
              <w:color w:val="auto"/>
            </w:rPr>
            <w:fldChar w:fldCharType="separate"/>
          </w:r>
          <w:r>
            <w:rPr>
              <w:rFonts w:hint="eastAsia" w:ascii="仿宋" w:hAnsi="仿宋" w:cs="仿宋"/>
              <w:color w:val="auto"/>
            </w:rPr>
            <w:t>- 111 -</w:t>
          </w:r>
          <w:r>
            <w:rPr>
              <w:rFonts w:hint="eastAsia" w:ascii="仿宋" w:hAnsi="仿宋" w:cs="仿宋"/>
              <w:color w:val="auto"/>
            </w:rPr>
            <w:fldChar w:fldCharType="end"/>
          </w:r>
          <w:r>
            <w:rPr>
              <w:rFonts w:hint="eastAsia" w:ascii="仿宋" w:hAnsi="仿宋" w:cs="仿宋"/>
              <w:color w:val="auto"/>
            </w:rPr>
            <w:fldChar w:fldCharType="end"/>
          </w:r>
        </w:p>
        <w:p w14:paraId="637201E0">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"_Toc20057" </w:instrText>
          </w:r>
          <w:r>
            <w:rPr>
              <w:color w:val="auto"/>
            </w:rPr>
            <w:fldChar w:fldCharType="separate"/>
          </w:r>
          <w:r>
            <w:rPr>
              <w:rFonts w:hint="eastAsia" w:ascii="仿宋" w:hAnsi="仿宋" w:cs="仿宋"/>
              <w:color w:val="auto"/>
            </w:rPr>
            <w:t>第五节 稳步提升城乡居民收入</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_Toc20057 </w:instrText>
          </w:r>
          <w:r>
            <w:rPr>
              <w:rFonts w:hint="eastAsia" w:ascii="仿宋" w:hAnsi="仿宋" w:cs="仿宋"/>
              <w:color w:val="auto"/>
            </w:rPr>
            <w:fldChar w:fldCharType="separate"/>
          </w:r>
          <w:r>
            <w:rPr>
              <w:rFonts w:hint="eastAsia" w:ascii="仿宋" w:hAnsi="仿宋" w:cs="仿宋"/>
              <w:color w:val="auto"/>
            </w:rPr>
            <w:t>- 116 -</w:t>
          </w:r>
          <w:r>
            <w:rPr>
              <w:rFonts w:hint="eastAsia" w:ascii="仿宋" w:hAnsi="仿宋" w:cs="仿宋"/>
              <w:color w:val="auto"/>
            </w:rPr>
            <w:fldChar w:fldCharType="end"/>
          </w:r>
          <w:r>
            <w:rPr>
              <w:rFonts w:hint="eastAsia" w:ascii="仿宋" w:hAnsi="仿宋" w:cs="仿宋"/>
              <w:color w:val="auto"/>
            </w:rPr>
            <w:fldChar w:fldCharType="end"/>
          </w:r>
        </w:p>
        <w:p w14:paraId="23933040">
          <w:pPr>
            <w:pStyle w:val="21"/>
            <w:tabs>
              <w:tab w:val="right" w:leader="dot" w:pos="8306"/>
            </w:tabs>
            <w:rPr>
              <w:rFonts w:ascii="仿宋" w:hAnsi="仿宋" w:cs="仿宋"/>
              <w:color w:val="auto"/>
            </w:rPr>
          </w:pPr>
          <w:r>
            <w:rPr>
              <w:color w:val="auto"/>
            </w:rPr>
            <w:fldChar w:fldCharType="begin"/>
          </w:r>
          <w:r>
            <w:rPr>
              <w:color w:val="auto"/>
            </w:rPr>
            <w:instrText xml:space="preserve"> HYPERLINK \l "_Toc19639" </w:instrText>
          </w:r>
          <w:r>
            <w:rPr>
              <w:color w:val="auto"/>
            </w:rPr>
            <w:fldChar w:fldCharType="separate"/>
          </w:r>
          <w:r>
            <w:rPr>
              <w:rFonts w:hint="eastAsia" w:ascii="仿宋" w:hAnsi="仿宋" w:cs="仿宋"/>
              <w:color w:val="auto"/>
            </w:rPr>
            <w:t>第十三章 推进社会治理现代化，“平安仁化”建设再上新台阶</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_Toc19639 </w:instrText>
          </w:r>
          <w:r>
            <w:rPr>
              <w:rFonts w:hint="eastAsia" w:ascii="仿宋" w:hAnsi="仿宋" w:cs="仿宋"/>
              <w:color w:val="auto"/>
            </w:rPr>
            <w:fldChar w:fldCharType="separate"/>
          </w:r>
          <w:r>
            <w:rPr>
              <w:rFonts w:hint="eastAsia" w:ascii="仿宋" w:hAnsi="仿宋" w:cs="仿宋"/>
              <w:color w:val="auto"/>
            </w:rPr>
            <w:t>- 118 -</w:t>
          </w:r>
          <w:r>
            <w:rPr>
              <w:rFonts w:hint="eastAsia" w:ascii="仿宋" w:hAnsi="仿宋" w:cs="仿宋"/>
              <w:color w:val="auto"/>
            </w:rPr>
            <w:fldChar w:fldCharType="end"/>
          </w:r>
          <w:r>
            <w:rPr>
              <w:rFonts w:hint="eastAsia" w:ascii="仿宋" w:hAnsi="仿宋" w:cs="仿宋"/>
              <w:color w:val="auto"/>
            </w:rPr>
            <w:fldChar w:fldCharType="end"/>
          </w:r>
        </w:p>
        <w:p w14:paraId="22DE92AE">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"_Toc9231" </w:instrText>
          </w:r>
          <w:r>
            <w:rPr>
              <w:color w:val="auto"/>
            </w:rPr>
            <w:fldChar w:fldCharType="separate"/>
          </w:r>
          <w:r>
            <w:rPr>
              <w:rFonts w:hint="eastAsia" w:ascii="仿宋" w:hAnsi="仿宋" w:cs="仿宋"/>
              <w:color w:val="auto"/>
            </w:rPr>
            <w:t>第一节 加强安全体系和能力建设</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_Toc9231 </w:instrText>
          </w:r>
          <w:r>
            <w:rPr>
              <w:rFonts w:hint="eastAsia" w:ascii="仿宋" w:hAnsi="仿宋" w:cs="仿宋"/>
              <w:color w:val="auto"/>
            </w:rPr>
            <w:fldChar w:fldCharType="separate"/>
          </w:r>
          <w:r>
            <w:rPr>
              <w:rFonts w:hint="eastAsia" w:ascii="仿宋" w:hAnsi="仿宋" w:cs="仿宋"/>
              <w:color w:val="auto"/>
            </w:rPr>
            <w:t>- 118 -</w:t>
          </w:r>
          <w:r>
            <w:rPr>
              <w:rFonts w:hint="eastAsia" w:ascii="仿宋" w:hAnsi="仿宋" w:cs="仿宋"/>
              <w:color w:val="auto"/>
            </w:rPr>
            <w:fldChar w:fldCharType="end"/>
          </w:r>
          <w:r>
            <w:rPr>
              <w:rFonts w:hint="eastAsia" w:ascii="仿宋" w:hAnsi="仿宋" w:cs="仿宋"/>
              <w:color w:val="auto"/>
            </w:rPr>
            <w:fldChar w:fldCharType="end"/>
          </w:r>
        </w:p>
        <w:p w14:paraId="76CF5BA6">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"_Toc32268" </w:instrText>
          </w:r>
          <w:r>
            <w:rPr>
              <w:color w:val="auto"/>
            </w:rPr>
            <w:fldChar w:fldCharType="separate"/>
          </w:r>
          <w:r>
            <w:rPr>
              <w:rFonts w:hint="eastAsia" w:ascii="仿宋" w:hAnsi="仿宋" w:cs="仿宋"/>
              <w:color w:val="auto"/>
            </w:rPr>
            <w:t>第二节 全力维护政治、经济安全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_Toc32268 </w:instrText>
          </w:r>
          <w:r>
            <w:rPr>
              <w:rFonts w:hint="eastAsia" w:ascii="仿宋" w:hAnsi="仿宋" w:cs="仿宋"/>
              <w:color w:val="auto"/>
            </w:rPr>
            <w:fldChar w:fldCharType="separate"/>
          </w:r>
          <w:r>
            <w:rPr>
              <w:rFonts w:hint="eastAsia" w:ascii="仿宋" w:hAnsi="仿宋" w:cs="仿宋"/>
              <w:color w:val="auto"/>
            </w:rPr>
            <w:t>- 119 -</w:t>
          </w:r>
          <w:r>
            <w:rPr>
              <w:rFonts w:hint="eastAsia" w:ascii="仿宋" w:hAnsi="仿宋" w:cs="仿宋"/>
              <w:color w:val="auto"/>
            </w:rPr>
            <w:fldChar w:fldCharType="end"/>
          </w:r>
          <w:r>
            <w:rPr>
              <w:rFonts w:hint="eastAsia" w:ascii="仿宋" w:hAnsi="仿宋" w:cs="仿宋"/>
              <w:color w:val="auto"/>
            </w:rPr>
            <w:fldChar w:fldCharType="end"/>
          </w:r>
        </w:p>
        <w:p w14:paraId="4D0E2DAA">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"_Toc21242" </w:instrText>
          </w:r>
          <w:r>
            <w:rPr>
              <w:color w:val="auto"/>
            </w:rPr>
            <w:fldChar w:fldCharType="separate"/>
          </w:r>
          <w:r>
            <w:rPr>
              <w:rFonts w:hint="eastAsia" w:ascii="仿宋" w:hAnsi="仿宋" w:cs="仿宋"/>
              <w:color w:val="auto"/>
            </w:rPr>
            <w:t>第三节 切实保障人民生命安全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_Toc21242 </w:instrText>
          </w:r>
          <w:r>
            <w:rPr>
              <w:rFonts w:hint="eastAsia" w:ascii="仿宋" w:hAnsi="仿宋" w:cs="仿宋"/>
              <w:color w:val="auto"/>
            </w:rPr>
            <w:fldChar w:fldCharType="separate"/>
          </w:r>
          <w:r>
            <w:rPr>
              <w:rFonts w:hint="eastAsia" w:ascii="仿宋" w:hAnsi="仿宋" w:cs="仿宋"/>
              <w:color w:val="auto"/>
            </w:rPr>
            <w:t>- 121 -</w:t>
          </w:r>
          <w:r>
            <w:rPr>
              <w:rFonts w:hint="eastAsia" w:ascii="仿宋" w:hAnsi="仿宋" w:cs="仿宋"/>
              <w:color w:val="auto"/>
            </w:rPr>
            <w:fldChar w:fldCharType="end"/>
          </w:r>
          <w:r>
            <w:rPr>
              <w:rFonts w:hint="eastAsia" w:ascii="仿宋" w:hAnsi="仿宋" w:cs="仿宋"/>
              <w:color w:val="auto"/>
            </w:rPr>
            <w:fldChar w:fldCharType="end"/>
          </w:r>
        </w:p>
        <w:p w14:paraId="33329DA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"_Toc25266" </w:instrText>
          </w:r>
          <w:r>
            <w:rPr>
              <w:color w:val="auto"/>
            </w:rPr>
            <w:fldChar w:fldCharType="separate"/>
          </w:r>
          <w:r>
            <w:rPr>
              <w:rFonts w:hint="eastAsia" w:ascii="仿宋" w:hAnsi="仿宋" w:cs="仿宋"/>
              <w:color w:val="auto"/>
            </w:rPr>
            <w:t>第四节 加强和创新社会治理</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_Toc25266 </w:instrText>
          </w:r>
          <w:r>
            <w:rPr>
              <w:rFonts w:hint="eastAsia" w:ascii="仿宋" w:hAnsi="仿宋" w:cs="仿宋"/>
              <w:color w:val="auto"/>
            </w:rPr>
            <w:fldChar w:fldCharType="separate"/>
          </w:r>
          <w:r>
            <w:rPr>
              <w:rFonts w:hint="eastAsia" w:ascii="仿宋" w:hAnsi="仿宋" w:cs="仿宋"/>
              <w:color w:val="auto"/>
            </w:rPr>
            <w:t>- 124 -</w:t>
          </w:r>
          <w:r>
            <w:rPr>
              <w:rFonts w:hint="eastAsia" w:ascii="仿宋" w:hAnsi="仿宋" w:cs="仿宋"/>
              <w:color w:val="auto"/>
            </w:rPr>
            <w:fldChar w:fldCharType="end"/>
          </w:r>
          <w:r>
            <w:rPr>
              <w:rFonts w:hint="eastAsia" w:ascii="仿宋" w:hAnsi="仿宋" w:cs="仿宋"/>
              <w:color w:val="auto"/>
            </w:rPr>
            <w:fldChar w:fldCharType="end"/>
          </w:r>
        </w:p>
        <w:p w14:paraId="2B5147FC">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"_Toc8815" </w:instrText>
          </w:r>
          <w:r>
            <w:rPr>
              <w:color w:val="auto"/>
            </w:rPr>
            <w:fldChar w:fldCharType="separate"/>
          </w:r>
          <w:r>
            <w:rPr>
              <w:rFonts w:hint="eastAsia" w:ascii="仿宋" w:hAnsi="仿宋" w:cs="仿宋"/>
              <w:color w:val="auto"/>
            </w:rPr>
            <w:t>第五节 全力维护社会稳定和安全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_Toc8815 </w:instrText>
          </w:r>
          <w:r>
            <w:rPr>
              <w:rFonts w:hint="eastAsia" w:ascii="仿宋" w:hAnsi="仿宋" w:cs="仿宋"/>
              <w:color w:val="auto"/>
            </w:rPr>
            <w:fldChar w:fldCharType="separate"/>
          </w:r>
          <w:r>
            <w:rPr>
              <w:rFonts w:hint="eastAsia" w:ascii="仿宋" w:hAnsi="仿宋" w:cs="仿宋"/>
              <w:color w:val="auto"/>
            </w:rPr>
            <w:t>- 125 -</w:t>
          </w:r>
          <w:r>
            <w:rPr>
              <w:rFonts w:hint="eastAsia" w:ascii="仿宋" w:hAnsi="仿宋" w:cs="仿宋"/>
              <w:color w:val="auto"/>
            </w:rPr>
            <w:fldChar w:fldCharType="end"/>
          </w:r>
          <w:r>
            <w:rPr>
              <w:rFonts w:hint="eastAsia" w:ascii="仿宋" w:hAnsi="仿宋" w:cs="仿宋"/>
              <w:color w:val="auto"/>
            </w:rPr>
            <w:fldChar w:fldCharType="end"/>
          </w:r>
        </w:p>
        <w:p w14:paraId="5D45F6C1">
          <w:pPr>
            <w:pStyle w:val="21"/>
            <w:tabs>
              <w:tab w:val="right" w:leader="dot" w:pos="8306"/>
            </w:tabs>
            <w:rPr>
              <w:rFonts w:ascii="仿宋" w:hAnsi="仿宋" w:cs="仿宋"/>
              <w:color w:val="auto"/>
            </w:rPr>
          </w:pPr>
          <w:r>
            <w:rPr>
              <w:color w:val="auto"/>
            </w:rPr>
            <w:fldChar w:fldCharType="begin"/>
          </w:r>
          <w:r>
            <w:rPr>
              <w:color w:val="auto"/>
            </w:rPr>
            <w:instrText xml:space="preserve"> HYPERLINK \l "_Toc1850" </w:instrText>
          </w:r>
          <w:r>
            <w:rPr>
              <w:color w:val="auto"/>
            </w:rPr>
            <w:fldChar w:fldCharType="separate"/>
          </w:r>
          <w:r>
            <w:rPr>
              <w:rFonts w:hint="eastAsia" w:ascii="仿宋" w:hAnsi="仿宋" w:cs="仿宋"/>
              <w:color w:val="auto"/>
            </w:rPr>
            <w:t>第十四章 实施五大工程，为高质量发展提供重大项目支撑</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_Toc1850 </w:instrText>
          </w:r>
          <w:r>
            <w:rPr>
              <w:rFonts w:hint="eastAsia" w:ascii="仿宋" w:hAnsi="仿宋" w:cs="仿宋"/>
              <w:color w:val="auto"/>
            </w:rPr>
            <w:fldChar w:fldCharType="separate"/>
          </w:r>
          <w:r>
            <w:rPr>
              <w:rFonts w:hint="eastAsia" w:ascii="仿宋" w:hAnsi="仿宋" w:cs="仿宋"/>
              <w:color w:val="auto"/>
            </w:rPr>
            <w:t>- 127 -</w:t>
          </w:r>
          <w:r>
            <w:rPr>
              <w:rFonts w:hint="eastAsia" w:ascii="仿宋" w:hAnsi="仿宋" w:cs="仿宋"/>
              <w:color w:val="auto"/>
            </w:rPr>
            <w:fldChar w:fldCharType="end"/>
          </w:r>
          <w:r>
            <w:rPr>
              <w:rFonts w:hint="eastAsia" w:ascii="仿宋" w:hAnsi="仿宋" w:cs="仿宋"/>
              <w:color w:val="auto"/>
            </w:rPr>
            <w:fldChar w:fldCharType="end"/>
          </w:r>
        </w:p>
        <w:p w14:paraId="5DC21298">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"_Toc23233" </w:instrText>
          </w:r>
          <w:r>
            <w:rPr>
              <w:color w:val="auto"/>
            </w:rPr>
            <w:fldChar w:fldCharType="separate"/>
          </w:r>
          <w:r>
            <w:rPr>
              <w:rFonts w:hint="eastAsia" w:ascii="仿宋" w:hAnsi="仿宋" w:cs="仿宋"/>
              <w:color w:val="auto"/>
            </w:rPr>
            <w:t>第一节 交通运输领域</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_Toc23233 </w:instrText>
          </w:r>
          <w:r>
            <w:rPr>
              <w:rFonts w:hint="eastAsia" w:ascii="仿宋" w:hAnsi="仿宋" w:cs="仿宋"/>
              <w:color w:val="auto"/>
            </w:rPr>
            <w:fldChar w:fldCharType="separate"/>
          </w:r>
          <w:r>
            <w:rPr>
              <w:rFonts w:hint="eastAsia" w:ascii="仿宋" w:hAnsi="仿宋" w:cs="仿宋"/>
              <w:color w:val="auto"/>
            </w:rPr>
            <w:t>- 129 -</w:t>
          </w:r>
          <w:r>
            <w:rPr>
              <w:rFonts w:hint="eastAsia" w:ascii="仿宋" w:hAnsi="仿宋" w:cs="仿宋"/>
              <w:color w:val="auto"/>
            </w:rPr>
            <w:fldChar w:fldCharType="end"/>
          </w:r>
          <w:r>
            <w:rPr>
              <w:rFonts w:hint="eastAsia" w:ascii="仿宋" w:hAnsi="仿宋" w:cs="仿宋"/>
              <w:color w:val="auto"/>
            </w:rPr>
            <w:fldChar w:fldCharType="end"/>
          </w:r>
        </w:p>
        <w:p w14:paraId="522D71A4">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"_Toc31489" </w:instrText>
          </w:r>
          <w:r>
            <w:rPr>
              <w:color w:val="auto"/>
            </w:rPr>
            <w:fldChar w:fldCharType="separate"/>
          </w:r>
          <w:r>
            <w:rPr>
              <w:rFonts w:hint="eastAsia" w:ascii="仿宋" w:hAnsi="仿宋" w:cs="仿宋"/>
              <w:color w:val="auto"/>
            </w:rPr>
            <w:t>第二节 旅游发展领域</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_Toc31489 </w:instrText>
          </w:r>
          <w:r>
            <w:rPr>
              <w:rFonts w:hint="eastAsia" w:ascii="仿宋" w:hAnsi="仿宋" w:cs="仿宋"/>
              <w:color w:val="auto"/>
            </w:rPr>
            <w:fldChar w:fldCharType="separate"/>
          </w:r>
          <w:r>
            <w:rPr>
              <w:rFonts w:hint="eastAsia" w:ascii="仿宋" w:hAnsi="仿宋" w:cs="仿宋"/>
              <w:color w:val="auto"/>
            </w:rPr>
            <w:t>- 129 -</w:t>
          </w:r>
          <w:r>
            <w:rPr>
              <w:rFonts w:hint="eastAsia" w:ascii="仿宋" w:hAnsi="仿宋" w:cs="仿宋"/>
              <w:color w:val="auto"/>
            </w:rPr>
            <w:fldChar w:fldCharType="end"/>
          </w:r>
          <w:r>
            <w:rPr>
              <w:rFonts w:hint="eastAsia" w:ascii="仿宋" w:hAnsi="仿宋" w:cs="仿宋"/>
              <w:color w:val="auto"/>
            </w:rPr>
            <w:fldChar w:fldCharType="end"/>
          </w:r>
        </w:p>
        <w:p w14:paraId="0DDA7139">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"_Toc32648" </w:instrText>
          </w:r>
          <w:r>
            <w:rPr>
              <w:color w:val="auto"/>
            </w:rPr>
            <w:fldChar w:fldCharType="separate"/>
          </w:r>
          <w:r>
            <w:rPr>
              <w:rFonts w:hint="eastAsia" w:ascii="仿宋" w:hAnsi="仿宋" w:cs="仿宋"/>
              <w:color w:val="auto"/>
            </w:rPr>
            <w:t>第三节 产业工程领域</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_Toc32648 </w:instrText>
          </w:r>
          <w:r>
            <w:rPr>
              <w:rFonts w:hint="eastAsia" w:ascii="仿宋" w:hAnsi="仿宋" w:cs="仿宋"/>
              <w:color w:val="auto"/>
            </w:rPr>
            <w:fldChar w:fldCharType="separate"/>
          </w:r>
          <w:r>
            <w:rPr>
              <w:rFonts w:hint="eastAsia" w:ascii="仿宋" w:hAnsi="仿宋" w:cs="仿宋"/>
              <w:color w:val="auto"/>
            </w:rPr>
            <w:t>- 129 -</w:t>
          </w:r>
          <w:r>
            <w:rPr>
              <w:rFonts w:hint="eastAsia" w:ascii="仿宋" w:hAnsi="仿宋" w:cs="仿宋"/>
              <w:color w:val="auto"/>
            </w:rPr>
            <w:fldChar w:fldCharType="end"/>
          </w:r>
          <w:r>
            <w:rPr>
              <w:rFonts w:hint="eastAsia" w:ascii="仿宋" w:hAnsi="仿宋" w:cs="仿宋"/>
              <w:color w:val="auto"/>
            </w:rPr>
            <w:fldChar w:fldCharType="end"/>
          </w:r>
        </w:p>
        <w:p w14:paraId="081F9838">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"_Toc18794" </w:instrText>
          </w:r>
          <w:r>
            <w:rPr>
              <w:color w:val="auto"/>
            </w:rPr>
            <w:fldChar w:fldCharType="separate"/>
          </w:r>
          <w:r>
            <w:rPr>
              <w:rFonts w:hint="eastAsia" w:ascii="仿宋" w:hAnsi="仿宋" w:cs="仿宋"/>
              <w:color w:val="auto"/>
            </w:rPr>
            <w:t>第四节 农业农村领域</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_Toc18794 </w:instrText>
          </w:r>
          <w:r>
            <w:rPr>
              <w:rFonts w:hint="eastAsia" w:ascii="仿宋" w:hAnsi="仿宋" w:cs="仿宋"/>
              <w:color w:val="auto"/>
            </w:rPr>
            <w:fldChar w:fldCharType="separate"/>
          </w:r>
          <w:r>
            <w:rPr>
              <w:rFonts w:hint="eastAsia" w:ascii="仿宋" w:hAnsi="仿宋" w:cs="仿宋"/>
              <w:color w:val="auto"/>
            </w:rPr>
            <w:t>- 130 -</w:t>
          </w:r>
          <w:r>
            <w:rPr>
              <w:rFonts w:hint="eastAsia" w:ascii="仿宋" w:hAnsi="仿宋" w:cs="仿宋"/>
              <w:color w:val="auto"/>
            </w:rPr>
            <w:fldChar w:fldCharType="end"/>
          </w:r>
          <w:r>
            <w:rPr>
              <w:rFonts w:hint="eastAsia" w:ascii="仿宋" w:hAnsi="仿宋" w:cs="仿宋"/>
              <w:color w:val="auto"/>
            </w:rPr>
            <w:fldChar w:fldCharType="end"/>
          </w:r>
        </w:p>
        <w:p w14:paraId="2FA4E0C3">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"_Toc3330" </w:instrText>
          </w:r>
          <w:r>
            <w:rPr>
              <w:color w:val="auto"/>
            </w:rPr>
            <w:fldChar w:fldCharType="separate"/>
          </w:r>
          <w:r>
            <w:rPr>
              <w:rFonts w:hint="eastAsia" w:ascii="仿宋" w:hAnsi="仿宋" w:cs="仿宋"/>
              <w:color w:val="auto"/>
            </w:rPr>
            <w:t>第五节 公共基础设施</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_Toc3330 </w:instrText>
          </w:r>
          <w:r>
            <w:rPr>
              <w:rFonts w:hint="eastAsia" w:ascii="仿宋" w:hAnsi="仿宋" w:cs="仿宋"/>
              <w:color w:val="auto"/>
            </w:rPr>
            <w:fldChar w:fldCharType="separate"/>
          </w:r>
          <w:r>
            <w:rPr>
              <w:rFonts w:hint="eastAsia" w:ascii="仿宋" w:hAnsi="仿宋" w:cs="仿宋"/>
              <w:color w:val="auto"/>
            </w:rPr>
            <w:t>- 130 -</w:t>
          </w:r>
          <w:r>
            <w:rPr>
              <w:rFonts w:hint="eastAsia" w:ascii="仿宋" w:hAnsi="仿宋" w:cs="仿宋"/>
              <w:color w:val="auto"/>
            </w:rPr>
            <w:fldChar w:fldCharType="end"/>
          </w:r>
          <w:r>
            <w:rPr>
              <w:rFonts w:hint="eastAsia" w:ascii="仿宋" w:hAnsi="仿宋" w:cs="仿宋"/>
              <w:color w:val="auto"/>
            </w:rPr>
            <w:fldChar w:fldCharType="end"/>
          </w:r>
        </w:p>
        <w:p w14:paraId="459B9041">
          <w:pPr>
            <w:pStyle w:val="21"/>
            <w:tabs>
              <w:tab w:val="right" w:leader="dot" w:pos="8306"/>
            </w:tabs>
            <w:rPr>
              <w:rFonts w:ascii="仿宋" w:hAnsi="仿宋" w:cs="仿宋"/>
              <w:color w:val="auto"/>
            </w:rPr>
          </w:pPr>
          <w:r>
            <w:rPr>
              <w:color w:val="auto"/>
            </w:rPr>
            <w:fldChar w:fldCharType="begin"/>
          </w:r>
          <w:r>
            <w:rPr>
              <w:color w:val="auto"/>
            </w:rPr>
            <w:instrText xml:space="preserve"> HYPERLINK \l "_Toc8654" </w:instrText>
          </w:r>
          <w:r>
            <w:rPr>
              <w:color w:val="auto"/>
            </w:rPr>
            <w:fldChar w:fldCharType="separate"/>
          </w:r>
          <w:r>
            <w:rPr>
              <w:rFonts w:hint="eastAsia" w:ascii="仿宋" w:hAnsi="仿宋" w:cs="仿宋"/>
              <w:color w:val="auto"/>
            </w:rPr>
            <w:t>第十五章 保障措施</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_Toc8654 </w:instrText>
          </w:r>
          <w:r>
            <w:rPr>
              <w:rFonts w:hint="eastAsia" w:ascii="仿宋" w:hAnsi="仿宋" w:cs="仿宋"/>
              <w:color w:val="auto"/>
            </w:rPr>
            <w:fldChar w:fldCharType="separate"/>
          </w:r>
          <w:r>
            <w:rPr>
              <w:rFonts w:hint="eastAsia" w:ascii="仿宋" w:hAnsi="仿宋" w:cs="仿宋"/>
              <w:color w:val="auto"/>
            </w:rPr>
            <w:t>- 132 -</w:t>
          </w:r>
          <w:r>
            <w:rPr>
              <w:rFonts w:hint="eastAsia" w:ascii="仿宋" w:hAnsi="仿宋" w:cs="仿宋"/>
              <w:color w:val="auto"/>
            </w:rPr>
            <w:fldChar w:fldCharType="end"/>
          </w:r>
          <w:r>
            <w:rPr>
              <w:rFonts w:hint="eastAsia" w:ascii="仿宋" w:hAnsi="仿宋" w:cs="仿宋"/>
              <w:color w:val="auto"/>
            </w:rPr>
            <w:fldChar w:fldCharType="end"/>
          </w:r>
        </w:p>
        <w:p w14:paraId="0ED5488D">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"_Toc22685" </w:instrText>
          </w:r>
          <w:r>
            <w:rPr>
              <w:color w:val="auto"/>
            </w:rPr>
            <w:fldChar w:fldCharType="separate"/>
          </w:r>
          <w:r>
            <w:rPr>
              <w:rFonts w:hint="eastAsia" w:ascii="仿宋" w:hAnsi="仿宋" w:cs="仿宋"/>
              <w:color w:val="auto"/>
            </w:rPr>
            <w:t>第一节 坚持和加强党的全面领导</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_Toc22685 </w:instrText>
          </w:r>
          <w:r>
            <w:rPr>
              <w:rFonts w:hint="eastAsia" w:ascii="仿宋" w:hAnsi="仿宋" w:cs="仿宋"/>
              <w:color w:val="auto"/>
            </w:rPr>
            <w:fldChar w:fldCharType="separate"/>
          </w:r>
          <w:r>
            <w:rPr>
              <w:rFonts w:hint="eastAsia" w:ascii="仿宋" w:hAnsi="仿宋" w:cs="仿宋"/>
              <w:color w:val="auto"/>
            </w:rPr>
            <w:t>- 132 -</w:t>
          </w:r>
          <w:r>
            <w:rPr>
              <w:rFonts w:hint="eastAsia" w:ascii="仿宋" w:hAnsi="仿宋" w:cs="仿宋"/>
              <w:color w:val="auto"/>
            </w:rPr>
            <w:fldChar w:fldCharType="end"/>
          </w:r>
          <w:r>
            <w:rPr>
              <w:rFonts w:hint="eastAsia" w:ascii="仿宋" w:hAnsi="仿宋" w:cs="仿宋"/>
              <w:color w:val="auto"/>
            </w:rPr>
            <w:fldChar w:fldCharType="end"/>
          </w:r>
        </w:p>
        <w:p w14:paraId="547EC56F">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"_Toc22727" </w:instrText>
          </w:r>
          <w:r>
            <w:rPr>
              <w:color w:val="auto"/>
            </w:rPr>
            <w:fldChar w:fldCharType="separate"/>
          </w:r>
          <w:r>
            <w:rPr>
              <w:rFonts w:hint="eastAsia" w:ascii="仿宋" w:hAnsi="仿宋" w:cs="仿宋"/>
              <w:color w:val="auto"/>
            </w:rPr>
            <w:t>第二节 强化载体支撑作用</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_Toc22727 </w:instrText>
          </w:r>
          <w:r>
            <w:rPr>
              <w:rFonts w:hint="eastAsia" w:ascii="仿宋" w:hAnsi="仿宋" w:cs="仿宋"/>
              <w:color w:val="auto"/>
            </w:rPr>
            <w:fldChar w:fldCharType="separate"/>
          </w:r>
          <w:r>
            <w:rPr>
              <w:rFonts w:hint="eastAsia" w:ascii="仿宋" w:hAnsi="仿宋" w:cs="仿宋"/>
              <w:color w:val="auto"/>
            </w:rPr>
            <w:t>- 135 -</w:t>
          </w:r>
          <w:r>
            <w:rPr>
              <w:rFonts w:hint="eastAsia" w:ascii="仿宋" w:hAnsi="仿宋" w:cs="仿宋"/>
              <w:color w:val="auto"/>
            </w:rPr>
            <w:fldChar w:fldCharType="end"/>
          </w:r>
          <w:r>
            <w:rPr>
              <w:rFonts w:hint="eastAsia" w:ascii="仿宋" w:hAnsi="仿宋" w:cs="仿宋"/>
              <w:color w:val="auto"/>
            </w:rPr>
            <w:fldChar w:fldCharType="end"/>
          </w:r>
        </w:p>
        <w:p w14:paraId="06A859A7">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"_Toc7670" </w:instrText>
          </w:r>
          <w:r>
            <w:rPr>
              <w:color w:val="auto"/>
            </w:rPr>
            <w:fldChar w:fldCharType="separate"/>
          </w:r>
          <w:r>
            <w:rPr>
              <w:rFonts w:hint="eastAsia" w:ascii="仿宋" w:hAnsi="仿宋" w:cs="仿宋"/>
              <w:color w:val="auto"/>
            </w:rPr>
            <w:t>第三节 建立和完善规划实施保障机制</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_Toc7670 </w:instrText>
          </w:r>
          <w:r>
            <w:rPr>
              <w:rFonts w:hint="eastAsia" w:ascii="仿宋" w:hAnsi="仿宋" w:cs="仿宋"/>
              <w:color w:val="auto"/>
            </w:rPr>
            <w:fldChar w:fldCharType="separate"/>
          </w:r>
          <w:r>
            <w:rPr>
              <w:rFonts w:hint="eastAsia" w:ascii="仿宋" w:hAnsi="仿宋" w:cs="仿宋"/>
              <w:color w:val="auto"/>
            </w:rPr>
            <w:t>- 136 -</w:t>
          </w:r>
          <w:r>
            <w:rPr>
              <w:rFonts w:hint="eastAsia" w:ascii="仿宋" w:hAnsi="仿宋" w:cs="仿宋"/>
              <w:color w:val="auto"/>
            </w:rPr>
            <w:fldChar w:fldCharType="end"/>
          </w:r>
          <w:r>
            <w:rPr>
              <w:rFonts w:hint="eastAsia" w:ascii="仿宋" w:hAnsi="仿宋" w:cs="仿宋"/>
              <w:color w:val="auto"/>
            </w:rPr>
            <w:fldChar w:fldCharType="end"/>
          </w:r>
        </w:p>
        <w:p w14:paraId="0790AC8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"_Toc8977" </w:instrText>
          </w:r>
          <w:r>
            <w:rPr>
              <w:color w:val="auto"/>
            </w:rPr>
            <w:fldChar w:fldCharType="separate"/>
          </w:r>
          <w:r>
            <w:rPr>
              <w:rFonts w:hint="eastAsia" w:ascii="仿宋" w:hAnsi="仿宋" w:cs="仿宋"/>
              <w:color w:val="auto"/>
            </w:rPr>
            <w:t>第四节 加强规划监督考评</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_Toc8977 </w:instrText>
          </w:r>
          <w:r>
            <w:rPr>
              <w:rFonts w:hint="eastAsia" w:ascii="仿宋" w:hAnsi="仿宋" w:cs="仿宋"/>
              <w:color w:val="auto"/>
            </w:rPr>
            <w:fldChar w:fldCharType="separate"/>
          </w:r>
          <w:r>
            <w:rPr>
              <w:rFonts w:hint="eastAsia" w:ascii="仿宋" w:hAnsi="仿宋" w:cs="仿宋"/>
              <w:color w:val="auto"/>
            </w:rPr>
            <w:t>- 137 -</w:t>
          </w:r>
          <w:r>
            <w:rPr>
              <w:rFonts w:hint="eastAsia" w:ascii="仿宋" w:hAnsi="仿宋" w:cs="仿宋"/>
              <w:color w:val="auto"/>
            </w:rPr>
            <w:fldChar w:fldCharType="end"/>
          </w:r>
          <w:r>
            <w:rPr>
              <w:rFonts w:hint="eastAsia" w:ascii="仿宋" w:hAnsi="仿宋" w:cs="仿宋"/>
              <w:color w:val="auto"/>
            </w:rPr>
            <w:fldChar w:fldCharType="end"/>
          </w:r>
        </w:p>
        <w:p w14:paraId="5806FAC1">
          <w:pPr>
            <w:pStyle w:val="22"/>
            <w:tabs>
              <w:tab w:val="right" w:leader="dot" w:pos="8306"/>
            </w:tabs>
            <w:ind w:left="640"/>
            <w:rPr>
              <w:rFonts w:ascii="仿宋" w:hAnsi="仿宋" w:cs="仿宋"/>
              <w:color w:val="auto"/>
            </w:rPr>
          </w:pPr>
          <w:r>
            <w:rPr>
              <w:color w:val="auto"/>
            </w:rPr>
            <w:fldChar w:fldCharType="begin"/>
          </w:r>
          <w:r>
            <w:rPr>
              <w:color w:val="auto"/>
            </w:rPr>
            <w:instrText xml:space="preserve"> HYPERLINK \l "_Toc25787" </w:instrText>
          </w:r>
          <w:r>
            <w:rPr>
              <w:color w:val="auto"/>
            </w:rPr>
            <w:fldChar w:fldCharType="separate"/>
          </w:r>
          <w:r>
            <w:rPr>
              <w:rFonts w:hint="eastAsia" w:ascii="仿宋" w:hAnsi="仿宋" w:cs="仿宋"/>
              <w:color w:val="auto"/>
            </w:rPr>
            <w:t>第五节 强化目标任务分解</w:t>
          </w:r>
          <w:r>
            <w:rPr>
              <w:rFonts w:hint="eastAsia" w:ascii="仿宋" w:hAnsi="仿宋" w:cs="仿宋"/>
              <w:color w:val="auto"/>
            </w:rPr>
            <w:tab/>
          </w:r>
          <w:r>
            <w:rPr>
              <w:rFonts w:hint="eastAsia" w:ascii="仿宋" w:hAnsi="仿宋" w:cs="仿宋"/>
              <w:color w:val="auto"/>
            </w:rPr>
            <w:fldChar w:fldCharType="begin"/>
          </w:r>
          <w:r>
            <w:rPr>
              <w:rFonts w:hint="eastAsia" w:ascii="仿宋" w:hAnsi="仿宋" w:cs="仿宋"/>
              <w:color w:val="auto"/>
            </w:rPr>
            <w:instrText xml:space="preserve"> PAGEREF _Toc25787 </w:instrText>
          </w:r>
          <w:r>
            <w:rPr>
              <w:rFonts w:hint="eastAsia" w:ascii="仿宋" w:hAnsi="仿宋" w:cs="仿宋"/>
              <w:color w:val="auto"/>
            </w:rPr>
            <w:fldChar w:fldCharType="separate"/>
          </w:r>
          <w:r>
            <w:rPr>
              <w:rFonts w:hint="eastAsia" w:ascii="仿宋" w:hAnsi="仿宋" w:cs="仿宋"/>
              <w:color w:val="auto"/>
            </w:rPr>
            <w:t>- 138 -</w:t>
          </w:r>
          <w:r>
            <w:rPr>
              <w:rFonts w:hint="eastAsia" w:ascii="仿宋" w:hAnsi="仿宋" w:cs="仿宋"/>
              <w:color w:val="auto"/>
            </w:rPr>
            <w:fldChar w:fldCharType="end"/>
          </w:r>
          <w:r>
            <w:rPr>
              <w:rFonts w:hint="eastAsia" w:ascii="仿宋" w:hAnsi="仿宋" w:cs="仿宋"/>
              <w:color w:val="auto"/>
            </w:rPr>
            <w:fldChar w:fldCharType="end"/>
          </w:r>
        </w:p>
        <w:p w14:paraId="6C4471D2">
          <w:pPr>
            <w:rPr>
              <w:color w:val="auto"/>
            </w:rPr>
          </w:pPr>
          <w:r>
            <w:rPr>
              <w:color w:val="auto"/>
              <w:szCs w:val="28"/>
            </w:rPr>
            <w:fldChar w:fldCharType="end"/>
          </w:r>
        </w:p>
      </w:sdtContent>
    </w:sdt>
    <w:p w14:paraId="69836401">
      <w:pPr>
        <w:rPr>
          <w:color w:val="auto"/>
        </w:rPr>
        <w:sectPr>
          <w:footerReference r:id="rId11" w:type="default"/>
          <w:pgSz w:w="11906" w:h="16838"/>
          <w:pgMar w:top="1440" w:right="1474" w:bottom="1440" w:left="1587" w:header="851" w:footer="992" w:gutter="0"/>
          <w:pgNumType w:fmt="numberInDash" w:start="1"/>
          <w:cols w:space="0" w:num="1"/>
          <w:docGrid w:type="lines" w:linePitch="436" w:charSpace="0"/>
        </w:sectPr>
      </w:pPr>
    </w:p>
    <w:p w14:paraId="43E57EC0">
      <w:pPr>
        <w:rPr>
          <w:color w:val="auto"/>
        </w:rPr>
      </w:pPr>
      <w:r>
        <w:rPr>
          <w:rFonts w:hint="eastAsia"/>
          <w:color w:val="auto"/>
        </w:rPr>
        <w:t>本规划依据党的第十九届五中全会、广东省委十二届十二次全会精神和《韶关市国民经济和社会发展第十四个五年规划和二〇三五年远景目标纲要》、《中共仁化县委关于制定国民经济和社会发展第十四个五年规划和二〇三五年远景目标的建议》、《粤港澳大湾区发展规划纲要》、《关于构建“一核一带一区”区域发展新格局促进全省区域协调发展的意见》等相关规划及意见进行编制，主要明确“十四五”期间仁化县经济社会发展的指导思想、基本原则、战略目标、重点任务和保障措施，是明确政府工作重点，引导市场行为的纲领性文件，是未来五年仁化县经济社会发展的总体设计和宏伟蓝图，对指导仁化县经济社会高质量发展具有重要意义。</w:t>
      </w:r>
    </w:p>
    <w:p w14:paraId="62F82353">
      <w:pPr>
        <w:rPr>
          <w:color w:val="auto"/>
        </w:rPr>
      </w:pPr>
    </w:p>
    <w:p w14:paraId="2709B2B9">
      <w:pPr>
        <w:rPr>
          <w:color w:val="auto"/>
        </w:rPr>
      </w:pPr>
    </w:p>
    <w:p w14:paraId="5B9F25B1">
      <w:pPr>
        <w:tabs>
          <w:tab w:val="left" w:pos="1532"/>
        </w:tabs>
        <w:jc w:val="left"/>
        <w:rPr>
          <w:color w:val="auto"/>
        </w:rPr>
      </w:pPr>
      <w:r>
        <w:rPr>
          <w:rFonts w:hint="eastAsia"/>
          <w:color w:val="auto"/>
        </w:rPr>
        <w:tab/>
      </w:r>
    </w:p>
    <w:p w14:paraId="0D6B2A2B">
      <w:pPr>
        <w:pStyle w:val="2"/>
        <w:rPr>
          <w:color w:val="auto"/>
        </w:rPr>
      </w:pPr>
    </w:p>
    <w:p w14:paraId="4CAA420B">
      <w:pPr>
        <w:pStyle w:val="2"/>
        <w:rPr>
          <w:color w:val="auto"/>
        </w:rPr>
      </w:pPr>
    </w:p>
    <w:p w14:paraId="298EC79F">
      <w:pPr>
        <w:pStyle w:val="2"/>
        <w:rPr>
          <w:color w:val="auto"/>
        </w:rPr>
      </w:pPr>
    </w:p>
    <w:p w14:paraId="47B779F0">
      <w:pPr>
        <w:pStyle w:val="2"/>
        <w:rPr>
          <w:color w:val="auto"/>
        </w:rPr>
      </w:pPr>
    </w:p>
    <w:p w14:paraId="5BC294F5">
      <w:pPr>
        <w:pStyle w:val="2"/>
        <w:rPr>
          <w:color w:val="auto"/>
        </w:rPr>
      </w:pPr>
    </w:p>
    <w:p w14:paraId="72D65D1B">
      <w:pPr>
        <w:pStyle w:val="2"/>
        <w:rPr>
          <w:color w:val="auto"/>
        </w:rPr>
      </w:pPr>
    </w:p>
    <w:p w14:paraId="6BB39600">
      <w:pPr>
        <w:pStyle w:val="2"/>
        <w:rPr>
          <w:color w:val="auto"/>
        </w:rPr>
      </w:pPr>
    </w:p>
    <w:p w14:paraId="414FCC18">
      <w:pPr>
        <w:pStyle w:val="2"/>
        <w:rPr>
          <w:color w:val="auto"/>
        </w:rPr>
      </w:pPr>
    </w:p>
    <w:p w14:paraId="1EFF9603">
      <w:pPr>
        <w:pStyle w:val="2"/>
        <w:rPr>
          <w:color w:val="auto"/>
        </w:rPr>
      </w:pPr>
    </w:p>
    <w:p w14:paraId="7D7850F2">
      <w:pPr>
        <w:pStyle w:val="2"/>
        <w:rPr>
          <w:color w:val="auto"/>
        </w:rPr>
      </w:pPr>
    </w:p>
    <w:p w14:paraId="72F8C69D">
      <w:pPr>
        <w:pStyle w:val="2"/>
        <w:rPr>
          <w:color w:val="auto"/>
        </w:rPr>
      </w:pPr>
    </w:p>
    <w:p w14:paraId="6AC6C246">
      <w:pPr>
        <w:pStyle w:val="2"/>
        <w:rPr>
          <w:color w:val="auto"/>
        </w:rPr>
      </w:pPr>
    </w:p>
    <w:p w14:paraId="73B43B46">
      <w:pPr>
        <w:pStyle w:val="2"/>
        <w:rPr>
          <w:color w:val="auto"/>
        </w:rPr>
      </w:pPr>
    </w:p>
    <w:p w14:paraId="5FC1B2DC">
      <w:pPr>
        <w:pStyle w:val="2"/>
        <w:rPr>
          <w:color w:val="auto"/>
        </w:rPr>
        <w:sectPr>
          <w:pgSz w:w="11906" w:h="16838"/>
          <w:pgMar w:top="1440" w:right="1474" w:bottom="1440" w:left="1587" w:header="851" w:footer="992" w:gutter="0"/>
          <w:pgNumType w:fmt="numberInDash" w:start="1"/>
          <w:cols w:space="0" w:num="1"/>
          <w:docGrid w:type="lines" w:linePitch="436" w:charSpace="0"/>
        </w:sectPr>
      </w:pPr>
    </w:p>
    <w:p w14:paraId="47C51EAF">
      <w:pPr>
        <w:pStyle w:val="3"/>
        <w:spacing w:before="218" w:after="218"/>
        <w:rPr>
          <w:color w:val="auto"/>
        </w:rPr>
      </w:pPr>
      <w:bookmarkStart w:id="1" w:name="_Toc8438"/>
      <w:bookmarkStart w:id="2" w:name="_Toc26086"/>
      <w:bookmarkStart w:id="3" w:name="_Toc24095"/>
      <w:bookmarkStart w:id="4" w:name="_Toc21837"/>
      <w:bookmarkStart w:id="5" w:name="_Toc17386"/>
      <w:bookmarkStart w:id="6" w:name="_Toc19149"/>
      <w:bookmarkStart w:id="7" w:name="_Toc28839"/>
      <w:bookmarkStart w:id="8" w:name="_Toc22020"/>
      <w:bookmarkStart w:id="9" w:name="_Toc15456"/>
      <w:bookmarkStart w:id="10" w:name="_Toc21286"/>
      <w:bookmarkStart w:id="11" w:name="_Toc13680"/>
      <w:bookmarkStart w:id="12" w:name="_Toc2360"/>
      <w:bookmarkStart w:id="13" w:name="_Toc16149"/>
      <w:bookmarkStart w:id="14" w:name="_Toc30316"/>
      <w:bookmarkStart w:id="15" w:name="_Toc8370"/>
      <w:bookmarkStart w:id="16" w:name="_Toc25370"/>
      <w:bookmarkStart w:id="17" w:name="_Toc17681"/>
      <w:bookmarkStart w:id="18" w:name="_Toc7171"/>
      <w:r>
        <w:rPr>
          <w:rFonts w:hint="eastAsia"/>
          <w:color w:val="auto"/>
        </w:rPr>
        <w:t>“十三五”时期重大成就和“十四五”时期</w:t>
      </w:r>
    </w:p>
    <w:p w14:paraId="02A28E84">
      <w:pPr>
        <w:pStyle w:val="3"/>
        <w:numPr>
          <w:ilvl w:val="0"/>
          <w:numId w:val="0"/>
        </w:numPr>
        <w:spacing w:before="218" w:after="218"/>
        <w:rPr>
          <w:color w:val="auto"/>
        </w:rPr>
      </w:pPr>
      <w:r>
        <w:rPr>
          <w:rFonts w:hint="eastAsia"/>
          <w:color w:val="auto"/>
        </w:rPr>
        <w:t>发展形势</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C9D7B8F">
      <w:pPr>
        <w:rPr>
          <w:rFonts w:ascii="仿宋" w:hAnsi="仿宋" w:cs="仿宋"/>
          <w:color w:val="auto"/>
        </w:rPr>
      </w:pPr>
      <w:r>
        <w:rPr>
          <w:rFonts w:hint="eastAsia" w:ascii="仿宋" w:hAnsi="仿宋" w:cs="仿宋"/>
          <w:color w:val="auto"/>
        </w:rPr>
        <w:t>“十三五”时期，在</w:t>
      </w:r>
      <w:r>
        <w:rPr>
          <w:rFonts w:hint="eastAsia" w:ascii="仿宋" w:hAnsi="仿宋" w:cs="仿宋"/>
          <w:color w:val="auto"/>
          <w:lang w:eastAsia="zh-CN"/>
        </w:rPr>
        <w:t>以</w:t>
      </w:r>
      <w:r>
        <w:rPr>
          <w:rFonts w:hint="eastAsia" w:ascii="仿宋" w:hAnsi="仿宋" w:cs="仿宋"/>
          <w:color w:val="auto"/>
        </w:rPr>
        <w:t>习近平同志为核心的党中央坚强领导下，按照党中央决策部署、省委和市委工作要求，全县经济社会发展取得重大成就。“十四五”时期（2021-2025年）是我国全面建成小康社会、实现第一个百年奋斗目标之后，乘势而上开启全面建设社会主义现代化国家新征程、向第二个百年奋斗目标进军的第一个五年，是广东省奋力在全面建设社会主义现代化国家新征程中走在全国前列、创造新的辉煌的重要时期，是韶关市全力筑牢粤北生态屏障，打造绿色发展韶关样板，奋力争当北部生态发展区高质量发展排头兵的关键时期，也是仁化县积极融入和服务“双区”建设，努力争当全市生态文明和乡风文明建设排头兵，打造北部生态发展区绿色发展仁化样板，推动经济社会高质量发展的重要时期。深刻认识国内外错综复杂的发展形势，准确把握稍纵即逝的发展机遇，对仁化县经济社会高质量发展意义重大、影响深远。</w:t>
      </w:r>
    </w:p>
    <w:p w14:paraId="48CE3D65">
      <w:pPr>
        <w:pStyle w:val="4"/>
        <w:spacing w:before="654" w:after="654"/>
        <w:rPr>
          <w:color w:val="auto"/>
        </w:rPr>
      </w:pPr>
      <w:bookmarkStart w:id="19" w:name="_Toc13006"/>
      <w:bookmarkStart w:id="20" w:name="_Toc4530"/>
      <w:bookmarkStart w:id="21" w:name="_Toc31768"/>
      <w:bookmarkStart w:id="22" w:name="_Toc21139"/>
      <w:bookmarkStart w:id="23" w:name="_Toc7823"/>
      <w:bookmarkStart w:id="24" w:name="_Toc20709"/>
      <w:bookmarkStart w:id="25" w:name="_Toc8093"/>
      <w:bookmarkStart w:id="26" w:name="_Toc19215"/>
      <w:bookmarkStart w:id="27" w:name="_Toc20604"/>
      <w:bookmarkStart w:id="28" w:name="_Toc1279"/>
      <w:bookmarkStart w:id="29" w:name="_Toc17032"/>
      <w:bookmarkStart w:id="30" w:name="_Toc355"/>
      <w:bookmarkStart w:id="31" w:name="_Toc4176"/>
      <w:bookmarkStart w:id="32" w:name="_Toc18540"/>
      <w:bookmarkStart w:id="33" w:name="_Toc13722"/>
      <w:bookmarkStart w:id="34" w:name="_Toc6865"/>
      <w:bookmarkStart w:id="35" w:name="_Toc32462"/>
      <w:r>
        <w:rPr>
          <w:rFonts w:hint="eastAsia"/>
          <w:color w:val="auto"/>
        </w:rPr>
        <w:t>“十三五”时期发展成就</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FE64C97">
      <w:pPr>
        <w:rPr>
          <w:rFonts w:ascii="仿宋" w:hAnsi="仿宋" w:cs="仿宋"/>
          <w:color w:val="auto"/>
        </w:rPr>
      </w:pPr>
      <w:r>
        <w:rPr>
          <w:rFonts w:hint="eastAsia" w:ascii="仿宋" w:hAnsi="仿宋" w:cs="仿宋"/>
          <w:color w:val="auto"/>
        </w:rPr>
        <w:t>“十三五”以来，面对复杂严峻的宏观环境，仁化县以习近平新时代中国特色社会主义思想为指导，深入贯彻落实党的十八大、十九大历届全会精神以及习近平总书记对广东重要讲话和重要指示批示精神，紧紧围绕省委“1+1+9”工作部署和“一核一带一区”区域发展新格局要求，在县委、县政府的坚强领导下，坚持稳中求进工作总基调，立足北部生态发展功能区定位，深入实施“一三九”发展战略，坚持高质量发展，深化供给侧结构性改革，全面贯彻新发展理念，开拓创新，锐意进取，各项工作取得显著成就。</w:t>
      </w:r>
    </w:p>
    <w:p w14:paraId="457212B4">
      <w:pPr>
        <w:ind w:firstLine="643"/>
        <w:rPr>
          <w:rFonts w:ascii="仿宋" w:hAnsi="仿宋" w:cs="仿宋"/>
          <w:color w:val="auto"/>
        </w:rPr>
      </w:pPr>
      <w:bookmarkStart w:id="36" w:name="_Toc32449"/>
      <w:bookmarkStart w:id="37" w:name="_Toc10242"/>
      <w:bookmarkStart w:id="38" w:name="_Toc17354"/>
      <w:r>
        <w:rPr>
          <w:rFonts w:hint="eastAsia" w:ascii="仿宋" w:hAnsi="仿宋" w:cs="仿宋"/>
          <w:b/>
          <w:bCs/>
          <w:color w:val="auto"/>
        </w:rPr>
        <w:t>综合实力稳定增长</w:t>
      </w:r>
      <w:bookmarkEnd w:id="36"/>
      <w:bookmarkEnd w:id="37"/>
      <w:bookmarkEnd w:id="38"/>
      <w:r>
        <w:rPr>
          <w:rFonts w:hint="eastAsia" w:ascii="仿宋" w:hAnsi="仿宋" w:cs="仿宋"/>
          <w:b/>
          <w:bCs/>
          <w:color w:val="auto"/>
        </w:rPr>
        <w:t>。</w:t>
      </w:r>
      <w:r>
        <w:rPr>
          <w:rFonts w:hint="eastAsia" w:ascii="仿宋" w:hAnsi="仿宋" w:cs="仿宋"/>
          <w:color w:val="auto"/>
        </w:rPr>
        <w:t>“十三五”期间，仁化坚持稳中求进工作总基调，2020年，全县生产总值（GDP）达到103.51亿元，五年（2016年-2020年，下同）年均增长4.7%；其中，第一、二、三产业增加值分别为22.76亿元、42.52亿元、38.23亿元；人均地区生产总值5.56万元，五年年均增长5.3%；地方一般公共预算收入5.94亿元；固定资产投资五年累计完成304.9亿元；城乡居民人均可支配收入达到25125.2元（现价），年均增长8%。</w:t>
      </w:r>
    </w:p>
    <w:p w14:paraId="6819E29A">
      <w:pPr>
        <w:numPr>
          <w:ilvl w:val="255"/>
          <w:numId w:val="0"/>
        </w:numPr>
        <w:ind w:firstLine="640" w:firstLineChars="200"/>
        <w:rPr>
          <w:rFonts w:ascii="仿宋" w:hAnsi="仿宋" w:cs="仿宋"/>
          <w:color w:val="auto"/>
        </w:rPr>
      </w:pPr>
      <w:r>
        <w:rPr>
          <w:color w:val="auto"/>
        </w:rPr>
        <w:drawing>
          <wp:inline distT="0" distB="0" distL="114300" distR="114300">
            <wp:extent cx="4885690" cy="2495550"/>
            <wp:effectExtent l="0" t="0" r="1016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5"/>
                    <a:stretch>
                      <a:fillRect/>
                    </a:stretch>
                  </pic:blipFill>
                  <pic:spPr>
                    <a:xfrm>
                      <a:off x="0" y="0"/>
                      <a:ext cx="4885690" cy="2495550"/>
                    </a:xfrm>
                    <a:prstGeom prst="rect">
                      <a:avLst/>
                    </a:prstGeom>
                    <a:noFill/>
                    <a:ln>
                      <a:noFill/>
                    </a:ln>
                  </pic:spPr>
                </pic:pic>
              </a:graphicData>
            </a:graphic>
          </wp:inline>
        </w:drawing>
      </w:r>
    </w:p>
    <w:p w14:paraId="3769A945">
      <w:pPr>
        <w:pStyle w:val="74"/>
        <w:ind w:firstLine="562"/>
        <w:rPr>
          <w:rFonts w:ascii="仿宋" w:hAnsi="仿宋" w:cs="仿宋"/>
          <w:color w:val="auto"/>
        </w:rPr>
      </w:pPr>
      <w:r>
        <w:rPr>
          <w:rFonts w:hint="eastAsia" w:ascii="仿宋" w:hAnsi="仿宋" w:cs="仿宋"/>
          <w:color w:val="auto"/>
        </w:rPr>
        <w:t>图1-1仁化县2016-2020年城乡居民可支配收入</w:t>
      </w:r>
    </w:p>
    <w:p w14:paraId="70B50965">
      <w:pPr>
        <w:ind w:firstLine="643"/>
        <w:rPr>
          <w:rFonts w:ascii="仿宋" w:hAnsi="仿宋" w:cs="仿宋"/>
          <w:color w:val="auto"/>
        </w:rPr>
      </w:pPr>
      <w:bookmarkStart w:id="39" w:name="_Toc31660"/>
      <w:bookmarkStart w:id="40" w:name="_Toc19327"/>
      <w:bookmarkStart w:id="41" w:name="_Toc5851"/>
      <w:r>
        <w:rPr>
          <w:rFonts w:hint="eastAsia" w:ascii="仿宋" w:hAnsi="仿宋" w:cs="仿宋"/>
          <w:b/>
          <w:bCs/>
          <w:color w:val="auto"/>
        </w:rPr>
        <w:t>产业转型升级</w:t>
      </w:r>
      <w:bookmarkEnd w:id="39"/>
      <w:bookmarkEnd w:id="40"/>
      <w:bookmarkEnd w:id="41"/>
      <w:r>
        <w:rPr>
          <w:rFonts w:hint="eastAsia" w:ascii="仿宋" w:hAnsi="仿宋" w:cs="仿宋"/>
          <w:b/>
          <w:bCs/>
          <w:color w:val="auto"/>
        </w:rPr>
        <w:t>扎实推进。</w:t>
      </w:r>
      <w:r>
        <w:rPr>
          <w:rFonts w:hint="eastAsia" w:ascii="仿宋" w:hAnsi="仿宋" w:cs="仿宋"/>
          <w:color w:val="auto"/>
        </w:rPr>
        <w:t>三次产业结构由2015年的19.9:42.9:37.2调整为2020年22:41.1:36.9。现代农业稳步推进，成功申报仁化贡柑中国特色农产品优势区，荣获全国数字农业农村发展先进县，建成“丹霞彩虹”省级新农村示范片，连线连片打造岭南特色乡村风貌示范带。全域旅游发展迅速，成功创建国家全域旅游示范区，建成广东省最美乡村旅游公路——“阅丹公路”和环丹霞山“万里碧道”。新型工业化带动作用明显增强，园区已初步形成了以有色金属深加工产业、储能产业、新能源电池材料产业为主导产业的发展格局。仁化县现有高新技术企业14家，省级工程技术研究中心3家，2020年研发经费占GDP比重为0.65%。</w:t>
      </w:r>
    </w:p>
    <w:p w14:paraId="68CDEC58">
      <w:pPr>
        <w:ind w:left="0" w:leftChars="0" w:firstLine="640" w:firstLineChars="200"/>
        <w:rPr>
          <w:rFonts w:ascii="仿宋" w:hAnsi="仿宋" w:cs="仿宋"/>
          <w:color w:val="auto"/>
        </w:rPr>
      </w:pPr>
      <w:r>
        <w:rPr>
          <w:color w:val="auto"/>
        </w:rPr>
        <w:drawing>
          <wp:inline distT="0" distB="0" distL="114300" distR="114300">
            <wp:extent cx="4685665" cy="2885440"/>
            <wp:effectExtent l="0" t="0" r="635" b="1016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4685665" cy="2885440"/>
                    </a:xfrm>
                    <a:prstGeom prst="rect">
                      <a:avLst/>
                    </a:prstGeom>
                    <a:noFill/>
                    <a:ln>
                      <a:noFill/>
                    </a:ln>
                  </pic:spPr>
                </pic:pic>
              </a:graphicData>
            </a:graphic>
          </wp:inline>
        </w:drawing>
      </w:r>
    </w:p>
    <w:p w14:paraId="677B2423">
      <w:pPr>
        <w:pStyle w:val="74"/>
        <w:ind w:left="0" w:leftChars="0" w:firstLine="0" w:firstLineChars="0"/>
        <w:jc w:val="center"/>
        <w:rPr>
          <w:rFonts w:ascii="仿宋" w:hAnsi="仿宋" w:cs="仿宋"/>
          <w:color w:val="auto"/>
        </w:rPr>
      </w:pPr>
      <w:r>
        <w:rPr>
          <w:rFonts w:hint="eastAsia" w:ascii="仿宋" w:hAnsi="仿宋" w:cs="仿宋"/>
          <w:color w:val="auto"/>
        </w:rPr>
        <w:t>图1-2 仁化县2016-2020年三次产业增加值增速情况</w:t>
      </w:r>
    </w:p>
    <w:p w14:paraId="7F493467">
      <w:pPr>
        <w:pStyle w:val="74"/>
        <w:ind w:firstLine="562"/>
        <w:rPr>
          <w:rFonts w:ascii="仿宋" w:hAnsi="仿宋" w:cs="仿宋"/>
          <w:color w:val="auto"/>
        </w:rPr>
      </w:pPr>
    </w:p>
    <w:p w14:paraId="1D2D306E">
      <w:pPr>
        <w:ind w:firstLine="643"/>
        <w:rPr>
          <w:rFonts w:ascii="仿宋" w:hAnsi="仿宋" w:cs="仿宋"/>
          <w:color w:val="auto"/>
        </w:rPr>
      </w:pPr>
      <w:bookmarkStart w:id="42" w:name="_Toc5153"/>
      <w:bookmarkStart w:id="43" w:name="_Toc13645"/>
      <w:bookmarkStart w:id="44" w:name="_Toc302"/>
      <w:r>
        <w:rPr>
          <w:rFonts w:hint="eastAsia" w:ascii="仿宋" w:hAnsi="仿宋" w:cs="仿宋"/>
          <w:b/>
          <w:bCs/>
          <w:color w:val="auto"/>
        </w:rPr>
        <w:t>生态文明建设成效显著</w:t>
      </w:r>
      <w:bookmarkEnd w:id="42"/>
      <w:bookmarkEnd w:id="43"/>
      <w:bookmarkEnd w:id="44"/>
      <w:r>
        <w:rPr>
          <w:rFonts w:hint="eastAsia" w:ascii="仿宋" w:hAnsi="仿宋" w:cs="仿宋"/>
          <w:b/>
          <w:bCs/>
          <w:color w:val="auto"/>
        </w:rPr>
        <w:t>。</w:t>
      </w:r>
      <w:r>
        <w:rPr>
          <w:rFonts w:hint="eastAsia" w:ascii="仿宋" w:hAnsi="仿宋" w:cs="仿宋"/>
          <w:color w:val="auto"/>
        </w:rPr>
        <w:t>节能降耗扎实有效，2020年，全县单位生产总</w:t>
      </w:r>
      <w:r>
        <w:rPr>
          <w:rFonts w:hint="eastAsia" w:ascii="仿宋" w:hAnsi="仿宋" w:cs="仿宋"/>
          <w:color w:val="auto"/>
          <w:shd w:val="clear" w:color="auto" w:fill="auto"/>
        </w:rPr>
        <w:t>值能源消耗下降</w:t>
      </w:r>
      <w:r>
        <w:rPr>
          <w:rFonts w:hint="eastAsia" w:ascii="仿宋" w:hAnsi="仿宋" w:cs="仿宋"/>
          <w:color w:val="auto"/>
          <w:shd w:val="clear" w:color="auto" w:fill="auto"/>
          <w:lang w:val="en-US" w:eastAsia="zh-CN"/>
        </w:rPr>
        <w:t>至</w:t>
      </w:r>
      <w:r>
        <w:rPr>
          <w:rFonts w:hint="eastAsia" w:ascii="仿宋" w:hAnsi="仿宋" w:cs="仿宋"/>
          <w:color w:val="auto"/>
          <w:shd w:val="clear" w:color="auto" w:fill="auto"/>
        </w:rPr>
        <w:t>1</w:t>
      </w:r>
      <w:r>
        <w:rPr>
          <w:rFonts w:hint="eastAsia" w:ascii="仿宋" w:hAnsi="仿宋" w:cs="仿宋"/>
          <w:color w:val="auto"/>
          <w:shd w:val="clear" w:color="auto" w:fill="auto"/>
          <w:lang w:val="en-US" w:eastAsia="zh-CN"/>
        </w:rPr>
        <w:t>9.2</w:t>
      </w:r>
      <w:r>
        <w:rPr>
          <w:rFonts w:hint="eastAsia" w:ascii="仿宋" w:hAnsi="仿宋" w:cs="仿宋"/>
          <w:color w:val="auto"/>
          <w:shd w:val="clear" w:color="auto" w:fill="auto"/>
        </w:rPr>
        <w:t>%</w:t>
      </w:r>
      <w:r>
        <w:rPr>
          <w:rFonts w:hint="eastAsia" w:ascii="仿宋" w:hAnsi="仿宋" w:cs="仿宋"/>
          <w:color w:val="auto"/>
        </w:rPr>
        <w:t>，绿色生态景观长廊效应初步显现，森林覆盖率由“十三五”初期的78.92%提升至目前的80.</w:t>
      </w:r>
      <w:r>
        <w:rPr>
          <w:rFonts w:hint="eastAsia" w:ascii="仿宋" w:hAnsi="仿宋" w:cs="仿宋"/>
          <w:color w:val="auto"/>
          <w:lang w:val="en-US" w:eastAsia="zh-CN"/>
        </w:rPr>
        <w:t>77</w:t>
      </w:r>
      <w:r>
        <w:rPr>
          <w:rFonts w:hint="eastAsia" w:ascii="仿宋" w:hAnsi="仿宋" w:cs="仿宋"/>
          <w:color w:val="auto"/>
        </w:rPr>
        <w:t>%，取得了“全国绿化模范县”、“省重点林业县”、“林下经济示范县”等称号，长江镇创建“广东省森林小镇”。全县水源地和主要江河水质达标率均达100%。空气质量有明显好转，空气质量优良达标率由2016年的92.96%提升至2020年的98.9%。农村生活污水设施建设完成率52%，完成村庄污水收集的自然村数515个。实施仁化董塘―丹霞街道段碧道建设，统筹推进山水林田湖草生态保护修复试点工程，建立土壤防治先行区建设新模式，凡口矿铅锌矿矿山综合生态修复项目成功入选广东省首届国土空间生态修复十大范例。</w:t>
      </w:r>
    </w:p>
    <w:p w14:paraId="3A73A012">
      <w:pPr>
        <w:ind w:firstLine="643"/>
        <w:rPr>
          <w:rFonts w:ascii="仿宋" w:hAnsi="仿宋" w:cs="仿宋"/>
          <w:color w:val="auto"/>
        </w:rPr>
      </w:pPr>
      <w:bookmarkStart w:id="45" w:name="_Toc21569"/>
      <w:bookmarkStart w:id="46" w:name="_Toc17215"/>
      <w:bookmarkStart w:id="47" w:name="_Toc21611"/>
      <w:r>
        <w:rPr>
          <w:rFonts w:hint="eastAsia" w:ascii="仿宋" w:hAnsi="仿宋" w:cs="仿宋"/>
          <w:b/>
          <w:bCs/>
          <w:color w:val="auto"/>
        </w:rPr>
        <w:t>基础设施不断完善</w:t>
      </w:r>
      <w:bookmarkEnd w:id="45"/>
      <w:bookmarkEnd w:id="46"/>
      <w:bookmarkEnd w:id="47"/>
      <w:r>
        <w:rPr>
          <w:rFonts w:hint="eastAsia" w:ascii="仿宋" w:hAnsi="仿宋" w:cs="仿宋"/>
          <w:b/>
          <w:bCs/>
          <w:color w:val="auto"/>
        </w:rPr>
        <w:t>。</w:t>
      </w:r>
      <w:r>
        <w:rPr>
          <w:rFonts w:hint="eastAsia" w:ascii="仿宋" w:hAnsi="仿宋" w:cs="仿宋"/>
          <w:color w:val="auto"/>
        </w:rPr>
        <w:t>仁化县基本形成以公路网、铁路线为主导的，以县域为中心，广泛覆盖、功能明确、衔接有序的综合交通网络。“十三五”期间，交通基础设施建设步伐加快，武深高速韶关段建成通车，实现了高速公路“一纵一横”的格局，完成阅丹公路的建设，为仁化县旅游产业发展奠定了坚实基础；仁化县普通公路规模及等级全面提高，“四好农村公路”建设走在全市前列，累计完成高速公路建设61.4km，国省道改造38km，农村公路新改建1010.63km，全县公路通车里程由2015年末的1384公里增长到2020年末的2249公里，增长了62.5%。</w:t>
      </w:r>
    </w:p>
    <w:p w14:paraId="4170A171">
      <w:pPr>
        <w:ind w:firstLine="643"/>
        <w:rPr>
          <w:rFonts w:ascii="仿宋" w:hAnsi="仿宋" w:cs="仿宋"/>
          <w:color w:val="auto"/>
        </w:rPr>
      </w:pPr>
      <w:bookmarkStart w:id="48" w:name="_Toc22699"/>
      <w:bookmarkStart w:id="49" w:name="_Toc26391"/>
      <w:bookmarkStart w:id="50" w:name="_Toc7898"/>
      <w:r>
        <w:rPr>
          <w:rFonts w:hint="eastAsia" w:ascii="仿宋" w:hAnsi="仿宋" w:cs="仿宋"/>
          <w:b/>
          <w:bCs/>
          <w:color w:val="auto"/>
        </w:rPr>
        <w:t>城乡协调发展水平稳步提升</w:t>
      </w:r>
      <w:bookmarkEnd w:id="48"/>
      <w:bookmarkEnd w:id="49"/>
      <w:bookmarkEnd w:id="50"/>
      <w:r>
        <w:rPr>
          <w:rFonts w:hint="eastAsia" w:ascii="仿宋" w:hAnsi="仿宋" w:cs="仿宋"/>
          <w:b/>
          <w:bCs/>
          <w:color w:val="auto"/>
        </w:rPr>
        <w:t>。</w:t>
      </w:r>
      <w:r>
        <w:rPr>
          <w:rFonts w:hint="eastAsia" w:ascii="仿宋" w:hAnsi="仿宋" w:cs="仿宋"/>
          <w:color w:val="auto"/>
        </w:rPr>
        <w:t>城镇提升取得突破性进展，成为全省珠三角以外成功创建的首个全国文明城市，红军长征粤北纪念馆顺利开馆，成功打造省际廊道，交通、水利等基础设施建设不断完善，城乡面貌得到显著改善。仁化大力实施县城“439”、镇（街）“139”提升行动计划，扎实开展农村人居环境整治，33个省定贫困村和6个国、省道沿线村庄雨污分离管网、厌氧池及人工湿地、村道、集中供水管网、文化室、公厕等基础设施项目稳步推进。全县完成“三清三拆三整治”自然村984个，完成村道路面硬化（村委会通自然村）自然村958个，实现自然村村内道路硬化自然村896个，建立垃圾收运处理体系自然村数984个，完成雨污分流管网建设自然村760个，完成污水处理设施自然村619个，无害化卫生户厕普及率达100%、农村破旧泥砖房拆除面积177.6万平方米。阅丹公路沿线、董塘河碧道沿线、董塘示范镇、周田镇重点村整治及提升建设、生态宜居美丽乡村建设有效推进。</w:t>
      </w:r>
    </w:p>
    <w:p w14:paraId="0CF704BC">
      <w:pPr>
        <w:ind w:firstLine="643"/>
        <w:rPr>
          <w:rFonts w:ascii="仿宋" w:hAnsi="仿宋" w:cs="仿宋"/>
          <w:color w:val="auto"/>
        </w:rPr>
      </w:pPr>
      <w:bookmarkStart w:id="51" w:name="_Toc6627"/>
      <w:bookmarkStart w:id="52" w:name="_Toc982"/>
      <w:bookmarkStart w:id="53" w:name="_Toc388"/>
      <w:r>
        <w:rPr>
          <w:rFonts w:hint="eastAsia" w:ascii="仿宋" w:hAnsi="仿宋" w:cs="仿宋"/>
          <w:b/>
          <w:bCs/>
          <w:color w:val="auto"/>
        </w:rPr>
        <w:t>体制改革不断深入</w:t>
      </w:r>
      <w:bookmarkEnd w:id="51"/>
      <w:bookmarkEnd w:id="52"/>
      <w:bookmarkEnd w:id="53"/>
      <w:r>
        <w:rPr>
          <w:rFonts w:hint="eastAsia" w:ascii="仿宋" w:hAnsi="仿宋" w:cs="仿宋"/>
          <w:b/>
          <w:bCs/>
          <w:color w:val="auto"/>
        </w:rPr>
        <w:t>。</w:t>
      </w:r>
      <w:r>
        <w:rPr>
          <w:rFonts w:hint="eastAsia" w:ascii="仿宋" w:hAnsi="仿宋" w:cs="仿宋"/>
          <w:color w:val="auto"/>
        </w:rPr>
        <w:t>“十三五”期间，仁化县搭建了公共信用信息管理平台，累计发布诚信“红黑榜”信息</w:t>
      </w:r>
      <w:r>
        <w:rPr>
          <w:rFonts w:hint="eastAsia" w:ascii="仿宋" w:hAnsi="仿宋" w:cs="仿宋"/>
          <w:color w:val="auto"/>
          <w:lang w:val="en-US" w:eastAsia="zh-CN"/>
        </w:rPr>
        <w:t>20</w:t>
      </w:r>
      <w:r>
        <w:rPr>
          <w:rFonts w:hint="eastAsia" w:ascii="仿宋" w:hAnsi="仿宋" w:cs="仿宋"/>
          <w:color w:val="auto"/>
        </w:rPr>
        <w:t>次。打造仁化县诚信公园，大力弘扬诚信文化。推进供给侧结构性改革，“十三五”期间，全县退出落后钢铁产能40万吨，共去商品房库存（净化解）19.93万平方米。承接珠三角产业转移项目4个；共为企业减负6.48亿元；补短板工作累计完成投资61.69亿元。深化商事制度改革，推行“马上办”服务模式、推进全程电子化登记等措施压缩企业开办时间、减证便民，共发放4159份多证合一营业执照。政务服务事项入驻率为95%，政务服务事项的网上可办率达93%，全流程网上办理率达73%。深化财政体制改革有序推进，2020年全年争取生态功能区转移支付资金2.11亿元、新增地债收入3.9亿元。保障乡村振兴、农村人居环境整治、城镇提升等重点民生工程建设。完善生态环境保护制度体系，落实环境保护“党政同责、一岗双责、终身追责”以及环境监管网格化管理要求。</w:t>
      </w:r>
    </w:p>
    <w:p w14:paraId="0DC3925B">
      <w:pPr>
        <w:ind w:firstLine="643"/>
        <w:rPr>
          <w:rFonts w:ascii="仿宋" w:hAnsi="仿宋" w:cs="仿宋"/>
          <w:color w:val="auto"/>
        </w:rPr>
      </w:pPr>
      <w:bookmarkStart w:id="54" w:name="_Toc25768"/>
      <w:bookmarkStart w:id="55" w:name="_Toc5979"/>
      <w:bookmarkStart w:id="56" w:name="_Toc390"/>
      <w:r>
        <w:rPr>
          <w:rFonts w:hint="eastAsia" w:ascii="仿宋" w:hAnsi="仿宋" w:cs="仿宋"/>
          <w:b/>
          <w:bCs/>
          <w:color w:val="auto"/>
        </w:rPr>
        <w:t>社会事业稳步推进</w:t>
      </w:r>
      <w:bookmarkEnd w:id="54"/>
      <w:bookmarkEnd w:id="55"/>
      <w:bookmarkEnd w:id="56"/>
      <w:r>
        <w:rPr>
          <w:rFonts w:hint="eastAsia" w:ascii="仿宋" w:hAnsi="仿宋" w:cs="仿宋"/>
          <w:b/>
          <w:bCs/>
          <w:color w:val="auto"/>
        </w:rPr>
        <w:t>。</w:t>
      </w:r>
      <w:r>
        <w:rPr>
          <w:rFonts w:hint="eastAsia" w:ascii="仿宋" w:hAnsi="仿宋" w:cs="仿宋"/>
          <w:color w:val="auto"/>
        </w:rPr>
        <w:t>教育协调发展成效显著。全县实现了义务教育标准化学校覆盖率100%，被国家教育部认定为“全国义务教育发展基本均衡县”，顺利通过广东省推进教育现代化先进县和省教育强县复评的督导验收，100%镇（街）通过省教育强镇复评督导验收，义务教育学校标准化覆盖率达100%。医疗技术和服务进一步提高，县</w:t>
      </w:r>
      <w:r>
        <w:rPr>
          <w:rFonts w:hint="eastAsia" w:ascii="仿宋" w:hAnsi="仿宋" w:cs="仿宋"/>
          <w:color w:val="auto"/>
          <w:shd w:val="clear" w:color="auto" w:fill="auto"/>
        </w:rPr>
        <w:t>人民医院综合楼、县妇幼保健院搬迁等项目已完成主体工程建设。截至2020年底，每千人口医疗卫生机构床位数4.91张；每千人口执业（助理）医师数</w:t>
      </w:r>
      <w:r>
        <w:rPr>
          <w:rFonts w:hint="eastAsia" w:ascii="仿宋" w:hAnsi="仿宋" w:cs="仿宋"/>
          <w:color w:val="auto"/>
          <w:shd w:val="clear" w:color="auto" w:fill="auto"/>
          <w:lang w:val="en-US" w:eastAsia="zh-CN"/>
        </w:rPr>
        <w:t>2.27</w:t>
      </w:r>
      <w:r>
        <w:rPr>
          <w:rFonts w:hint="eastAsia" w:ascii="仿宋" w:hAnsi="仿宋" w:cs="仿宋"/>
          <w:color w:val="auto"/>
          <w:shd w:val="clear" w:color="auto" w:fill="auto"/>
        </w:rPr>
        <w:t>人；每千人口注册护士数1.99人；每千人口公共卫生人员数0.76人；每万人口全科医生数4.02人。截止2</w:t>
      </w:r>
      <w:r>
        <w:rPr>
          <w:rFonts w:hint="eastAsia" w:ascii="仿宋" w:hAnsi="仿宋" w:cs="仿宋"/>
          <w:color w:val="auto"/>
        </w:rPr>
        <w:t>020年底，成功创建5个省卫生镇，4个市卫生镇，15个省卫生村，81个市卫生村，是全国第二批新时代文明实践中心建设试点县。社会保障有序开展，全县城镇登记失业率控制在3.5%以内。脱贫攻坚有序推进，实现省定贫困村全部达标出列，全县3174户9115人建档立卡贫困户全部达到脱贫退出标准，获评全市2019年度获评脱贫攻坚工作先进县。社会治安综合治理能力稳步提升，扫黑除恶专项斗争工作扎实推进，防范化解重大风险成效明显，意识形态安全平稳可控，社会保持和谐稳定。人民群众获得感、幸福感、安全感明显增强。</w:t>
      </w:r>
    </w:p>
    <w:p w14:paraId="1A91405C">
      <w:pPr>
        <w:pStyle w:val="4"/>
        <w:spacing w:before="654" w:after="654"/>
        <w:rPr>
          <w:color w:val="auto"/>
        </w:rPr>
      </w:pPr>
      <w:bookmarkStart w:id="57" w:name="_Toc29350"/>
      <w:bookmarkStart w:id="58" w:name="_Toc21913"/>
      <w:bookmarkStart w:id="59" w:name="_Toc20896"/>
      <w:bookmarkStart w:id="60" w:name="_Toc21960"/>
      <w:bookmarkStart w:id="61" w:name="_Toc16069"/>
      <w:bookmarkStart w:id="62" w:name="_Toc5616"/>
      <w:bookmarkStart w:id="63" w:name="_Toc26484"/>
      <w:bookmarkStart w:id="64" w:name="_Toc16024"/>
      <w:bookmarkStart w:id="65" w:name="_Toc15412"/>
      <w:bookmarkStart w:id="66" w:name="_Toc30276"/>
      <w:bookmarkStart w:id="67" w:name="_Toc15776"/>
      <w:bookmarkStart w:id="68" w:name="_Toc6247"/>
      <w:bookmarkStart w:id="69" w:name="_Toc27109"/>
      <w:bookmarkStart w:id="70" w:name="_Toc26578"/>
      <w:bookmarkStart w:id="71" w:name="_Toc20773"/>
      <w:bookmarkStart w:id="72" w:name="_Toc12774"/>
      <w:bookmarkStart w:id="73" w:name="_Toc14131"/>
      <w:r>
        <w:rPr>
          <w:rFonts w:hint="eastAsia"/>
          <w:color w:val="auto"/>
        </w:rPr>
        <w:t>“十四五”时期面临的发展形势</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91A05FE">
      <w:pPr>
        <w:rPr>
          <w:rFonts w:ascii="仿宋" w:hAnsi="仿宋" w:cs="仿宋"/>
          <w:color w:val="auto"/>
        </w:rPr>
      </w:pPr>
      <w:r>
        <w:rPr>
          <w:rFonts w:hint="eastAsia" w:ascii="仿宋" w:hAnsi="仿宋" w:cs="仿宋"/>
          <w:color w:val="auto"/>
        </w:rPr>
        <w:t>“十四五”时期，随着国内外发展环境和自身条件的新变化，中国特色社会主义进入新时代，经济向高质量发展转变，仁化县进入转型升级的关键阶段，面临一系列新机遇、新挑战。</w:t>
      </w:r>
    </w:p>
    <w:p w14:paraId="5CC4F634">
      <w:pPr>
        <w:ind w:firstLine="643"/>
        <w:rPr>
          <w:rFonts w:ascii="仿宋" w:hAnsi="仿宋" w:cs="仿宋"/>
          <w:color w:val="auto"/>
        </w:rPr>
      </w:pPr>
      <w:r>
        <w:rPr>
          <w:rFonts w:hint="eastAsia" w:ascii="仿宋" w:hAnsi="仿宋" w:cs="仿宋"/>
          <w:b/>
          <w:bCs/>
          <w:color w:val="auto"/>
        </w:rPr>
        <w:t>从国内看</w:t>
      </w:r>
      <w:r>
        <w:rPr>
          <w:rFonts w:hint="eastAsia" w:ascii="仿宋" w:hAnsi="仿宋" w:cs="仿宋"/>
          <w:color w:val="auto"/>
        </w:rPr>
        <w:t>，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w:t>
      </w:r>
    </w:p>
    <w:p w14:paraId="384B1BDE">
      <w:pPr>
        <w:ind w:firstLine="643"/>
        <w:rPr>
          <w:rFonts w:ascii="仿宋" w:hAnsi="仿宋" w:cs="仿宋"/>
          <w:color w:val="auto"/>
        </w:rPr>
      </w:pPr>
      <w:r>
        <w:rPr>
          <w:rFonts w:hint="eastAsia" w:ascii="仿宋" w:hAnsi="仿宋" w:cs="仿宋"/>
          <w:b/>
          <w:bCs/>
          <w:color w:val="auto"/>
        </w:rPr>
        <w:t>从全省看</w:t>
      </w:r>
      <w:r>
        <w:rPr>
          <w:rFonts w:hint="eastAsia" w:ascii="仿宋" w:hAnsi="仿宋" w:cs="仿宋"/>
          <w:color w:val="auto"/>
        </w:rPr>
        <w:t>，推进粤港澳经济一体化，提升大湾区经济发展水平和国际竞争力，为广东带来新的发展机遇。粤港澳大湾区建设和深圳先行示范区建设“双区效应”将促进人员、物资、资金、信息更便捷有序流动，推动区域内整体资源配置效率的提升，通过全面提升对外开放水平、制度创新与改革红利等诸多因素，来促进地区的繁荣和发展。高质量构建“一核一带一区”区域协调发展格局步伐加快，其中，以韶关、清远两市为中心的粤北地区，作为生态功能区，在高水平保护的前提下实现高质量发展，与珠三角为主的沿海经济产业带实现深入融合发展，相互依托、相互支撑、协同发展，进一步补齐区域不平衡的发展短板，形成全省经济和社会发展新优势，推动全省实现高质量发展。</w:t>
      </w:r>
    </w:p>
    <w:p w14:paraId="0FC79CA1">
      <w:pPr>
        <w:ind w:firstLine="643"/>
        <w:rPr>
          <w:rFonts w:ascii="仿宋" w:hAnsi="仿宋" w:cs="仿宋"/>
          <w:color w:val="auto"/>
        </w:rPr>
      </w:pPr>
      <w:r>
        <w:rPr>
          <w:rFonts w:hint="eastAsia" w:ascii="仿宋" w:hAnsi="仿宋" w:cs="仿宋"/>
          <w:b/>
          <w:bCs/>
          <w:color w:val="auto"/>
        </w:rPr>
        <w:t>从全市看</w:t>
      </w:r>
      <w:r>
        <w:rPr>
          <w:rFonts w:hint="eastAsia" w:ascii="仿宋" w:hAnsi="仿宋" w:cs="仿宋"/>
          <w:color w:val="auto"/>
        </w:rPr>
        <w:t>，韶关市作为“一区”北部生态区中的核心城市，在全省区域协调发展和带动北部山区振兴中具有重要使命。要将抢抓“双区”建设机遇，充分发挥生态优势、区位优势、交通优势、资源优势和产业基础优势，以打造“菜篮子”“果盘子”“米袋子”和“后花园”“康养地”“体验场”为突破口，与大湾区形成大农场、大花园对接大城市新模式。通过与大湾区互利合作，促进区域便利化和一体化，实现与大湾区的功能互补、产业分工、市场对接和错位发展，全面拓展发展空间，不断深化共融共建。省级层面提出将大力推进省级财政转移支付、生态补偿、对口帮扶协作、基础设施投融资、基本公共服务均等化等重点领域体制机制创新，加大对粤东西北地区支持力度，实行差别化精准化的人口、财政、投资、产业、用地等发展政策，这为韶关发展开拓了制度空间，带来了更多制度红利。</w:t>
      </w:r>
    </w:p>
    <w:p w14:paraId="1A3FD65D">
      <w:pPr>
        <w:ind w:firstLine="643"/>
        <w:rPr>
          <w:rFonts w:ascii="仿宋" w:hAnsi="仿宋" w:cs="仿宋"/>
          <w:color w:val="auto"/>
        </w:rPr>
      </w:pPr>
      <w:r>
        <w:rPr>
          <w:rFonts w:hint="eastAsia" w:ascii="仿宋" w:hAnsi="仿宋" w:cs="仿宋"/>
          <w:b/>
          <w:bCs/>
          <w:color w:val="auto"/>
        </w:rPr>
        <w:t>从全县看</w:t>
      </w:r>
      <w:r>
        <w:rPr>
          <w:rFonts w:hint="eastAsia" w:ascii="仿宋" w:hAnsi="仿宋" w:cs="仿宋"/>
          <w:color w:val="auto"/>
        </w:rPr>
        <w:t>，新发展理念全面贯彻落实，绿水青山就是金山银山理念深入人心，推动生态优势转化为经济社会发展优势迎来了新的历史性机遇。仁化县在生态休闲、旅游产业具有得天独厚的发展优势。仁化产业发展具备一定基础，空间足、潜力大，未来一段时间，旅游消费、健康养生消费、健康农产品消费将迎来新机遇。同时仁化县高质量发展面临一些风险和挑战。生态文明建设存在短板弱项，生态保护仍有较大挑战；经济总量小产业结构不优，产业结构有待优化，传统产业、资源型产业、中低端产业占比仍然较大，新兴产业带动作用不明显；营商环境亟需优化；民生建设短板较多，脱贫质量有待巩固提升，防范化解风险隐患的任务繁重等。</w:t>
      </w:r>
    </w:p>
    <w:p w14:paraId="0C912285">
      <w:pPr>
        <w:ind w:firstLine="643"/>
        <w:rPr>
          <w:rFonts w:ascii="仿宋" w:hAnsi="仿宋" w:cs="仿宋"/>
          <w:b/>
          <w:bCs/>
          <w:color w:val="auto"/>
        </w:rPr>
      </w:pPr>
      <w:bookmarkStart w:id="74" w:name="_Toc25696"/>
      <w:r>
        <w:rPr>
          <w:rFonts w:hint="eastAsia" w:ascii="仿宋" w:hAnsi="仿宋" w:cs="仿宋"/>
          <w:b/>
          <w:bCs/>
          <w:color w:val="auto"/>
        </w:rPr>
        <w:t>机遇</w:t>
      </w:r>
      <w:bookmarkEnd w:id="74"/>
      <w:r>
        <w:rPr>
          <w:rFonts w:hint="eastAsia" w:ascii="仿宋" w:hAnsi="仿宋" w:cs="仿宋"/>
          <w:b/>
          <w:bCs/>
          <w:color w:val="auto"/>
        </w:rPr>
        <w:t>：</w:t>
      </w:r>
    </w:p>
    <w:p w14:paraId="649E5EF9">
      <w:pPr>
        <w:ind w:firstLine="643"/>
        <w:rPr>
          <w:rFonts w:ascii="仿宋" w:hAnsi="仿宋" w:cs="仿宋"/>
          <w:color w:val="auto"/>
        </w:rPr>
      </w:pPr>
      <w:r>
        <w:rPr>
          <w:rFonts w:hint="eastAsia" w:ascii="仿宋" w:hAnsi="仿宋" w:cs="仿宋"/>
          <w:b/>
          <w:bCs/>
          <w:color w:val="auto"/>
        </w:rPr>
        <w:t>新一轮科技革命为经济转型升级提供新机遇。</w:t>
      </w:r>
      <w:r>
        <w:rPr>
          <w:rFonts w:hint="eastAsia" w:ascii="仿宋" w:hAnsi="仿宋" w:cs="仿宋"/>
          <w:color w:val="auto"/>
        </w:rPr>
        <w:t>新一轮科技革命和产业变革将重新塑造全球生产模式和服务业态，推动传统生产方式和商业模式变革，促进工业、农业和服务业融合发展。新科技革命将在新一代信息技术、生物技术、新能源技术、新材料技术、智能制造技术等领域取得突破，并通过科技成果的产业化、市场化催生新的行业、改造传统产业、塑造新的产业格局。这为仁化做大做强实体经济、全面优化升级产业体系、促进全产业链整体跃升提供了机遇窗口。</w:t>
      </w:r>
    </w:p>
    <w:p w14:paraId="40A7CF86">
      <w:pPr>
        <w:ind w:firstLine="643"/>
        <w:rPr>
          <w:rFonts w:ascii="仿宋" w:hAnsi="仿宋" w:cs="仿宋"/>
          <w:color w:val="auto"/>
        </w:rPr>
      </w:pPr>
      <w:r>
        <w:rPr>
          <w:rFonts w:hint="eastAsia" w:ascii="仿宋" w:hAnsi="仿宋" w:cs="仿宋"/>
          <w:b/>
          <w:bCs/>
          <w:color w:val="auto"/>
        </w:rPr>
        <w:t>扩大内需、构筑国内国际“双循环”的机遇</w:t>
      </w:r>
      <w:r>
        <w:rPr>
          <w:rFonts w:hint="eastAsia" w:ascii="仿宋" w:hAnsi="仿宋" w:cs="仿宋"/>
          <w:color w:val="auto"/>
        </w:rPr>
        <w:t>。“十四五”时期，国家将加快构建以国内大循环为主体、国内国际双循环相互促进的新发展格局，深入实施扩大内需战略，促进消费升级和大力发展新型消费，扩大有效投资，仁化县扩大内需潜力巨大。消费方面，居民消费升级将进一步激发内需潜力。随着经济社会发展，居民收入不断提升，消费需求侧的结构升级必然要求供给侧结构与之相匹配，也即消费能力和消费需求的提升必将加快推动消费升级，尤其是湾区人民日益增长的美好生活需求带来的消费升级。仁化县居民收入水平偏低，消费水平不高，提升空间大。茶叶、蔬菜、水果等绿色农产品品质优，养生养老、文化旅游资源丰富，新老基础设施均存在较大短板和弱项，内需发展具有较大空间。</w:t>
      </w:r>
    </w:p>
    <w:p w14:paraId="789EA31E">
      <w:pPr>
        <w:ind w:firstLine="643"/>
        <w:rPr>
          <w:rFonts w:ascii="仿宋" w:hAnsi="仿宋" w:cs="仿宋"/>
          <w:color w:val="auto"/>
        </w:rPr>
      </w:pPr>
      <w:r>
        <w:rPr>
          <w:rFonts w:hint="eastAsia" w:ascii="仿宋" w:hAnsi="仿宋" w:cs="仿宋"/>
          <w:b/>
          <w:bCs/>
          <w:color w:val="auto"/>
        </w:rPr>
        <w:t>“双区效应”辐射为经济发展提供新动能</w:t>
      </w:r>
      <w:r>
        <w:rPr>
          <w:rFonts w:hint="eastAsia" w:ascii="仿宋" w:hAnsi="仿宋" w:cs="仿宋"/>
          <w:color w:val="auto"/>
        </w:rPr>
        <w:t>。“十四五”时期，粤港澳大湾区、深圳中国特色社会主义先行示范区“双区”建设将全力推进，发展活力充沛、创新能力突出、产业结构优化、要素流动顺畅、生态环境优美的国际一流湾区和世界级城市群框架基本形成。一方面，为仁化进一步探索对接国际营商环境、主动接受“双区”科创资源和人才集聚的辐射提供了新机遇；另一方面，为仁化依托有色金属、储能材料及动力电池、优质农产品等产业基础，深度参与“双区”产业分工协作，建设区域协同创新基地供强有力的支撑。</w:t>
      </w:r>
    </w:p>
    <w:p w14:paraId="0149CBC1">
      <w:pPr>
        <w:ind w:firstLine="643"/>
        <w:rPr>
          <w:rFonts w:ascii="仿宋" w:hAnsi="仿宋" w:cs="仿宋"/>
          <w:color w:val="auto"/>
        </w:rPr>
      </w:pPr>
      <w:r>
        <w:rPr>
          <w:rFonts w:hint="eastAsia" w:ascii="仿宋" w:hAnsi="仿宋" w:cs="仿宋"/>
          <w:b/>
          <w:bCs/>
          <w:color w:val="auto"/>
        </w:rPr>
        <w:t>“一核一带一区”布局带来新机遇</w:t>
      </w:r>
      <w:r>
        <w:rPr>
          <w:rFonts w:hint="eastAsia" w:ascii="仿宋" w:hAnsi="仿宋" w:cs="仿宋"/>
          <w:color w:val="auto"/>
        </w:rPr>
        <w:t>。2018年，省委省政府提出构建“一核一带一区”战略，以珠三角为核心区和主引擎，辐射带动东西两翼沿海经济带和北部生态发展区加快发展。韶关定位为粤北生态屏障，是粤北生态特别保护区核心区和中坚力量，仁化作为粤北生态屏障的重要支点，丹霞片区打造南岭国家公园先行示范区，有利于进一步壮大提升优势特色农业和生态旅游业，促进产业融合深度发展，加快提升绿色振兴能力，打造特色农产品供应基地和文化旅游、养生养老首选地。在“十四五”时期，该战略将为仁化进一步发展壮大生态经济，提供难得机遇。</w:t>
      </w:r>
    </w:p>
    <w:p w14:paraId="7AB2E7D4">
      <w:pPr>
        <w:ind w:firstLine="643"/>
        <w:rPr>
          <w:rFonts w:ascii="仿宋" w:hAnsi="仿宋" w:cs="仿宋"/>
          <w:color w:val="auto"/>
        </w:rPr>
      </w:pPr>
      <w:r>
        <w:rPr>
          <w:rFonts w:hint="eastAsia" w:ascii="仿宋" w:hAnsi="仿宋" w:cs="仿宋"/>
          <w:b/>
          <w:bCs/>
          <w:color w:val="auto"/>
        </w:rPr>
        <w:t>韶关高新区争创国家级高新区的机遇</w:t>
      </w:r>
      <w:r>
        <w:rPr>
          <w:rFonts w:hint="eastAsia" w:ascii="仿宋" w:hAnsi="仿宋" w:cs="仿宋"/>
          <w:color w:val="auto"/>
        </w:rPr>
        <w:t>。“十四五”时期，国家将继续推进创新引领高质量发展，市委市政府大力支持韶关新区创建国家级高新区国家级孵化器，仁化县产业和创新发展面临历史性机遇，将有利于推进仁化县战略性新兴产业、高技术产业和数字经济发展，加快形成发展新动能，促进经济高质量发展。</w:t>
      </w:r>
    </w:p>
    <w:p w14:paraId="45E33820">
      <w:pPr>
        <w:ind w:firstLine="643"/>
        <w:rPr>
          <w:rFonts w:ascii="仿宋" w:hAnsi="仿宋" w:cs="仿宋"/>
          <w:b/>
          <w:bCs/>
          <w:color w:val="auto"/>
        </w:rPr>
      </w:pPr>
      <w:bookmarkStart w:id="75" w:name="_Toc18588"/>
      <w:r>
        <w:rPr>
          <w:rFonts w:hint="eastAsia" w:ascii="仿宋" w:hAnsi="仿宋" w:cs="仿宋"/>
          <w:b/>
          <w:bCs/>
          <w:color w:val="auto"/>
        </w:rPr>
        <w:t>挑战</w:t>
      </w:r>
      <w:bookmarkEnd w:id="75"/>
      <w:r>
        <w:rPr>
          <w:rFonts w:hint="eastAsia" w:ascii="仿宋" w:hAnsi="仿宋" w:cs="仿宋"/>
          <w:b/>
          <w:bCs/>
          <w:color w:val="auto"/>
        </w:rPr>
        <w:t>：</w:t>
      </w:r>
    </w:p>
    <w:p w14:paraId="5516F2AF">
      <w:pPr>
        <w:ind w:firstLine="643"/>
        <w:rPr>
          <w:rFonts w:ascii="仿宋" w:hAnsi="仿宋" w:cs="仿宋"/>
          <w:color w:val="auto"/>
        </w:rPr>
      </w:pPr>
      <w:r>
        <w:rPr>
          <w:rFonts w:hint="eastAsia" w:ascii="仿宋" w:hAnsi="仿宋" w:cs="仿宋"/>
          <w:b/>
          <w:bCs/>
          <w:color w:val="auto"/>
        </w:rPr>
        <w:t>经济中高速增长压力较大。</w:t>
      </w:r>
      <w:r>
        <w:rPr>
          <w:rFonts w:hint="eastAsia" w:ascii="仿宋" w:hAnsi="仿宋" w:cs="仿宋"/>
          <w:color w:val="auto"/>
        </w:rPr>
        <w:t>当前，仁化县经济总量偏小、产业基础薄弱，人均水平偏低的现状没有改变。2020年全县常住人口城镇化率约为4</w:t>
      </w:r>
      <w:r>
        <w:rPr>
          <w:rFonts w:hint="eastAsia" w:ascii="仿宋" w:hAnsi="仿宋" w:cs="仿宋"/>
          <w:color w:val="auto"/>
          <w:lang w:val="en-US" w:eastAsia="zh-CN"/>
        </w:rPr>
        <w:t>1.2</w:t>
      </w:r>
      <w:r>
        <w:rPr>
          <w:rFonts w:hint="eastAsia" w:ascii="仿宋" w:hAnsi="仿宋" w:cs="仿宋"/>
          <w:color w:val="auto"/>
        </w:rPr>
        <w:t>%，城镇化水平仍然较低。发展不充分是当前仁化县发展面临的首要问题。加快做大做强经济总量仍然是仁化县未来相当长一段时间内的主要任务。但在外部经济下行压力不断加大的大环境下，经济基础薄弱的劣势将充分暴露，未来五年仁化县要保持中高速增长将面临较大压力。</w:t>
      </w:r>
    </w:p>
    <w:p w14:paraId="51F495FB">
      <w:pPr>
        <w:ind w:firstLine="643"/>
        <w:rPr>
          <w:rFonts w:ascii="仿宋" w:hAnsi="仿宋" w:cs="仿宋"/>
          <w:color w:val="auto"/>
        </w:rPr>
      </w:pPr>
      <w:r>
        <w:rPr>
          <w:rFonts w:hint="eastAsia" w:ascii="仿宋" w:hAnsi="仿宋" w:cs="仿宋"/>
          <w:b/>
          <w:bCs/>
          <w:color w:val="auto"/>
        </w:rPr>
        <w:t>产业转型升级形势严峻。</w:t>
      </w:r>
      <w:r>
        <w:rPr>
          <w:rFonts w:hint="eastAsia" w:ascii="仿宋" w:hAnsi="仿宋" w:cs="仿宋"/>
          <w:color w:val="auto"/>
        </w:rPr>
        <w:t>2020年全县三次产业结构为22:41.1:36.9。农业大而不强，产业融合发展水平不高；“一矿独大”的现状没有根本改变，工业企业普遍处在产业链中低端，战略性新兴产业比重偏低；中心城区商贸、物流、金融等现代服务业发展相对不足。在全国和全省进入高质量发展阶段的大背景下，未来五年仁化县如何加快发展现代农业、高新技术产业和现代服务业，促进产业向中高端迈进，面临的形势不容乐观。</w:t>
      </w:r>
    </w:p>
    <w:p w14:paraId="6C74A3EA">
      <w:pPr>
        <w:ind w:firstLine="643"/>
        <w:rPr>
          <w:rFonts w:ascii="仿宋" w:hAnsi="仿宋" w:cs="仿宋"/>
          <w:color w:val="auto"/>
        </w:rPr>
      </w:pPr>
      <w:r>
        <w:rPr>
          <w:rFonts w:hint="eastAsia" w:ascii="仿宋" w:hAnsi="仿宋" w:cs="仿宋"/>
          <w:b/>
          <w:bCs/>
          <w:color w:val="auto"/>
        </w:rPr>
        <w:t>补短板强弱项惠民生任务艰巨。</w:t>
      </w:r>
      <w:r>
        <w:rPr>
          <w:rFonts w:hint="eastAsia" w:ascii="仿宋" w:hAnsi="仿宋" w:cs="仿宋"/>
          <w:color w:val="auto"/>
        </w:rPr>
        <w:t>当前，仁化县交通、水利、能源等基础设施仍然薄弱，5G、大数据、充电桩、人工智能等新型基础设施建设相对滞后；医疗卫生、教育等公共服务设施缺口仍然较大，区域内、城乡间基本公共服务差距明显，优质公共服务供给不足；巩固提升脱贫攻坚成果任务艰巨。这些都是仁化县“十四五”时期需要大力补短板强弱项提质量的重点领域，也是努力扩大有效投资和促进消费升级的基础支撑。</w:t>
      </w:r>
    </w:p>
    <w:p w14:paraId="50D0F59D">
      <w:pPr>
        <w:ind w:firstLine="643"/>
        <w:rPr>
          <w:rFonts w:ascii="仿宋" w:hAnsi="仿宋" w:cs="仿宋"/>
          <w:color w:val="auto"/>
        </w:rPr>
      </w:pPr>
      <w:r>
        <w:rPr>
          <w:rFonts w:hint="eastAsia" w:ascii="仿宋" w:hAnsi="仿宋" w:cs="仿宋"/>
          <w:b/>
          <w:bCs/>
          <w:color w:val="auto"/>
        </w:rPr>
        <w:t>要素资源短缺问题更加突出</w:t>
      </w:r>
      <w:r>
        <w:rPr>
          <w:rFonts w:hint="eastAsia" w:ascii="仿宋" w:hAnsi="仿宋" w:cs="仿宋"/>
          <w:color w:val="auto"/>
        </w:rPr>
        <w:t>。仁化县要素资源短缺问题依然严峻，科技创新投入严重不足，新型研发机构、双创空间等创新平台较少，高新技术企业数仅占全市的4.5%，研发经费占GDP比重仅有0.65%，远低于市的1.3%；地方财力薄弱，年财政收入仅5.94亿元，是典型的“吃饭财政”，对国家和省级转移支付的依赖较大；农村劳动力流失严重，经营管理、科技创新、技术工人等人才短缺；区域重大和优质项目不多，招商引资面临较多困难。在国内外经济形势日益严峻的背景下，湾区发展对全省重要资源要素的虹吸效应也将进一步加大，全市乃至周边省市兄弟县（区）区位相近，产业同构，特色雷同，未来五年争夺优质要素资源的竞争将更加激烈。</w:t>
      </w:r>
    </w:p>
    <w:p w14:paraId="115442B9">
      <w:pPr>
        <w:ind w:firstLine="643"/>
        <w:rPr>
          <w:rFonts w:ascii="仿宋" w:hAnsi="仿宋" w:cs="仿宋"/>
          <w:color w:val="auto"/>
        </w:rPr>
      </w:pPr>
      <w:r>
        <w:rPr>
          <w:rFonts w:hint="eastAsia" w:ascii="仿宋" w:hAnsi="仿宋" w:cs="仿宋"/>
          <w:b/>
          <w:bCs/>
          <w:color w:val="auto"/>
        </w:rPr>
        <w:t>绿色发展面临考验。</w:t>
      </w:r>
      <w:r>
        <w:rPr>
          <w:rFonts w:hint="eastAsia" w:ascii="仿宋" w:hAnsi="仿宋" w:cs="仿宋"/>
          <w:color w:val="auto"/>
        </w:rPr>
        <w:t>未来五年，我国生态文明建设将深入推进，北部生态发展区的主体功能定位，资源环境硬约束将不断强化，仁化县整体上属于限制开发的国家重点生态功能区，很多区域处于生态保护红线范围内，环境容量逐渐趋于饱和，能耗空间有限，在国家实行能源双控，严守生态保护红线的大背景下，仁化县经济社会发展与资源环境保护的矛盾将越来越突出，“绿水青山”转化为“金山银山”的难度会越来越大，亟待解放思想、深化改革，探索创新生态价值实现的体制机制和有效模式，加快提升仁化县绿色振兴的能力，在高水平保护中实现高质量发展。</w:t>
      </w:r>
    </w:p>
    <w:p w14:paraId="732A17AE">
      <w:pPr>
        <w:rPr>
          <w:rFonts w:ascii="仿宋" w:hAnsi="仿宋" w:cs="仿宋"/>
          <w:color w:val="auto"/>
        </w:rPr>
      </w:pPr>
      <w:r>
        <w:rPr>
          <w:rFonts w:hint="eastAsia" w:ascii="仿宋" w:hAnsi="仿宋" w:cs="仿宋"/>
          <w:color w:val="auto"/>
        </w:rPr>
        <w:t>总体来看，未来五年仁化县仍处于工业化、信息化、新型城镇化、农业现代化加速发展的战略机遇期，新时代推进经济社会高质量发展具备坚实基础和优势条件。只要紧紧抓住重大机遇，有效应对困难挑战，锻长板、补短板，乘势而上，就一定能够在开启全面建设社会现代化新征程上开好局、起好步，谱写新时代创新发展、绿色振兴仁化新篇章。</w:t>
      </w:r>
    </w:p>
    <w:p w14:paraId="5DE749CA">
      <w:pPr>
        <w:rPr>
          <w:rFonts w:ascii="仿宋" w:hAnsi="仿宋" w:cs="仿宋"/>
          <w:color w:val="auto"/>
        </w:rPr>
        <w:sectPr>
          <w:footerReference r:id="rId12" w:type="default"/>
          <w:pgSz w:w="11906" w:h="16838"/>
          <w:pgMar w:top="1440" w:right="1474" w:bottom="1440" w:left="1587" w:header="851" w:footer="992" w:gutter="0"/>
          <w:pgNumType w:fmt="numberInDash" w:start="1"/>
          <w:cols w:space="0" w:num="1"/>
          <w:docGrid w:type="lines" w:linePitch="436" w:charSpace="0"/>
        </w:sectPr>
      </w:pPr>
      <w:bookmarkStart w:id="76" w:name="_Toc29331"/>
    </w:p>
    <w:p w14:paraId="71A6E5AC">
      <w:pPr>
        <w:pStyle w:val="3"/>
        <w:spacing w:before="218" w:after="218"/>
        <w:rPr>
          <w:color w:val="auto"/>
        </w:rPr>
      </w:pPr>
      <w:bookmarkStart w:id="77" w:name="_Toc25155"/>
      <w:bookmarkStart w:id="78" w:name="_Toc5651"/>
      <w:bookmarkStart w:id="79" w:name="_Toc8371"/>
      <w:bookmarkStart w:id="80" w:name="_Toc32372"/>
      <w:bookmarkStart w:id="81" w:name="_Toc6031"/>
      <w:bookmarkStart w:id="82" w:name="_Toc32342"/>
      <w:bookmarkStart w:id="83" w:name="_Toc30467"/>
      <w:bookmarkStart w:id="84" w:name="_Toc4240"/>
      <w:bookmarkStart w:id="85" w:name="_Toc25919"/>
      <w:bookmarkStart w:id="86" w:name="_Toc19686"/>
      <w:bookmarkStart w:id="87" w:name="_Toc3234"/>
      <w:bookmarkStart w:id="88" w:name="_Toc14253"/>
      <w:bookmarkStart w:id="89" w:name="_Toc3613"/>
      <w:bookmarkStart w:id="90" w:name="_Toc277"/>
      <w:bookmarkStart w:id="91" w:name="_Toc384"/>
      <w:bookmarkStart w:id="92" w:name="_Toc20484"/>
      <w:bookmarkStart w:id="93" w:name="_Toc6899"/>
      <w:r>
        <w:rPr>
          <w:rFonts w:hint="eastAsia"/>
          <w:color w:val="auto"/>
        </w:rPr>
        <w:t>发展思路和主要目标</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2D777170">
      <w:pPr>
        <w:pStyle w:val="4"/>
        <w:spacing w:before="654" w:after="654"/>
        <w:rPr>
          <w:color w:val="auto"/>
        </w:rPr>
      </w:pPr>
      <w:bookmarkStart w:id="94" w:name="_Toc27596"/>
      <w:bookmarkStart w:id="95" w:name="_Toc30521"/>
      <w:bookmarkStart w:id="96" w:name="_Toc12855"/>
      <w:bookmarkStart w:id="97" w:name="_Toc5328"/>
      <w:bookmarkStart w:id="98" w:name="_Toc4852"/>
      <w:bookmarkStart w:id="99" w:name="_Toc21235"/>
      <w:bookmarkStart w:id="100" w:name="_Toc10187"/>
      <w:bookmarkStart w:id="101" w:name="_Toc23998"/>
      <w:bookmarkStart w:id="102" w:name="_Toc5044"/>
      <w:bookmarkStart w:id="103" w:name="_Toc22835"/>
      <w:bookmarkStart w:id="104" w:name="_Toc12277"/>
      <w:bookmarkStart w:id="105" w:name="_Toc8835"/>
      <w:bookmarkStart w:id="106" w:name="_Toc15364"/>
      <w:bookmarkStart w:id="107" w:name="_Toc9640"/>
      <w:bookmarkStart w:id="108" w:name="_Toc19419"/>
      <w:bookmarkStart w:id="109" w:name="_Toc13944"/>
      <w:bookmarkStart w:id="110" w:name="_Toc8288"/>
      <w:r>
        <w:rPr>
          <w:rFonts w:hint="eastAsia"/>
          <w:color w:val="auto"/>
        </w:rPr>
        <w:t>指导思想</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1159243">
      <w:pPr>
        <w:rPr>
          <w:rFonts w:ascii="仿宋" w:hAnsi="仿宋" w:cs="仿宋"/>
          <w:color w:val="auto"/>
        </w:rPr>
      </w:pPr>
      <w:r>
        <w:rPr>
          <w:rFonts w:hint="eastAsia" w:ascii="仿宋" w:hAnsi="仿宋" w:cs="仿宋"/>
          <w:color w:val="auto"/>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贯彻习近平总书记对广东系列重要讲话和重要指示批示精神，统筹推进“五位一体”总体布局，协调推进“四个全面”战略布局，坚定不移贯彻新发展理念，坚持稳中求进工作总基调，以推动高质量发展为主题，以深化供给侧结构性改革为主线，以改革创新为根本动力，以满足人民日益增长的美好生活需要为根本目的，积极抢抓国内国际双循环重大机遇，找准主动服务和融入新发展格局的结合点和切入点，按照省委“1+1+9”工作部署和高质量加快构建“一核一带一区”区域发展格局部署要求，积极融入服务粤港澳大湾区和深圳先行示范区建设，突出生态优先、绿色发展，深入推进县委“一线两带两区”战略布局，加快构建富民强县生态产业体系，推动建设更高水平“生态、活力、幸福”新仁化，奋力打造北部生态发展区绿色发展仁化样板，为广东在全面建设社会主义现代化国家新征程中走在全国前列、创造新的辉煌和韶关全力筑牢粤北生态屏障、打造绿色发展韶关样板、争当北部生态发展区高质量发展排头兵贡献仁化力量。</w:t>
      </w:r>
    </w:p>
    <w:p w14:paraId="4DDC9F2B">
      <w:pPr>
        <w:pStyle w:val="4"/>
        <w:spacing w:before="654" w:after="654"/>
        <w:rPr>
          <w:color w:val="auto"/>
        </w:rPr>
      </w:pPr>
      <w:bookmarkStart w:id="111" w:name="_Toc11787"/>
      <w:bookmarkStart w:id="112" w:name="_Toc21016"/>
      <w:bookmarkStart w:id="113" w:name="_Toc20895"/>
      <w:bookmarkStart w:id="114" w:name="_Toc4220"/>
      <w:bookmarkStart w:id="115" w:name="_Toc7036"/>
      <w:bookmarkStart w:id="116" w:name="_Toc4411"/>
      <w:bookmarkStart w:id="117" w:name="_Toc3591"/>
      <w:bookmarkStart w:id="118" w:name="_Toc31022"/>
      <w:bookmarkStart w:id="119" w:name="_Toc2644"/>
      <w:bookmarkStart w:id="120" w:name="_Toc2331"/>
      <w:bookmarkStart w:id="121" w:name="_Toc3853"/>
      <w:bookmarkStart w:id="122" w:name="_Toc2085"/>
      <w:bookmarkStart w:id="123" w:name="_Toc20850"/>
      <w:bookmarkStart w:id="124" w:name="_Toc30055"/>
      <w:bookmarkStart w:id="125" w:name="_Toc16453"/>
      <w:bookmarkStart w:id="126" w:name="_Toc19740"/>
      <w:bookmarkStart w:id="127" w:name="_Toc21065"/>
      <w:r>
        <w:rPr>
          <w:rFonts w:hint="eastAsia"/>
          <w:color w:val="auto"/>
        </w:rPr>
        <w:t>基本原则</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56B6CB9D">
      <w:pPr>
        <w:rPr>
          <w:rFonts w:ascii="仿宋" w:hAnsi="仿宋" w:cs="仿宋"/>
          <w:color w:val="auto"/>
        </w:rPr>
      </w:pPr>
      <w:r>
        <w:rPr>
          <w:rFonts w:hint="eastAsia" w:ascii="仿宋" w:hAnsi="仿宋" w:cs="仿宋"/>
          <w:color w:val="auto"/>
        </w:rPr>
        <w:t>“十四五”时期，仁化要高质量推进“一线两带两区”建设，奋力打造北部生态发展区绿色发展仁化样板，必须遵循以下原则：</w:t>
      </w:r>
    </w:p>
    <w:p w14:paraId="1F593550">
      <w:pPr>
        <w:ind w:firstLine="643"/>
        <w:rPr>
          <w:rFonts w:ascii="仿宋" w:hAnsi="仿宋" w:cs="仿宋"/>
          <w:color w:val="auto"/>
        </w:rPr>
      </w:pPr>
      <w:r>
        <w:rPr>
          <w:rFonts w:hint="eastAsia" w:ascii="仿宋" w:hAnsi="仿宋" w:cs="仿宋"/>
          <w:b/>
          <w:bCs/>
          <w:color w:val="auto"/>
        </w:rPr>
        <w:t>坚持党的全面领导。</w:t>
      </w:r>
      <w:r>
        <w:rPr>
          <w:rFonts w:hint="eastAsia" w:ascii="仿宋" w:hAnsi="仿宋" w:cs="仿宋"/>
          <w:color w:val="auto"/>
        </w:rPr>
        <w:t>坚定维护党中央权威和集中统一领导，增强“四个意识”、坚定“四个自信”、做到“两个维护”，充分发挥党总揽全局、协调各方的领导核心作用，把坚持党对一切工作的领导贯穿“十四五”时期发展全领域全方位全过程，切实提高党领导经济社会发展的能力和水平，不断增强党的创造力、凝聚力、战斗力，为“十四五”规划顺利实施提供坚强政治保证。</w:t>
      </w:r>
    </w:p>
    <w:p w14:paraId="55500DC8">
      <w:pPr>
        <w:ind w:firstLine="643"/>
        <w:rPr>
          <w:rFonts w:ascii="仿宋" w:hAnsi="仿宋" w:cs="仿宋"/>
          <w:color w:val="auto"/>
        </w:rPr>
      </w:pPr>
      <w:r>
        <w:rPr>
          <w:rFonts w:hint="eastAsia" w:ascii="仿宋" w:hAnsi="仿宋" w:cs="仿宋"/>
          <w:b/>
          <w:bCs/>
          <w:color w:val="auto"/>
        </w:rPr>
        <w:t>坚持以人民为中心。</w:t>
      </w:r>
      <w:r>
        <w:rPr>
          <w:rFonts w:hint="eastAsia" w:ascii="仿宋" w:hAnsi="仿宋" w:cs="仿宋"/>
          <w:color w:val="auto"/>
        </w:rPr>
        <w:t>坚持人民立场不动摇，把增进人民福祉、促进人的全面发展作为发展的出发点和落脚点，充分调动人民积极性、主动性、创造性，着力提升发展质量和效益，不断满足人民日益增长的美好生活需要，让人民群众的获得感成色更足、幸福感更强、安全感更有保障。</w:t>
      </w:r>
    </w:p>
    <w:p w14:paraId="1E3FF133">
      <w:pPr>
        <w:ind w:firstLine="643"/>
        <w:rPr>
          <w:rFonts w:ascii="仿宋" w:hAnsi="仿宋" w:cs="仿宋"/>
          <w:color w:val="auto"/>
        </w:rPr>
      </w:pPr>
      <w:r>
        <w:rPr>
          <w:rFonts w:hint="eastAsia" w:ascii="仿宋" w:hAnsi="仿宋" w:cs="仿宋"/>
          <w:b/>
          <w:bCs/>
          <w:color w:val="auto"/>
        </w:rPr>
        <w:t>坚持新发展理念。</w:t>
      </w:r>
      <w:r>
        <w:rPr>
          <w:rFonts w:hint="eastAsia" w:ascii="仿宋" w:hAnsi="仿宋" w:cs="仿宋"/>
          <w:color w:val="auto"/>
        </w:rPr>
        <w:t>把新发展理念贯穿经济社会发展全过程和各领域，坚持生态优先、绿色发展，主动服务和融入新发展格局，切实转变发展方式，推动质量变革、效率变革、动力变革，实现更高质量、更有效率、更加公平、更可持续、更为安全的发展。</w:t>
      </w:r>
    </w:p>
    <w:p w14:paraId="340B77BE">
      <w:pPr>
        <w:ind w:firstLine="643"/>
        <w:rPr>
          <w:rFonts w:ascii="仿宋" w:hAnsi="仿宋" w:cs="仿宋"/>
          <w:color w:val="auto"/>
        </w:rPr>
      </w:pPr>
      <w:r>
        <w:rPr>
          <w:rFonts w:hint="eastAsia" w:ascii="仿宋" w:hAnsi="仿宋" w:cs="仿宋"/>
          <w:b/>
          <w:bCs/>
          <w:color w:val="auto"/>
        </w:rPr>
        <w:t>坚持深化改革开放。</w:t>
      </w:r>
      <w:r>
        <w:rPr>
          <w:rFonts w:hint="eastAsia" w:ascii="仿宋" w:hAnsi="仿宋" w:cs="仿宋"/>
          <w:color w:val="auto"/>
        </w:rPr>
        <w:t>坚定不移推进改革，坚持以开放促发展、促改革、促创新，加大重点领域和关键环节改革力度，强化有利于提高资源配置效率的重大改革举措，为加快实现高质量发展注入强大动力。更加主动对接融入“双区”建设，持续增强发展动力和活力。</w:t>
      </w:r>
    </w:p>
    <w:p w14:paraId="587C4F5A">
      <w:pPr>
        <w:ind w:firstLine="643"/>
        <w:rPr>
          <w:rFonts w:ascii="仿宋" w:hAnsi="仿宋" w:cs="仿宋"/>
          <w:color w:val="auto"/>
        </w:rPr>
      </w:pPr>
      <w:r>
        <w:rPr>
          <w:rFonts w:hint="eastAsia" w:ascii="仿宋" w:hAnsi="仿宋" w:cs="仿宋"/>
          <w:b/>
          <w:bCs/>
          <w:color w:val="auto"/>
        </w:rPr>
        <w:t>坚持系统观念。</w:t>
      </w:r>
      <w:r>
        <w:rPr>
          <w:rFonts w:hint="eastAsia" w:ascii="仿宋" w:hAnsi="仿宋" w:cs="仿宋"/>
          <w:color w:val="auto"/>
        </w:rPr>
        <w:t>加强前瞻性思考、全局性谋划、战略性布局、整体性推进，坚持保护与开发并举，实现生态保护与经济发展双赢。办好发展和安全两件大事，坚持全县一盘棋，更好发挥各方面积极性，着力固根基、扬优势、补短板、强弱项，注重防范化解重大风险挑战，实现发展质量、结构、规模、速度、效益、安全相统一。</w:t>
      </w:r>
    </w:p>
    <w:p w14:paraId="2513EE57">
      <w:pPr>
        <w:pStyle w:val="4"/>
        <w:spacing w:before="654" w:after="654"/>
        <w:rPr>
          <w:color w:val="auto"/>
        </w:rPr>
      </w:pPr>
      <w:bookmarkStart w:id="128" w:name="_Toc2942"/>
      <w:bookmarkStart w:id="129" w:name="_Toc21922"/>
      <w:bookmarkStart w:id="130" w:name="_Toc23426"/>
      <w:bookmarkStart w:id="131" w:name="_Toc3528"/>
      <w:bookmarkStart w:id="132" w:name="_Toc4581"/>
      <w:bookmarkStart w:id="133" w:name="_Toc5955"/>
      <w:bookmarkStart w:id="134" w:name="_Toc23489"/>
      <w:bookmarkStart w:id="135" w:name="_Toc18569"/>
      <w:bookmarkStart w:id="136" w:name="_Toc30615"/>
      <w:bookmarkStart w:id="137" w:name="_Toc32005"/>
      <w:bookmarkStart w:id="138" w:name="_Toc20167"/>
      <w:bookmarkStart w:id="139" w:name="_Toc2688"/>
      <w:bookmarkStart w:id="140" w:name="_Toc21058"/>
      <w:bookmarkStart w:id="141" w:name="_Toc31404"/>
      <w:bookmarkStart w:id="142" w:name="_Toc12300"/>
      <w:bookmarkStart w:id="143" w:name="_Toc491"/>
      <w:bookmarkStart w:id="144" w:name="_Toc15488"/>
      <w:r>
        <w:rPr>
          <w:rFonts w:hint="eastAsia"/>
          <w:color w:val="auto"/>
        </w:rPr>
        <w:t>“两带两区”引领</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B56E0FE">
      <w:pPr>
        <w:rPr>
          <w:rFonts w:ascii="仿宋" w:hAnsi="仿宋" w:cs="仿宋"/>
          <w:color w:val="auto"/>
        </w:rPr>
      </w:pPr>
      <w:r>
        <w:rPr>
          <w:rFonts w:hint="eastAsia" w:ascii="仿宋" w:hAnsi="仿宋" w:cs="仿宋"/>
          <w:color w:val="auto"/>
        </w:rPr>
        <w:t>深入推进“一线两带两区”建设，加快构建富民强县生态产业体系，加快构建以生态农业、绿色工业和生态旅游为主的生态产业体系，推进农业现代化、新型农业化和产业数字化，构建与北部生态功能区发展功能相适应的绿色产业体系，切实把生态优势转化为产业优势、竞争优势和发展优势。推动全县“两带两区”建设的引领作用。</w:t>
      </w:r>
    </w:p>
    <w:p w14:paraId="789C300B">
      <w:pPr>
        <w:widowControl/>
        <w:jc w:val="left"/>
        <w:rPr>
          <w:rFonts w:ascii="仿宋" w:hAnsi="仿宋" w:cs="仿宋"/>
          <w:color w:val="auto"/>
        </w:rPr>
      </w:pPr>
      <w:r>
        <w:rPr>
          <w:rFonts w:hint="eastAsia" w:ascii="仿宋" w:hAnsi="仿宋" w:cs="仿宋"/>
          <w:color w:val="auto"/>
        </w:rPr>
        <w:t>着力打造大力推进红色文化旅游经济带、武深高速农业经济带，把良好的生态资源优势作为富民强县之本，牢固树立绿水青山就是金山银山发展理念，持续创建“绿水青山就是金山银山”实践创新基地,统筹推进绿色平台建设，突出环境、产业、人居、生态、低碳、循环，构建绿色发展集聚区，塑造绿色增长新样板。</w:t>
      </w:r>
    </w:p>
    <w:p w14:paraId="29DFBD81">
      <w:pPr>
        <w:rPr>
          <w:rFonts w:ascii="仿宋" w:hAnsi="仿宋" w:cs="仿宋"/>
          <w:color w:val="auto"/>
        </w:rPr>
      </w:pPr>
      <w:r>
        <w:rPr>
          <w:rFonts w:hint="eastAsia" w:ascii="仿宋" w:hAnsi="仿宋" w:cs="仿宋"/>
          <w:color w:val="auto"/>
        </w:rPr>
        <w:t>着力打造董塘凡口绿色工业园区、省产业转移工业园区建设，把科技创新作为富民强县的第一动力，积极对接韶关高新区等建设，着力汇聚创新要素，强化科技成果转化利用，大力发展战略性新兴产业，推进传统产业数字化转型，不断增强创新对经济增长的动能。</w:t>
      </w:r>
    </w:p>
    <w:p w14:paraId="152BA1AA">
      <w:pPr>
        <w:pStyle w:val="4"/>
        <w:spacing w:before="654" w:after="654"/>
        <w:rPr>
          <w:color w:val="auto"/>
        </w:rPr>
      </w:pPr>
      <w:bookmarkStart w:id="145" w:name="_Toc3630"/>
      <w:bookmarkStart w:id="146" w:name="_Toc14311"/>
      <w:bookmarkStart w:id="147" w:name="_Toc25952"/>
      <w:bookmarkStart w:id="148" w:name="_Toc26050"/>
      <w:bookmarkStart w:id="149" w:name="_Toc4539"/>
      <w:bookmarkStart w:id="150" w:name="_Toc7260"/>
      <w:bookmarkStart w:id="151" w:name="_Toc2410"/>
      <w:bookmarkStart w:id="152" w:name="_Toc171"/>
      <w:bookmarkStart w:id="153" w:name="_Toc7229"/>
      <w:bookmarkStart w:id="154" w:name="_Toc11805"/>
      <w:bookmarkStart w:id="155" w:name="_Toc19749"/>
      <w:bookmarkStart w:id="156" w:name="_Toc23047"/>
      <w:bookmarkStart w:id="157" w:name="_Toc27072"/>
      <w:bookmarkStart w:id="158" w:name="_Toc20406"/>
      <w:bookmarkStart w:id="159" w:name="_Toc26165"/>
      <w:bookmarkStart w:id="160" w:name="_Toc26378"/>
      <w:bookmarkStart w:id="161" w:name="_Toc20722"/>
      <w:r>
        <w:rPr>
          <w:rFonts w:hint="eastAsia"/>
          <w:color w:val="auto"/>
        </w:rPr>
        <w:t>主要目标</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3131A328">
      <w:pPr>
        <w:rPr>
          <w:rFonts w:ascii="仿宋" w:hAnsi="仿宋" w:cs="仿宋"/>
          <w:color w:val="auto"/>
        </w:rPr>
      </w:pPr>
      <w:r>
        <w:rPr>
          <w:rFonts w:hint="eastAsia" w:ascii="仿宋" w:hAnsi="仿宋" w:cs="仿宋"/>
          <w:color w:val="auto"/>
        </w:rPr>
        <w:t>党的十九大作出了到二○三五年我国基本实现社会主义现代化的战略安排。展望二○三五年，仁化也将基本实现社会主义现代化。为实现这个宏伟目标，我县要分三个阶段努力奋斗。第一阶段，用3年左右时间，“一线两带两区”建设取得明显进展，乡村振兴取得较大成效，在全面建设社会主义现代化新征程中开好局、起好步。第二阶段，用5年左右时间，到“十四五”末，经济社会发展实现新的更大突破，居民生活水平显著提升，“生态、活力、幸福”新仁化的建设成效充分体现，成功打造北部生态发展区绿色发展仁化样板。第三阶段，到2035年，与全国全省全市同步基本实现社会主义现代化，经济实力、生态环境质量、综合竞争力大幅跃升，经济总量和城乡居民收入迈上新的台阶；基本实现新型工业化、信息化、城镇化、农业农村现代化，建成现代化经济体系；基本实现治理体系和治理能力现代化，人民平等参与、平等发展权利得到充分保障，基本建成法治政府、法治社会；社会主义精神文明和物质文明全面协调发展，国民素质和社会文明程度达到新高度；生态环境持续改善，广泛形成绿色生产生活方式，生态经济发展迅速；全面改革不断深入，融入服务“双区”水平和竞争新优势明显增强；人均地区生产总值达到全国平均水平，中等收入群体显著扩大，基本公共服务实现均等化，城乡发展差距和居民生活水平差距显著缩小；党管武装和“双拥”工作不断加强，安全保障体系不断健全，共建共治共享的社会治理格局更加完善，平安仁化建设达到更高水平；人民生活更加美好，人的全面发展取得更为明显的实质性进展。党的全面领导落实到各领域各方面的高效执行体系全面形成，全面从严治党持续深入推进，清廉仁化全面建成，政治生态风清气正，中国特色社会主义制度优势充分彰显。</w:t>
      </w:r>
    </w:p>
    <w:p w14:paraId="5A5FBD44">
      <w:pPr>
        <w:rPr>
          <w:rFonts w:ascii="仿宋" w:hAnsi="仿宋" w:cs="仿宋"/>
          <w:color w:val="auto"/>
        </w:rPr>
      </w:pPr>
      <w:r>
        <w:rPr>
          <w:rFonts w:hint="eastAsia" w:ascii="仿宋" w:hAnsi="仿宋" w:cs="仿宋"/>
          <w:color w:val="auto"/>
        </w:rPr>
        <w:t>锚定二○三五年基本实现社会主义现代化远景目标，综合考虑内外部发展趋势和仁化发展条件，我县“十四五”时期经济社会发展要努力实现以下主要目标。</w:t>
      </w:r>
    </w:p>
    <w:p w14:paraId="73A5DB7F">
      <w:pPr>
        <w:ind w:firstLine="643"/>
        <w:rPr>
          <w:rFonts w:ascii="仿宋" w:hAnsi="仿宋" w:cs="仿宋"/>
          <w:color w:val="auto"/>
        </w:rPr>
      </w:pPr>
      <w:r>
        <w:rPr>
          <w:rFonts w:hint="eastAsia" w:ascii="仿宋" w:hAnsi="仿宋" w:cs="仿宋"/>
          <w:b/>
          <w:bCs/>
          <w:color w:val="auto"/>
        </w:rPr>
        <w:t>生态环境持续改善。</w:t>
      </w:r>
      <w:r>
        <w:rPr>
          <w:rFonts w:hint="eastAsia" w:ascii="仿宋" w:hAnsi="仿宋" w:cs="仿宋"/>
          <w:color w:val="auto"/>
        </w:rPr>
        <w:t>国土空间开发保护格局得到持续 优化，生产生活方式绿色转型成效显著，资源能源配置更加合 理、利用效率大幅提高，主要污染物排放总量持续减少，森林 覆盖率、空气质量优良率等核心指标稳居全市前列，如期成功创建国家森林城市，粤北生态屏障更加牢固，城乡人居环境明显改善。</w:t>
      </w:r>
    </w:p>
    <w:p w14:paraId="52B8EEB7">
      <w:pPr>
        <w:ind w:firstLine="643"/>
        <w:rPr>
          <w:rFonts w:ascii="仿宋" w:hAnsi="仿宋" w:cs="仿宋"/>
          <w:color w:val="auto"/>
        </w:rPr>
      </w:pPr>
      <w:r>
        <w:rPr>
          <w:rFonts w:hint="eastAsia" w:ascii="仿宋" w:hAnsi="仿宋" w:cs="仿宋"/>
          <w:b/>
          <w:bCs/>
          <w:color w:val="auto"/>
        </w:rPr>
        <w:t>经济发展持续提质。</w:t>
      </w:r>
      <w:r>
        <w:rPr>
          <w:rFonts w:hint="eastAsia" w:ascii="仿宋" w:hAnsi="仿宋" w:cs="仿宋"/>
          <w:color w:val="auto"/>
        </w:rPr>
        <w:t>到二〇二五年，全县生产总值达到1</w:t>
      </w:r>
      <w:r>
        <w:rPr>
          <w:rFonts w:hint="eastAsia" w:ascii="仿宋" w:hAnsi="仿宋" w:cs="仿宋"/>
          <w:color w:val="auto"/>
          <w:lang w:val="en-US" w:eastAsia="zh-CN"/>
        </w:rPr>
        <w:t>38</w:t>
      </w:r>
      <w:r>
        <w:rPr>
          <w:rFonts w:hint="eastAsia" w:ascii="仿宋" w:hAnsi="仿宋" w:cs="仿宋"/>
          <w:color w:val="auto"/>
        </w:rPr>
        <w:t>亿元，人均地区生产总值达6万元以上。生态农业稳步发展，绿色工业快速崛起，生态旅游蓬勃发展，传统产业焕发新活力，新兴产业占比逐年提高。县域经济综合实力增强，基础设施更加完善，中心城区扩容提质成效显著，城镇化率达到45%以上，城乡二元结构问题得到缓解。</w:t>
      </w:r>
    </w:p>
    <w:p w14:paraId="0ED9F796">
      <w:pPr>
        <w:ind w:firstLine="643"/>
        <w:rPr>
          <w:rFonts w:ascii="仿宋" w:hAnsi="仿宋" w:cs="仿宋"/>
          <w:color w:val="auto"/>
        </w:rPr>
      </w:pPr>
      <w:r>
        <w:rPr>
          <w:rFonts w:hint="eastAsia" w:ascii="仿宋" w:hAnsi="仿宋" w:cs="仿宋"/>
          <w:b/>
          <w:bCs/>
          <w:color w:val="auto"/>
        </w:rPr>
        <w:t>改革开放持续深化。</w:t>
      </w:r>
      <w:r>
        <w:rPr>
          <w:rFonts w:hint="eastAsia" w:ascii="仿宋" w:hAnsi="仿宋" w:cs="仿宋"/>
          <w:color w:val="auto"/>
        </w:rPr>
        <w:t>重点领域和关键环节改革取得突破性进展，政府服务效能不断提升，与“双区”相衔接的市场体系基本建立，公平竞争制度更加健全，更高水平开放型经济新体制基本形成，市场化法治化营商环境初步形成，市场主体更加充满活力。</w:t>
      </w:r>
    </w:p>
    <w:p w14:paraId="18E0213F">
      <w:pPr>
        <w:ind w:firstLine="643"/>
        <w:rPr>
          <w:rFonts w:ascii="仿宋" w:hAnsi="仿宋" w:cs="仿宋"/>
          <w:color w:val="auto"/>
        </w:rPr>
      </w:pPr>
      <w:r>
        <w:rPr>
          <w:rFonts w:hint="eastAsia" w:ascii="仿宋" w:hAnsi="仿宋" w:cs="仿宋"/>
          <w:b/>
          <w:bCs/>
          <w:color w:val="auto"/>
        </w:rPr>
        <w:t>民生福祉持续增进。</w:t>
      </w:r>
      <w:r>
        <w:rPr>
          <w:rFonts w:hint="eastAsia" w:ascii="仿宋" w:hAnsi="仿宋" w:cs="仿宋"/>
          <w:color w:val="auto"/>
        </w:rPr>
        <w:t>实现更加充分更高质量就业，城镇登记失业率控制在3.5%以内，城乡居民收入增长与经济增长基本同步，多层次社会保障体系更加健全，基本公共服务均等化水平明显提高，教育资源布局更加合理，卫生资源配置和医疗服务能力进一步提升，脱贫攻坚成果巩固拓展，乡村振兴战略全面推进。</w:t>
      </w:r>
    </w:p>
    <w:p w14:paraId="6397BAB3">
      <w:pPr>
        <w:ind w:firstLine="643"/>
        <w:rPr>
          <w:rFonts w:ascii="仿宋" w:hAnsi="仿宋" w:cs="仿宋"/>
          <w:color w:val="auto"/>
        </w:rPr>
      </w:pPr>
      <w:r>
        <w:rPr>
          <w:rFonts w:hint="eastAsia" w:ascii="仿宋" w:hAnsi="仿宋" w:cs="仿宋"/>
          <w:b/>
          <w:bCs/>
          <w:color w:val="auto"/>
        </w:rPr>
        <w:t>文明建设持续深入。</w:t>
      </w:r>
      <w:r>
        <w:rPr>
          <w:rFonts w:hint="eastAsia" w:ascii="仿宋" w:hAnsi="仿宋" w:cs="仿宋"/>
          <w:color w:val="auto"/>
        </w:rPr>
        <w:t>社会主义核心价值观深入人心， 人民思想道德素质、科学文化素质和身心健康素质明显提高， 公共文化服务体系和文化产业体系更加健全，人民精神文化生活日益丰富，红色文化大力弘扬，“仁爱仁化”城市形象更加凸显，全国文明城市品牌更加响亮。</w:t>
      </w:r>
    </w:p>
    <w:p w14:paraId="73DC6609">
      <w:pPr>
        <w:ind w:firstLine="643"/>
        <w:rPr>
          <w:rFonts w:ascii="仿宋" w:hAnsi="仿宋" w:cs="仿宋"/>
          <w:color w:val="auto"/>
        </w:rPr>
        <w:sectPr>
          <w:footerReference r:id="rId13" w:type="default"/>
          <w:pgSz w:w="11906" w:h="16838"/>
          <w:pgMar w:top="1440" w:right="1474" w:bottom="1440" w:left="1587" w:header="851" w:footer="992" w:gutter="0"/>
          <w:pgNumType w:fmt="numberInDash"/>
          <w:cols w:space="0" w:num="1"/>
          <w:docGrid w:type="lines" w:linePitch="436" w:charSpace="0"/>
        </w:sectPr>
      </w:pPr>
      <w:r>
        <w:rPr>
          <w:rFonts w:hint="eastAsia" w:ascii="仿宋" w:hAnsi="仿宋" w:cs="仿宋"/>
          <w:b/>
          <w:bCs/>
          <w:color w:val="auto"/>
        </w:rPr>
        <w:t>治理效能持续优化。</w:t>
      </w:r>
      <w:r>
        <w:rPr>
          <w:rFonts w:hint="eastAsia" w:ascii="仿宋" w:hAnsi="仿宋" w:cs="仿宋"/>
          <w:color w:val="auto"/>
        </w:rPr>
        <w:t>社会主义民主法治更加健全，社会公平正义进一步彰显，政府作用更好发挥，行政效率和公信力显著提升，社会治理水平明显提高，防范化解重大风险体制机制不断健全，突发公共事件应急能力显著增强，自然灾害防御水平明显提升，发展安全保障更加有力，社会大局保持和谐稳定，具有仁化特色的平安建设样板、基层治理示范区基本形成。</w:t>
      </w:r>
    </w:p>
    <w:bookmarkEnd w:id="0"/>
    <w:p w14:paraId="32CDD911">
      <w:pPr>
        <w:pStyle w:val="3"/>
        <w:spacing w:before="218" w:after="218"/>
        <w:rPr>
          <w:color w:val="auto"/>
        </w:rPr>
      </w:pPr>
      <w:bookmarkStart w:id="162" w:name="_Toc15130"/>
      <w:bookmarkStart w:id="163" w:name="_Toc16580"/>
      <w:bookmarkStart w:id="164" w:name="_Toc14918"/>
      <w:bookmarkStart w:id="165" w:name="_Toc26473"/>
      <w:bookmarkStart w:id="166" w:name="_Toc30320"/>
      <w:bookmarkStart w:id="167" w:name="_Toc10221"/>
      <w:bookmarkStart w:id="168" w:name="_Toc13091"/>
      <w:bookmarkStart w:id="169" w:name="_Toc22877"/>
      <w:bookmarkStart w:id="170" w:name="_Toc4390"/>
      <w:bookmarkStart w:id="171" w:name="_Toc17131"/>
      <w:bookmarkStart w:id="172" w:name="_Toc2515"/>
      <w:bookmarkStart w:id="173" w:name="_Toc18090"/>
      <w:bookmarkStart w:id="174" w:name="_Toc21782"/>
      <w:bookmarkStart w:id="175" w:name="_Toc1115"/>
      <w:bookmarkStart w:id="176" w:name="_Toc3843"/>
      <w:bookmarkStart w:id="177" w:name="_Toc27998"/>
      <w:r>
        <w:rPr>
          <w:rFonts w:hint="eastAsia"/>
          <w:color w:val="auto"/>
        </w:rPr>
        <w:t>坚持生态优先，筑牢高质量发展生态支撑</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7EE51141">
      <w:pPr>
        <w:rPr>
          <w:rFonts w:ascii="仿宋" w:hAnsi="仿宋" w:cs="仿宋"/>
          <w:color w:val="auto"/>
        </w:rPr>
      </w:pPr>
      <w:r>
        <w:rPr>
          <w:rFonts w:hint="eastAsia" w:ascii="仿宋" w:hAnsi="仿宋" w:cs="仿宋"/>
          <w:color w:val="auto"/>
        </w:rPr>
        <w:t>坚持以习近平生态文明思想为指导，牢固树立人与自然和谐共生的科学自然观，认真践行绿水青山就是金山银山理念，全力筑牢粤北生态屏障，为高质量发展提供重要生态支撑。</w:t>
      </w:r>
    </w:p>
    <w:p w14:paraId="456254E9">
      <w:pPr>
        <w:pStyle w:val="4"/>
        <w:spacing w:before="654" w:after="654"/>
        <w:rPr>
          <w:color w:val="auto"/>
        </w:rPr>
      </w:pPr>
      <w:bookmarkStart w:id="178" w:name="_Toc30020"/>
      <w:bookmarkStart w:id="179" w:name="_Toc17693"/>
      <w:bookmarkStart w:id="180" w:name="_Toc5464"/>
      <w:bookmarkStart w:id="181" w:name="_Toc1354"/>
      <w:bookmarkStart w:id="182" w:name="_Toc26898"/>
      <w:bookmarkStart w:id="183" w:name="_Toc4525"/>
      <w:bookmarkStart w:id="184" w:name="_Toc3873"/>
      <w:bookmarkStart w:id="185" w:name="_Toc14848"/>
      <w:bookmarkStart w:id="186" w:name="_Toc12938"/>
      <w:bookmarkStart w:id="187" w:name="_Toc2718"/>
      <w:bookmarkStart w:id="188" w:name="_Toc3895"/>
      <w:bookmarkStart w:id="189" w:name="_Toc13667"/>
      <w:bookmarkStart w:id="190" w:name="_Toc9674"/>
      <w:bookmarkStart w:id="191" w:name="_Toc6554"/>
      <w:bookmarkStart w:id="192" w:name="_Toc16249"/>
      <w:bookmarkStart w:id="193" w:name="_Toc28611"/>
      <w:bookmarkStart w:id="194" w:name="_Toc284"/>
      <w:r>
        <w:rPr>
          <w:rFonts w:hint="eastAsia"/>
          <w:color w:val="auto"/>
        </w:rPr>
        <w:t>持续推进生态</w:t>
      </w:r>
      <w:bookmarkEnd w:id="178"/>
      <w:bookmarkEnd w:id="179"/>
      <w:bookmarkEnd w:id="180"/>
      <w:bookmarkEnd w:id="181"/>
      <w:bookmarkEnd w:id="182"/>
      <w:bookmarkEnd w:id="183"/>
      <w:bookmarkEnd w:id="184"/>
      <w:bookmarkEnd w:id="185"/>
      <w:bookmarkEnd w:id="186"/>
      <w:bookmarkEnd w:id="187"/>
      <w:bookmarkEnd w:id="188"/>
      <w:bookmarkEnd w:id="189"/>
      <w:r>
        <w:rPr>
          <w:rFonts w:hint="eastAsia"/>
          <w:color w:val="auto"/>
        </w:rPr>
        <w:t>环境保护</w:t>
      </w:r>
      <w:bookmarkEnd w:id="190"/>
      <w:bookmarkEnd w:id="191"/>
      <w:bookmarkEnd w:id="192"/>
      <w:bookmarkEnd w:id="193"/>
      <w:bookmarkEnd w:id="194"/>
    </w:p>
    <w:p w14:paraId="61CE1E67">
      <w:pPr>
        <w:rPr>
          <w:rFonts w:ascii="仿宋" w:hAnsi="仿宋" w:cs="仿宋"/>
          <w:color w:val="auto"/>
        </w:rPr>
      </w:pPr>
      <w:r>
        <w:rPr>
          <w:rFonts w:hint="eastAsia" w:ascii="仿宋" w:hAnsi="仿宋" w:cs="仿宋"/>
          <w:color w:val="auto"/>
        </w:rPr>
        <w:t>加快广东南岭国家公园建设、国家森林城市创建、“两山”理论创新实践基地创建、山水林田湖草生态保护修复，维护自然生态的完整性、连续性和多样性，持续推进生态文明建设。</w:t>
      </w:r>
    </w:p>
    <w:p w14:paraId="4B472D09">
      <w:pPr>
        <w:ind w:firstLine="643"/>
        <w:rPr>
          <w:rFonts w:ascii="仿宋" w:hAnsi="仿宋" w:cs="仿宋"/>
          <w:color w:val="auto"/>
        </w:rPr>
      </w:pPr>
      <w:r>
        <w:rPr>
          <w:rFonts w:hint="eastAsia" w:ascii="仿宋" w:hAnsi="仿宋" w:cs="仿宋"/>
          <w:b/>
          <w:bCs/>
          <w:color w:val="auto"/>
        </w:rPr>
        <w:t>加快建设广东南岭国家公园。</w:t>
      </w:r>
      <w:r>
        <w:rPr>
          <w:rFonts w:hint="eastAsia" w:ascii="仿宋" w:hAnsi="仿宋" w:cs="仿宋"/>
          <w:color w:val="auto"/>
        </w:rPr>
        <w:t>主动融入全国国家公园总体布局，积极配合推进广东南岭国家公园丹霞山片区建设，确保重要自然生态系统、自然遗迹、自然景观和稀有物种得到系统保护。坚持水源涵养、生物多样性保护和构筑山水林田湖草一体化生态系统的生态功能定位，调整优化生态保护红线，推进自然保护地整合优化，确保生态空间面积不减少、生态功能不降低、生态服务保障能力逐渐提高。引导社会资金加大投入，重点加快广东南岭国家公园管护、预警、保护体系建设，加快建设广东南岭国家公园研究院、物种资源保护研究中心、专家工作站等创新平台，加快建设生态教育和自然体验活动设施，加快建设智慧国家公园、“大丹霞—中国红石公园”。</w:t>
      </w:r>
    </w:p>
    <w:p w14:paraId="1EFB4690">
      <w:pPr>
        <w:ind w:firstLine="643"/>
        <w:rPr>
          <w:rFonts w:ascii="仿宋" w:hAnsi="仿宋" w:cs="仿宋"/>
          <w:color w:val="auto"/>
        </w:rPr>
      </w:pPr>
      <w:r>
        <w:rPr>
          <w:rFonts w:hint="eastAsia" w:ascii="仿宋" w:hAnsi="仿宋" w:cs="仿宋"/>
          <w:b/>
          <w:bCs/>
          <w:color w:val="auto"/>
        </w:rPr>
        <w:t>创建国家森林城市。</w:t>
      </w:r>
      <w:r>
        <w:rPr>
          <w:rFonts w:hint="eastAsia" w:ascii="仿宋" w:hAnsi="仿宋" w:cs="仿宋"/>
          <w:color w:val="auto"/>
        </w:rPr>
        <w:t>按照韶关市“全域创森”的总目标，开展县级国家森林城市创建工作，着力构建结构完善的森林生态体系，全面打造健康开放的森林服务体系，加强建设绿色惠民的森林产业体系，深入完善繁荣共享的森林生态文化体系，推动建立健全高效的森林支撑体系，加快建成“林水相依、林城相依、林路相依、林村相依、林居相依”的城市森林生态景观格局。深入推进高质量水源林、生态景观林带、森林进城围城、乡村绿化美化四大工程建设，确保森林覆盖率、森林蓄积量、生态公益林面积等指标稳中有升，不断提升生态产品生产能力。全域推进林长制改革，创新林业管理体制机制，强化林业资源管护，有序推进桉树林逐年退出。严格执行《韶关市野外用火管理条例》，扎实做好森林防火工作，确保森林覆盖率、活立木蓄积量和有林地面积等反映森林资源的核心指标数据继续保持全省前列。到2025年，全县森林覆盖率维持80.51%以上，城区绿化覆盖率达42.27%，人均公园绿地面积达到14.6m</w:t>
      </w:r>
      <w:r>
        <w:rPr>
          <w:rFonts w:hint="eastAsia" w:ascii="仿宋" w:hAnsi="仿宋" w:cs="仿宋"/>
          <w:color w:val="auto"/>
          <w:vertAlign w:val="superscript"/>
        </w:rPr>
        <w:t>2</w:t>
      </w:r>
      <w:r>
        <w:rPr>
          <w:rFonts w:hint="eastAsia" w:ascii="仿宋" w:hAnsi="仿宋" w:cs="仿宋"/>
          <w:color w:val="auto"/>
        </w:rPr>
        <w:t>/人，生态建设成果惠及广大市民群众。</w:t>
      </w:r>
    </w:p>
    <w:p w14:paraId="07D0143A">
      <w:pPr>
        <w:pStyle w:val="2"/>
        <w:ind w:firstLine="643"/>
        <w:rPr>
          <w:rFonts w:ascii="仿宋" w:hAnsi="仿宋" w:cs="仿宋"/>
          <w:color w:val="auto"/>
        </w:rPr>
      </w:pPr>
      <w:r>
        <w:rPr>
          <w:rFonts w:hint="eastAsia" w:ascii="仿宋" w:hAnsi="仿宋" w:cs="仿宋"/>
          <w:b/>
          <w:bCs/>
          <w:color w:val="auto"/>
        </w:rPr>
        <w:t>加快创建“两山”理论创新实践基地。</w:t>
      </w:r>
      <w:r>
        <w:rPr>
          <w:rFonts w:hint="eastAsia" w:ascii="仿宋" w:hAnsi="仿宋" w:cs="仿宋"/>
          <w:color w:val="auto"/>
        </w:rPr>
        <w:t>根据“两山”基地建设的基本条件和指标体系，科学编制“两山”基地建设工作方案，明确提出指导思想、基本原则、发展目标、主要指标、重点任务、进度安排、配套政策和保障措施。加强与省生态环境厅、市生态环保局等有关部门的沟通对接，深入推进生态文明示范创建，全面做好两项申报工作。扎实开展富有仁化特色的创建活动，充分调动广大干部群众参与创建的积极性、主动性、创造性。借鉴我省河源市东源县及浙江省湖州市、安吉县等地经验做法，加快创建“两山”理论创新实践基地。</w:t>
      </w:r>
    </w:p>
    <w:p w14:paraId="49378554">
      <w:pPr>
        <w:ind w:firstLine="643"/>
        <w:rPr>
          <w:rFonts w:ascii="仿宋" w:hAnsi="仿宋" w:cs="仿宋"/>
          <w:color w:val="auto"/>
        </w:rPr>
      </w:pPr>
      <w:r>
        <w:rPr>
          <w:rFonts w:hint="eastAsia" w:ascii="仿宋" w:hAnsi="仿宋" w:cs="仿宋"/>
          <w:b/>
          <w:bCs/>
          <w:color w:val="auto"/>
        </w:rPr>
        <w:t>统筹推进山水林田湖草生态保护修复</w:t>
      </w:r>
      <w:r>
        <w:rPr>
          <w:rFonts w:hint="eastAsia" w:ascii="仿宋" w:hAnsi="仿宋" w:cs="仿宋"/>
          <w:color w:val="auto"/>
        </w:rPr>
        <w:t>。严格贯彻“山水林田湖草是一个生命共同体”的生态保护理念，综合运用土地、生态环境、财税等政策，积极开展矿山治理及土壤修复、生态系统与生物多样性保护、流域水环境保护和提升管理能力，全面推进山水林田湖草生态保护修复工作。坚持自然恢复为主、人工修复为辅，统筹推进山水林田湖草生态保护修复工程，全域推进土地综合整治，推动绿色生态屏障体系持续优化。探索有利于生态环境保护和修复的体制机制，形成生态保护修复的长效机制，形成一批可以复制推广的典型示范修复工程作为“样板”，努力实现“山清水秀、林草环绕、碧湖青田、城美人和”的生态保护修复目标，筑牢南岭生态屏障。</w:t>
      </w:r>
    </w:p>
    <w:p w14:paraId="61030420">
      <w:pPr>
        <w:pStyle w:val="4"/>
        <w:spacing w:before="654" w:after="654"/>
        <w:rPr>
          <w:color w:val="auto"/>
        </w:rPr>
      </w:pPr>
      <w:bookmarkStart w:id="195" w:name="_Toc2313"/>
      <w:bookmarkStart w:id="196" w:name="_Toc4929"/>
      <w:bookmarkStart w:id="197" w:name="_Toc29001"/>
      <w:bookmarkStart w:id="198" w:name="_Toc12255"/>
      <w:bookmarkStart w:id="199" w:name="_Toc4438"/>
      <w:bookmarkStart w:id="200" w:name="_Toc12841"/>
      <w:bookmarkStart w:id="201" w:name="_Toc26757"/>
      <w:bookmarkStart w:id="202" w:name="_Toc21252"/>
      <w:bookmarkStart w:id="203" w:name="_Toc9914"/>
      <w:bookmarkStart w:id="204" w:name="_Toc14702"/>
      <w:bookmarkStart w:id="205" w:name="_Toc18599"/>
      <w:bookmarkStart w:id="206" w:name="_Toc20802"/>
      <w:bookmarkStart w:id="207" w:name="_Toc18771"/>
      <w:bookmarkStart w:id="208" w:name="_Toc389"/>
      <w:bookmarkStart w:id="209" w:name="_Toc19267"/>
      <w:bookmarkStart w:id="210" w:name="_Toc25894"/>
      <w:bookmarkStart w:id="211" w:name="_Toc20102"/>
      <w:r>
        <w:rPr>
          <w:rFonts w:hint="eastAsia"/>
          <w:color w:val="auto"/>
        </w:rPr>
        <w:t>打好污染防治攻坚战</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0215D795">
      <w:pPr>
        <w:rPr>
          <w:rFonts w:ascii="仿宋" w:hAnsi="仿宋" w:cs="仿宋"/>
          <w:color w:val="auto"/>
        </w:rPr>
      </w:pPr>
      <w:r>
        <w:rPr>
          <w:rFonts w:hint="eastAsia" w:ascii="仿宋" w:hAnsi="仿宋" w:cs="仿宋"/>
          <w:color w:val="auto"/>
        </w:rPr>
        <w:t>坚持精准治污、科学治污、依法治污，打赢打好污染防治攻坚战，让仁化的天更蓝、山更绿、水更清、环境更优美。</w:t>
      </w:r>
    </w:p>
    <w:p w14:paraId="4EDB2BB5">
      <w:pPr>
        <w:ind w:firstLine="643"/>
        <w:rPr>
          <w:rFonts w:ascii="仿宋" w:hAnsi="仿宋" w:cs="仿宋"/>
          <w:color w:val="auto"/>
        </w:rPr>
      </w:pPr>
      <w:r>
        <w:rPr>
          <w:rFonts w:hint="eastAsia" w:ascii="仿宋" w:hAnsi="仿宋" w:cs="仿宋"/>
          <w:b/>
          <w:bCs/>
          <w:color w:val="auto"/>
        </w:rPr>
        <w:t>全面升级蓝天攻坚战。</w:t>
      </w:r>
      <w:r>
        <w:rPr>
          <w:rFonts w:hint="eastAsia" w:ascii="仿宋" w:hAnsi="仿宋" w:cs="仿宋"/>
          <w:color w:val="auto"/>
        </w:rPr>
        <w:t>深入推进电力、化工、建材、有色、危废处置等行业能效提升、清洁生产、循环利用等专项技术改造，加快推进园区产业结构调整和布局优化。在水泥、化工、有色金属冶炼等行业全面执行大气污染物特别排放限值。加强对电厂等重点燃烧废气企业脱硫脱硝和除尘设施的运行与监管，确保脱硫率、脱硝和除尘效率符合要求。加强挥发性有机物污染防治，严格控制区域挥发性有机物排放量。常态化、精细化开展扬尘专项整治和道路路域环境整治，确保扬尘治理6个“100%”落到实处。加强柴油货车污染治理，加强施工扬尘监管，禁止露天焚烧行为，切实加强秸秆禁烧管控，严格落实县、乡镇街道等各级政府的属地管理责任。</w:t>
      </w:r>
    </w:p>
    <w:p w14:paraId="2486313D">
      <w:pPr>
        <w:ind w:firstLine="707" w:firstLineChars="221"/>
        <w:rPr>
          <w:rFonts w:ascii="仿宋" w:hAnsi="仿宋" w:cs="仿宋"/>
          <w:color w:val="auto"/>
        </w:rPr>
      </w:pPr>
      <w:r>
        <w:rPr>
          <w:rFonts w:hint="eastAsia" w:ascii="仿宋" w:hAnsi="仿宋" w:cs="仿宋"/>
          <w:color w:val="auto"/>
        </w:rPr>
        <w:t>大力发展利用清洁能源，积极发展可再生能源，推广利用太阳能、光伏项目，加快建设完善天然气管网。大力实施新能源汽车推广应用示范工程，推广使用新能源和清洁能源车辆。实施更加严格的应急响应和减排应对措施，强化空气质量预测研判和污染天气应对。实现“十四五”期间全县空气优良天数比例保持在97%以上，二氧化碳排放力争于2030年前达到峰值。</w:t>
      </w:r>
    </w:p>
    <w:p w14:paraId="5FCD05CA">
      <w:pPr>
        <w:ind w:firstLine="643"/>
        <w:rPr>
          <w:rFonts w:ascii="仿宋" w:hAnsi="仿宋" w:cs="仿宋"/>
          <w:color w:val="auto"/>
        </w:rPr>
      </w:pPr>
      <w:r>
        <w:rPr>
          <w:rFonts w:hint="eastAsia" w:ascii="仿宋" w:hAnsi="仿宋" w:cs="仿宋"/>
          <w:b/>
          <w:bCs/>
          <w:color w:val="auto"/>
        </w:rPr>
        <w:t>全面升级碧水保卫战。</w:t>
      </w:r>
      <w:r>
        <w:rPr>
          <w:rFonts w:hint="eastAsia" w:ascii="仿宋" w:hAnsi="仿宋" w:cs="仿宋"/>
          <w:color w:val="auto"/>
        </w:rPr>
        <w:t>加强县级饮用水水源地规范化建设，统筹做好农村供水工程水源选址、风险源排查和水质监测等，补齐农村生态环境保护短板，建立水源地水质监控预警系统，推进农村饮用水源地的“划、立、治”安全保障工程建设，规范建设农村饮用水源保护范围标志、标识、隔离防护等设施。全面落实河长制、湖长制，完善流域水质监测预警体系建设，重点围绕锦江流域开展水环境综合治理工程，确保锦江水质绝对安全。</w:t>
      </w:r>
    </w:p>
    <w:p w14:paraId="37869539">
      <w:pPr>
        <w:rPr>
          <w:rFonts w:ascii="仿宋" w:hAnsi="仿宋" w:cs="仿宋"/>
          <w:color w:val="auto"/>
        </w:rPr>
      </w:pPr>
      <w:r>
        <w:rPr>
          <w:rFonts w:hint="eastAsia" w:ascii="仿宋" w:hAnsi="仿宋" w:cs="仿宋"/>
          <w:color w:val="auto"/>
        </w:rPr>
        <w:t>持续推进工业污染防治，鼓励各地探索引入第三方机构对企业污染物排放情况进行评估。加快园区及工业集聚区集中式污水处理设施的建设，推进园区污水处理厂的提标工作。推进仁化县重点污染源在线监控平台建设，强化对涉重金属排放企业的实时监控。大力推动畜禽养殖业升级改造，鼓励和引导发展高效规模养殖。加强地下水污染防治，重视地表水、地下水污染协同防治，强化土壤、地下水污染协同防治，加强地下水分区防治和重点污染源风险防控。加强水资源保障，水生态保护修复，水环境风险防控，入河排污口排查和整治。</w:t>
      </w:r>
    </w:p>
    <w:p w14:paraId="13C8115A">
      <w:pPr>
        <w:rPr>
          <w:rFonts w:ascii="仿宋" w:hAnsi="仿宋" w:cs="仿宋"/>
          <w:color w:val="auto"/>
        </w:rPr>
      </w:pPr>
      <w:r>
        <w:rPr>
          <w:rFonts w:hint="eastAsia" w:ascii="仿宋" w:hAnsi="仿宋" w:cs="仿宋"/>
          <w:color w:val="auto"/>
        </w:rPr>
        <w:t>完善雨污分流体系改造和建设，提高污水的收集效率和处理效率。强化农业农村污染防治，全面提升城镇污染治理，继续加强县城污水处理厂及建制镇污水处理设施及配套管网建设工程的建设。继续加大各乡镇生活污水的收集和治理。“十四五”期间，确保地表水考核断面水质优良比例保持100%，主要江河断面和集中式饮用水源水质100%达标，实现全县城镇污水处理率达到90%以上。高质量谋划推进碧道建设，打造“清水绿岸、鱼翔浅底”的水生态廊道。</w:t>
      </w:r>
    </w:p>
    <w:p w14:paraId="4D5EA0CA">
      <w:pPr>
        <w:ind w:firstLine="643"/>
        <w:rPr>
          <w:rFonts w:ascii="仿宋" w:hAnsi="仿宋" w:cs="仿宋"/>
          <w:color w:val="auto"/>
        </w:rPr>
      </w:pPr>
      <w:r>
        <w:rPr>
          <w:rFonts w:hint="eastAsia" w:ascii="仿宋" w:hAnsi="仿宋" w:cs="仿宋"/>
          <w:b/>
          <w:bCs/>
          <w:color w:val="auto"/>
        </w:rPr>
        <w:t>全面升级净土保卫战。</w:t>
      </w:r>
      <w:r>
        <w:rPr>
          <w:rFonts w:hint="eastAsia" w:ascii="仿宋" w:hAnsi="仿宋" w:cs="仿宋"/>
          <w:color w:val="auto"/>
        </w:rPr>
        <w:t>加强污染源头监管，做好土壤污染预防工作，严防工矿企业污染，严格控制农业污染，减少生活污染。加强涉重金属污染治理和绿色矿山建设，重点推进凡口矿等周边区域土壤治理与修复，切实保障土壤安全。加快污染防治重点工程项目的建设，提高固废处置处理能力及综合利用率。强化危险废物全过程监管，鼓励产生量大、种类单一的企业和园区自建规范化的危险废物处置设施，鼓励跨区域合作建设处置设施，推动水泥回转窑等工业窑炉协同处置危险废物。加强农业面源污染防治，实施源头控制、过程拦截、末端治理与循环利用相结合的综合防治措施。建设废弃农膜、农药包装物回收利用试点，在维持现有水平上，完成省市下达任务。持续推进土壤环境风险管控工作，实行农用地分类分级安全利用，实施化肥农药使用量负增长行动，有效提升农用地土地资源开发利用率，严格控制农业面源污染，有效管控土壤环境风险。</w:t>
      </w:r>
    </w:p>
    <w:p w14:paraId="75B7826E">
      <w:pPr>
        <w:pStyle w:val="4"/>
        <w:spacing w:before="654" w:after="654"/>
        <w:rPr>
          <w:color w:val="auto"/>
        </w:rPr>
      </w:pPr>
      <w:bookmarkStart w:id="212" w:name="_Toc17624"/>
      <w:bookmarkStart w:id="213" w:name="_Toc20229"/>
      <w:bookmarkStart w:id="214" w:name="_Toc31504"/>
      <w:bookmarkStart w:id="215" w:name="_Toc3043"/>
      <w:bookmarkStart w:id="216" w:name="_Toc19030"/>
      <w:bookmarkStart w:id="217" w:name="_Toc18007"/>
      <w:bookmarkStart w:id="218" w:name="_Toc26354"/>
      <w:bookmarkStart w:id="219" w:name="_Toc25161"/>
      <w:bookmarkStart w:id="220" w:name="_Toc17408"/>
      <w:bookmarkStart w:id="221" w:name="_Toc25164"/>
      <w:bookmarkStart w:id="222" w:name="_Toc505"/>
      <w:bookmarkStart w:id="223" w:name="_Toc19624"/>
      <w:bookmarkStart w:id="224" w:name="_Toc19934"/>
      <w:bookmarkStart w:id="225" w:name="_Toc16464"/>
      <w:bookmarkStart w:id="226" w:name="_Toc7704"/>
      <w:bookmarkStart w:id="227" w:name="_Toc20146"/>
      <w:bookmarkStart w:id="228" w:name="_Toc3970"/>
      <w:r>
        <w:rPr>
          <w:rFonts w:hint="eastAsia"/>
          <w:color w:val="auto"/>
        </w:rPr>
        <w:t>强化生态文明建设制度保障</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254A4138">
      <w:pPr>
        <w:rPr>
          <w:rFonts w:ascii="仿宋" w:hAnsi="仿宋" w:cs="仿宋"/>
          <w:color w:val="auto"/>
        </w:rPr>
      </w:pPr>
      <w:r>
        <w:rPr>
          <w:rFonts w:hint="eastAsia" w:ascii="仿宋" w:hAnsi="仿宋" w:cs="仿宋"/>
          <w:color w:val="auto"/>
        </w:rPr>
        <w:t>深化生态文明体制改革，加快建立系统完整的生态文明制度体系，加快形成生态文明建设的长效机制。</w:t>
      </w:r>
    </w:p>
    <w:p w14:paraId="67B52CAA">
      <w:pPr>
        <w:ind w:firstLine="643"/>
        <w:rPr>
          <w:rFonts w:ascii="仿宋" w:hAnsi="仿宋" w:cs="仿宋"/>
          <w:color w:val="auto"/>
        </w:rPr>
      </w:pPr>
      <w:r>
        <w:rPr>
          <w:rFonts w:hint="eastAsia" w:ascii="仿宋" w:hAnsi="仿宋" w:cs="仿宋"/>
          <w:b/>
          <w:bCs/>
          <w:color w:val="auto"/>
        </w:rPr>
        <w:t>健全资源有偿使用和生态补偿制度。</w:t>
      </w:r>
      <w:r>
        <w:rPr>
          <w:rFonts w:hint="eastAsia" w:ascii="仿宋" w:hAnsi="仿宋" w:cs="仿宋"/>
          <w:color w:val="auto"/>
        </w:rPr>
        <w:t>以“绿水青山就是金山银山”实践创新基地为抓手，健全资源有偿使用和生态补偿制度，完善国有土地资源有偿使用制度，完善国有建设用地有偿使用制度，探索建立国有农用地有偿使用制度。深化自然资源资产有偿使用，提高自然资源市场化配置水平，加强自然资源资产交易市场监管，探索公示自然资源价格，探索经营性全民所有自然资源有偿使用，开展自然资源资产分等定级价格评估，推进县级自然资源资产交易平台建设，提高自然资源资产交易服务水平。完善与生态发展区功能定位相匹配的政策体系，积极争取区域生态补偿、转移支付、产业扶持、搬迁安置等方面政策支持。建立健全生态保护补偿机制，探索建立多元化补偿机制，争取上级增加对重点生态功能区转移支付，健全生态公益林补偿标准动态调整机制，完善生态保护成效与资金分配挂钩的激励约束机制。落实桉树逐年退出计划，推进仁化县桉树林缩减和改造工作，提高仁化县生态功能和森林质效。探索将集体土地、林地等自然资源资产折算转变为企业、合作社的股权，资源变资产、农民变股东，让农民长期分享产权收益的实现路径。</w:t>
      </w:r>
    </w:p>
    <w:p w14:paraId="311FA9DF">
      <w:pPr>
        <w:ind w:firstLine="643"/>
        <w:rPr>
          <w:rFonts w:ascii="仿宋" w:hAnsi="仿宋" w:cs="仿宋"/>
          <w:color w:val="auto"/>
        </w:rPr>
      </w:pPr>
      <w:r>
        <w:rPr>
          <w:rFonts w:hint="eastAsia" w:ascii="仿宋" w:hAnsi="仿宋" w:cs="仿宋"/>
          <w:b/>
          <w:bCs/>
          <w:color w:val="auto"/>
        </w:rPr>
        <w:t>强化国土空间规划和用途管控</w:t>
      </w:r>
      <w:r>
        <w:rPr>
          <w:rFonts w:hint="eastAsia" w:ascii="仿宋" w:hAnsi="仿宋" w:cs="仿宋"/>
          <w:color w:val="auto"/>
        </w:rPr>
        <w:t>。完成全县国土空间规划编制，全面推进落实“三线一单”管控要求，科学划分生产、生活和生态三大空间，合理界定生态保护红线、永久基本农田保护红线和城镇开发边界，统筹优化生态、农业、城镇等功能空间布局，强化底线约束，实现“三区三线”精准落地。强化国土空间规划约束、指导作用，严格落实耕地保有量、永久基本农田、城乡建设用地规模等约束性指标，强化国土空间规划“一张图”的审核。加强国土空间用途管制力度，实施全域全类型的国土空间用途管制，探索国土空间管制和用途转用规则，严格重要生态空间和具有特殊重要生态功能区域的特殊管控，对永久基本农田实行特殊保护。发挥国土空间规划在生态文明建设中的源头管控作用，实行规划全周期管理，强化国土空间规划实施监督，建设国土空间规划监测评估预警管理系统，提升规划实施监督能力，建立健全实时监测、定期评估、及时预警和决策支持的信息化支撑体系。建立依据监督结果对国土空间规划实施责任主体进行绩效考核的机制。</w:t>
      </w:r>
    </w:p>
    <w:p w14:paraId="0C4810E3">
      <w:pPr>
        <w:ind w:firstLine="643"/>
        <w:rPr>
          <w:rFonts w:ascii="仿宋" w:hAnsi="仿宋" w:cs="仿宋"/>
          <w:color w:val="auto"/>
        </w:rPr>
      </w:pPr>
      <w:r>
        <w:rPr>
          <w:rFonts w:hint="eastAsia" w:ascii="仿宋" w:hAnsi="仿宋" w:cs="仿宋"/>
          <w:b/>
          <w:color w:val="auto"/>
        </w:rPr>
        <w:t>健全环境治理和生态保护市场体系。</w:t>
      </w:r>
      <w:r>
        <w:rPr>
          <w:rFonts w:hint="eastAsia" w:ascii="仿宋" w:hAnsi="仿宋" w:cs="仿宋"/>
          <w:color w:val="auto"/>
        </w:rPr>
        <w:t>培育环境治理和生态保护市场主体，推广政府和社会资本合作开展的环境治理和生态保护建设和运营，推动国有资本加大对环境治理和生态保护等方面的投入。积极推进排污权、用能权、用水权、碳排放权市场化交易。深化排污权交易试点，逐步扩大交易规模和范围。完善排污权核定、交易价格等制度规定。加快推进水权试点交易工作。建立绿色金融体系，探索制定绿色信贷政策导向评估制度，加大绿色金融组织和产品创新，建立绿色信贷机制，支持绿色产业拓宽融资渠道。</w:t>
      </w:r>
    </w:p>
    <w:p w14:paraId="55790C43">
      <w:pPr>
        <w:autoSpaceDE w:val="0"/>
        <w:spacing w:line="590" w:lineRule="exact"/>
        <w:ind w:firstLine="643"/>
        <w:rPr>
          <w:rFonts w:ascii="仿宋" w:hAnsi="仿宋" w:cs="仿宋"/>
          <w:color w:val="auto"/>
        </w:rPr>
      </w:pPr>
      <w:r>
        <w:rPr>
          <w:rFonts w:hint="eastAsia" w:ascii="仿宋" w:hAnsi="仿宋" w:cs="仿宋"/>
          <w:b/>
          <w:bCs/>
          <w:color w:val="auto"/>
        </w:rPr>
        <w:t>完善治理主体，构建多元共治现代治理模式。</w:t>
      </w:r>
      <w:r>
        <w:rPr>
          <w:rFonts w:hint="eastAsia" w:ascii="仿宋" w:hAnsi="仿宋" w:cs="仿宋"/>
          <w:color w:val="auto"/>
        </w:rPr>
        <w:t>落实企业治理主体责任，推动建立企业主要负责人第一责任人制度、企业环保专员制度，持续推进排污许可制改革，健全企业环保信用评价制度，坚持守信激励和失信惩戒相结合。完善环境污染问题发现、风险预警和应急处置机制，建立健全生态环境突出问题全过程闭环管理长效机制。实行最严格制度最严密法治保护生态环境，打造源头严防、过程严控、违者严惩的全过程监管体系。健全环境治理领导责任体系，严格实行生态环境保护党政同责、一岗双责，全面实施自然资源资产离任（任中）和生态环境保护审计，强化监督问责的末端落实，深化党政领导干部生态环境损害责任追究制度，深化党政领导干部生态文明建设和生态环境保护的政治责任，对领导干部离任后出现重大生态环境损害并认定其需要承担责任的，实行终身追责。完善生态环境技术帮扶机制，定期开展“送法规、送技术、送服务上门”活动。加强生态环境宣传教育，支持环保志愿者参与环保公益活动，培育环保社会组织专业化，完善信息公开机制，推行有奖举报。</w:t>
      </w:r>
    </w:p>
    <w:p w14:paraId="418267F9">
      <w:pPr>
        <w:pStyle w:val="4"/>
        <w:spacing w:before="654" w:after="654"/>
        <w:rPr>
          <w:color w:val="auto"/>
        </w:rPr>
      </w:pPr>
      <w:bookmarkStart w:id="229" w:name="_Toc3345"/>
      <w:bookmarkStart w:id="230" w:name="_Toc6966"/>
      <w:bookmarkStart w:id="231" w:name="_Toc17320"/>
      <w:bookmarkStart w:id="232" w:name="_Toc12525"/>
      <w:bookmarkStart w:id="233" w:name="_Toc8770"/>
      <w:bookmarkStart w:id="234" w:name="_Toc20963"/>
      <w:bookmarkStart w:id="235" w:name="_Toc19124"/>
      <w:bookmarkStart w:id="236" w:name="_Toc223"/>
      <w:bookmarkStart w:id="237" w:name="_Toc31006"/>
      <w:bookmarkStart w:id="238" w:name="_Toc31867"/>
      <w:bookmarkStart w:id="239" w:name="_Toc19874"/>
      <w:bookmarkStart w:id="240" w:name="_Toc18625"/>
      <w:bookmarkStart w:id="241" w:name="_Toc366"/>
      <w:bookmarkStart w:id="242" w:name="_Toc6324"/>
      <w:bookmarkStart w:id="243" w:name="_Toc21142"/>
      <w:bookmarkStart w:id="244" w:name="_Toc25580"/>
      <w:r>
        <w:rPr>
          <w:rFonts w:hint="eastAsia"/>
          <w:color w:val="auto"/>
        </w:rPr>
        <w:t>提高资源利用效率</w:t>
      </w:r>
      <w:bookmarkEnd w:id="229"/>
      <w:bookmarkEnd w:id="230"/>
      <w:bookmarkEnd w:id="231"/>
      <w:bookmarkEnd w:id="232"/>
      <w:bookmarkEnd w:id="233"/>
      <w:bookmarkEnd w:id="234"/>
      <w:bookmarkEnd w:id="235"/>
      <w:bookmarkEnd w:id="236"/>
      <w:bookmarkEnd w:id="237"/>
      <w:bookmarkEnd w:id="238"/>
      <w:bookmarkEnd w:id="239"/>
    </w:p>
    <w:p w14:paraId="5DB0FAC2">
      <w:pPr>
        <w:rPr>
          <w:rFonts w:ascii="仿宋" w:hAnsi="仿宋" w:cs="仿宋"/>
          <w:color w:val="auto"/>
        </w:rPr>
      </w:pPr>
      <w:r>
        <w:rPr>
          <w:rFonts w:hint="eastAsia" w:ascii="仿宋" w:hAnsi="仿宋" w:cs="仿宋"/>
          <w:color w:val="auto"/>
        </w:rPr>
        <w:t>以推动产业生态化、低碳化发展为导向，推动清洁生产、节能降碳、节约用水，促进资源循环利用。</w:t>
      </w:r>
    </w:p>
    <w:p w14:paraId="7DAE5E83">
      <w:pPr>
        <w:ind w:firstLine="643"/>
        <w:rPr>
          <w:rFonts w:ascii="仿宋" w:hAnsi="仿宋" w:cs="仿宋"/>
          <w:color w:val="auto"/>
        </w:rPr>
      </w:pPr>
      <w:r>
        <w:rPr>
          <w:rFonts w:hint="eastAsia" w:ascii="仿宋" w:hAnsi="仿宋" w:cs="仿宋"/>
          <w:b/>
          <w:bCs/>
          <w:color w:val="auto"/>
          <w:lang w:val="zh-CN"/>
        </w:rPr>
        <w:t>推进节能降耗。</w:t>
      </w:r>
      <w:r>
        <w:rPr>
          <w:rFonts w:hint="eastAsia" w:ascii="仿宋" w:hAnsi="仿宋" w:cs="仿宋"/>
          <w:color w:val="auto"/>
          <w:lang w:val="zh-CN"/>
        </w:rPr>
        <w:t>落实能源消费强度与消费总量“双控”制度，严格实施固定资产投资项目节能审查，加强重点行业节能监控，严格控制年综合能耗1000吨标准煤以上新上项目节能审查。加快开展全县煤炭消费减量管理，重点推进电力、建材、冶炼、危废处置等行业节能降耗工作。加强对高耗能、高污染行业的治理整顿，加快关停并转步伐，淘汰落后生产能力。加快推进绿色建筑发展，严格执行新建建筑节能监管措施，推动既有建筑节能改造，支持绿色生态小区建设。加强公共机构节能，降低公共机构单位建筑面积能耗、人均能耗和人均水耗。推广应用节能环保技术，鼓励开展合同能源管理。</w:t>
      </w:r>
    </w:p>
    <w:p w14:paraId="354A2683">
      <w:pPr>
        <w:ind w:firstLine="643"/>
        <w:rPr>
          <w:rFonts w:ascii="仿宋" w:hAnsi="仿宋" w:cs="仿宋"/>
          <w:color w:val="auto"/>
          <w:lang w:val="zh-CN"/>
        </w:rPr>
      </w:pPr>
      <w:r>
        <w:rPr>
          <w:rFonts w:hint="eastAsia" w:ascii="仿宋" w:hAnsi="仿宋" w:cs="仿宋"/>
          <w:b/>
          <w:bCs/>
          <w:color w:val="auto"/>
          <w:lang w:val="zh-CN"/>
        </w:rPr>
        <w:t>加强城市节水。</w:t>
      </w:r>
      <w:r>
        <w:rPr>
          <w:rFonts w:hint="eastAsia" w:ascii="仿宋" w:hAnsi="仿宋" w:cs="仿宋"/>
          <w:color w:val="auto"/>
          <w:lang w:val="zh-CN"/>
        </w:rPr>
        <w:t>积极推进节水型社会构建，健全以水资源总量控制与定额管理为核心的水资源管理体系，完善与水资源承载能力相适应的经济结构体系，完善水资源优化配置和高效利用的工程技术体系，切实转变全社会对水资源的粗放利用方式，完善公众自觉节水的行为规范体系，实现水资源可持续利用，在水资源高效利用的同时有效地保护生态环境。</w:t>
      </w:r>
      <w:r>
        <w:rPr>
          <w:rFonts w:hint="eastAsia" w:ascii="仿宋" w:hAnsi="仿宋" w:cs="仿宋"/>
          <w:color w:val="auto"/>
        </w:rPr>
        <w:t>保</w:t>
      </w:r>
      <w:r>
        <w:rPr>
          <w:rFonts w:hint="eastAsia" w:ascii="仿宋" w:hAnsi="仿宋" w:cs="仿宋"/>
          <w:color w:val="auto"/>
          <w:lang w:val="zh-CN"/>
        </w:rPr>
        <w:t>障经济社会的可持续发展。</w:t>
      </w:r>
    </w:p>
    <w:p w14:paraId="58550C89">
      <w:pPr>
        <w:ind w:firstLine="643"/>
        <w:rPr>
          <w:rFonts w:ascii="仿宋" w:hAnsi="仿宋" w:cs="仿宋"/>
          <w:color w:val="auto"/>
          <w:lang w:val="zh-CN"/>
        </w:rPr>
      </w:pPr>
      <w:r>
        <w:rPr>
          <w:rFonts w:hint="eastAsia" w:ascii="仿宋" w:hAnsi="仿宋" w:cs="仿宋"/>
          <w:b/>
          <w:bCs/>
          <w:color w:val="auto"/>
          <w:lang w:val="zh-CN"/>
        </w:rPr>
        <w:t>发展循环绿色经济。</w:t>
      </w:r>
      <w:r>
        <w:rPr>
          <w:rFonts w:hint="eastAsia" w:ascii="仿宋" w:hAnsi="仿宋" w:cs="仿宋"/>
          <w:color w:val="auto"/>
          <w:lang w:val="zh-CN"/>
        </w:rPr>
        <w:t>推进资源节约利用和循环利用，严控水资源消耗总量和强度，建立节约集约用地激励和约束机制。推进农作物秸秆综合利用。继续推广碳普惠试点成果，让更多贫困村受益。推行工业企业清洁生产。加快完成重点行业企业清洁化改造，开展专项后评价工作。对有色金属冶炼、危废处置等重点行业进行清洁生产审核，针对节能减排关键领域和薄弱环节，实施清洁生产先进技术改造。积极推广循环经济理念，扶持相关产业发展。深入推进工业园区循环化改造和工业“三废”资源化利用，提高资源产出率和循环利用率。</w:t>
      </w:r>
    </w:p>
    <w:p w14:paraId="7068D4D5">
      <w:pPr>
        <w:pStyle w:val="4"/>
        <w:spacing w:before="654" w:after="654"/>
        <w:rPr>
          <w:color w:val="auto"/>
        </w:rPr>
      </w:pPr>
      <w:bookmarkStart w:id="245" w:name="_Toc1361"/>
      <w:bookmarkStart w:id="246" w:name="_Toc23535"/>
      <w:bookmarkStart w:id="247" w:name="_Toc12597"/>
      <w:bookmarkStart w:id="248" w:name="_Toc25178"/>
      <w:bookmarkStart w:id="249" w:name="_Toc1941"/>
      <w:bookmarkStart w:id="250" w:name="_Toc32718"/>
      <w:bookmarkStart w:id="251" w:name="_Toc5123"/>
      <w:bookmarkStart w:id="252" w:name="_Toc6127"/>
      <w:bookmarkStart w:id="253" w:name="_Toc26509"/>
      <w:bookmarkStart w:id="254" w:name="_Toc28669"/>
      <w:bookmarkStart w:id="255" w:name="_Toc21015"/>
      <w:r>
        <w:rPr>
          <w:rFonts w:hint="eastAsia"/>
          <w:color w:val="auto"/>
        </w:rPr>
        <w:t>推进绿色低碳发展</w:t>
      </w:r>
      <w:bookmarkEnd w:id="22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2F0B7938">
      <w:pPr>
        <w:rPr>
          <w:rFonts w:ascii="仿宋" w:hAnsi="仿宋" w:cs="仿宋"/>
          <w:color w:val="auto"/>
        </w:rPr>
      </w:pPr>
      <w:r>
        <w:rPr>
          <w:rFonts w:hint="eastAsia" w:ascii="仿宋" w:hAnsi="仿宋" w:cs="仿宋"/>
          <w:color w:val="auto"/>
        </w:rPr>
        <w:t>倡导低碳生活和绿色消费模式，推行生活垃圾分类，形成崇尚生态文明和践行绿色低碳理念的社会新风尚。</w:t>
      </w:r>
    </w:p>
    <w:p w14:paraId="5A466356">
      <w:pPr>
        <w:ind w:firstLine="643"/>
        <w:rPr>
          <w:rFonts w:ascii="仿宋" w:hAnsi="仿宋" w:cs="仿宋"/>
          <w:color w:val="auto"/>
        </w:rPr>
      </w:pPr>
      <w:r>
        <w:rPr>
          <w:rFonts w:hint="eastAsia" w:ascii="仿宋" w:hAnsi="仿宋" w:cs="仿宋"/>
          <w:b/>
          <w:bCs/>
          <w:color w:val="auto"/>
          <w:lang w:val="zh-CN"/>
        </w:rPr>
        <w:t>促进绿色低碳发展。</w:t>
      </w:r>
      <w:r>
        <w:rPr>
          <w:rFonts w:hint="eastAsia" w:ascii="仿宋" w:hAnsi="仿宋" w:cs="仿宋"/>
          <w:color w:val="auto"/>
          <w:lang w:val="zh-CN"/>
        </w:rPr>
        <w:t>建立完善碳排放总量和强度“双控”机制，加强低碳发展基础能力建设，完善温室气体排放的统计监测核算体系。加快低碳技术革新与推广应用，实施一批碳捕集、利用和封存试验项目。提升应对气候变化能力，大力推广林业碳普惠，健全碳排放管理和交易制度。</w:t>
      </w:r>
      <w:r>
        <w:rPr>
          <w:rFonts w:hint="eastAsia" w:ascii="仿宋" w:hAnsi="仿宋" w:cs="仿宋"/>
          <w:color w:val="auto"/>
        </w:rPr>
        <w:t>持续压减淘汰落后和过剩产能，加快绿色技术创新，构建绿色制造体系，发展绿色建筑和节能环保产业，推进重点行业和重要领域绿色化改造，推动服务业绿色发展。</w:t>
      </w:r>
    </w:p>
    <w:p w14:paraId="70B50AB8">
      <w:pPr>
        <w:ind w:firstLine="643"/>
        <w:rPr>
          <w:rFonts w:ascii="仿宋" w:hAnsi="仿宋" w:cs="仿宋"/>
          <w:color w:val="auto"/>
        </w:rPr>
      </w:pPr>
      <w:r>
        <w:rPr>
          <w:rFonts w:hint="eastAsia" w:ascii="仿宋" w:hAnsi="仿宋" w:cs="仿宋"/>
          <w:b/>
          <w:bCs/>
          <w:color w:val="auto"/>
        </w:rPr>
        <w:t>大力推行生活垃圾分类</w:t>
      </w:r>
      <w:r>
        <w:rPr>
          <w:rFonts w:hint="eastAsia" w:ascii="仿宋" w:hAnsi="仿宋" w:cs="仿宋"/>
          <w:color w:val="auto"/>
        </w:rPr>
        <w:t>。通过采取综合利用、科学填埋和焚烧处理等技术，提升固体废物的减量化、资源化、无害化水平。完善城乡生活垃圾收运体系，合理规划现有收运站布局建设，生活垃圾的分类收集和处置，完善全县废旧用品分类回收体系建设，加强现有生活垃圾处理设施运行情况和填埋场渗滤液排放的环境监管，定期对垃圾填埋场的环境进行系统监测。积极开展农村生活垃圾分类和资源化利用试点建设工作。形成一批可复制、可推广的山区农村生活垃圾处理处置示范模式，积极衔接创新、协调、绿色、开放、共享的“无废城市”新发展理念，为后续推动建设“无废城市”工作奠定良好基础。到2022年，城口镇、石塘镇镇区试点实行生活垃圾分类，2025年全县所有镇区实现生活垃圾分类。</w:t>
      </w:r>
    </w:p>
    <w:p w14:paraId="5117AC2C">
      <w:pPr>
        <w:ind w:firstLine="643"/>
        <w:rPr>
          <w:rFonts w:ascii="仿宋" w:hAnsi="仿宋" w:cs="仿宋"/>
          <w:color w:val="auto"/>
        </w:rPr>
      </w:pPr>
      <w:r>
        <w:rPr>
          <w:rFonts w:hint="eastAsia" w:ascii="仿宋" w:hAnsi="仿宋" w:cs="仿宋"/>
          <w:b/>
          <w:bCs/>
          <w:color w:val="auto"/>
        </w:rPr>
        <w:t>倡导绿色低碳生活。</w:t>
      </w:r>
      <w:r>
        <w:rPr>
          <w:rFonts w:hint="eastAsia" w:ascii="仿宋" w:hAnsi="仿宋" w:cs="仿宋"/>
          <w:color w:val="auto"/>
        </w:rPr>
        <w:t>开展绿色节能生活理念信息公开、宣传、教育、培训等，推进全社会生态文明观和绿色价值观的形成，赋能社会组织和公众参与、监督，推动绿色经济转型和增长，践行绿色低碳、文明健康的生活方式和消费模式。积极发展绿色出行，实现物流货运、交通出行、交通工具的低碳化。</w:t>
      </w:r>
      <w:r>
        <w:rPr>
          <w:rFonts w:hint="eastAsia" w:ascii="仿宋" w:hAnsi="仿宋" w:cs="仿宋"/>
          <w:color w:val="auto"/>
          <w:lang w:val="zh-CN"/>
        </w:rPr>
        <w:t>加强绿道与公共交通的衔接，培育慢行交通网络。大力推进公交电动化和其他领域新能源汽车推广运用，加快充电设施网络建设。</w:t>
      </w:r>
      <w:r>
        <w:rPr>
          <w:rFonts w:hint="eastAsia" w:ascii="仿宋" w:hAnsi="仿宋" w:cs="仿宋"/>
          <w:color w:val="auto"/>
        </w:rPr>
        <w:t>加强绿色低碳产品的推广与应用，积极生产和使用节水节能节材产品、再生产品，减少一次性用品和包装材料的使用。推进城市碳排放精细化管理，推广绿色建筑，强化商业及公共建筑低碳化管理。推动节约型社会建设。积极开展创建节约型机关、节约型企业、节约型学校、节约型社会等活动，营造全社会节约资源、保护环境的良好氛围。大力弘扬生态文明价值理念，开展绿色低碳生活创建活动，通过宣传教育、舆论监督，辅以一定的行政和法规，推动形成全社会崇尚自然、爱护环境、绿色生产、低碳生活的自觉。</w:t>
      </w:r>
    </w:p>
    <w:p w14:paraId="74F6954A">
      <w:pPr>
        <w:pStyle w:val="3"/>
        <w:spacing w:before="218" w:after="218"/>
        <w:rPr>
          <w:color w:val="auto"/>
        </w:rPr>
      </w:pPr>
      <w:bookmarkStart w:id="256" w:name="_Toc9878"/>
      <w:bookmarkStart w:id="257" w:name="_Toc29359"/>
      <w:bookmarkStart w:id="258" w:name="_Toc25762"/>
      <w:bookmarkStart w:id="259" w:name="_Toc23374"/>
      <w:bookmarkStart w:id="260" w:name="_Toc24887"/>
      <w:bookmarkStart w:id="261" w:name="_Toc1950"/>
      <w:bookmarkStart w:id="262" w:name="_Toc28586"/>
      <w:bookmarkStart w:id="263" w:name="_Toc5129"/>
      <w:bookmarkStart w:id="264" w:name="_Toc13372"/>
      <w:bookmarkStart w:id="265" w:name="_Toc15106"/>
      <w:bookmarkStart w:id="266" w:name="_Toc28406"/>
      <w:bookmarkStart w:id="267" w:name="_Toc32752"/>
      <w:bookmarkStart w:id="268" w:name="_Toc13471"/>
      <w:bookmarkStart w:id="269" w:name="_Toc32305"/>
      <w:bookmarkStart w:id="270" w:name="_Toc23368"/>
      <w:bookmarkStart w:id="271" w:name="_Toc14541"/>
      <w:r>
        <w:rPr>
          <w:rFonts w:hint="eastAsia"/>
          <w:color w:val="auto"/>
        </w:rPr>
        <w:t>坚持创新驱动发展，增强高质量发展新动能</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0D525D57">
      <w:pPr>
        <w:rPr>
          <w:rFonts w:ascii="仿宋" w:hAnsi="仿宋" w:cs="仿宋"/>
          <w:color w:val="auto"/>
        </w:rPr>
      </w:pPr>
      <w:r>
        <w:rPr>
          <w:rFonts w:hint="eastAsia" w:ascii="仿宋" w:hAnsi="仿宋" w:cs="仿宋"/>
          <w:color w:val="auto"/>
        </w:rPr>
        <w:t>以韶关建设国家产业转型升级示范区为契机，坚持创新在支撑引领经济社会高质量发展的核心地位，加快科技创新载体建设，强化企业创新主体地位，形成更灵活开放、更富有活力的科技创新体制机制，打造有利于创新驱动发展的创新生态。到2025年，全社会研究与开发（R&amp;D）投入占地区生产总值（GDP）的比重力争稳定在1%，国家高新技术企业数量达到18家，规模以上工业企业建立研发机构的比例达到50%以上。</w:t>
      </w:r>
    </w:p>
    <w:p w14:paraId="7C584592">
      <w:pPr>
        <w:pStyle w:val="4"/>
        <w:spacing w:before="654" w:after="654"/>
        <w:rPr>
          <w:color w:val="auto"/>
        </w:rPr>
      </w:pPr>
      <w:bookmarkStart w:id="272" w:name="_Toc22381"/>
      <w:bookmarkStart w:id="273" w:name="_Toc29721"/>
      <w:bookmarkStart w:id="274" w:name="_Toc20497"/>
      <w:bookmarkStart w:id="275" w:name="_Toc14763"/>
      <w:bookmarkStart w:id="276" w:name="_Toc14034"/>
      <w:bookmarkStart w:id="277" w:name="_Toc31317"/>
      <w:bookmarkStart w:id="278" w:name="_Toc3247"/>
      <w:bookmarkStart w:id="279" w:name="_Toc19481"/>
      <w:bookmarkStart w:id="280" w:name="_Toc7080"/>
      <w:bookmarkStart w:id="281" w:name="_Toc23828"/>
      <w:bookmarkStart w:id="282" w:name="_Toc30809"/>
      <w:bookmarkStart w:id="283" w:name="_Toc17173"/>
      <w:bookmarkStart w:id="284" w:name="_Toc15745"/>
      <w:bookmarkStart w:id="285" w:name="_Toc18618"/>
      <w:bookmarkStart w:id="286" w:name="_Toc30002"/>
      <w:bookmarkStart w:id="287" w:name="_Toc57277040"/>
      <w:bookmarkStart w:id="288" w:name="_Toc30299"/>
      <w:r>
        <w:rPr>
          <w:rFonts w:hint="eastAsia"/>
          <w:color w:val="auto"/>
        </w:rPr>
        <w:t>加强科技创新平台建设</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29B1C8AE">
      <w:pPr>
        <w:rPr>
          <w:rFonts w:ascii="仿宋" w:hAnsi="仿宋" w:cs="仿宋"/>
          <w:color w:val="auto"/>
        </w:rPr>
      </w:pPr>
      <w:r>
        <w:rPr>
          <w:rFonts w:hint="eastAsia" w:ascii="仿宋" w:hAnsi="仿宋" w:cs="仿宋"/>
          <w:color w:val="auto"/>
        </w:rPr>
        <w:t>提高绿色工业发展质量，支持省级产业转移工业园区以创建省级高新区为抓手加快转型升级，将高新区建设成对接“双区”的创新资源集聚平台。以国家现代农业示范区、国家农业科技园区核心区为载体，建立农业科研协同创新平台，带动农业技术升级。把握韶关建设国家高新区和创建国家级孵化器的发展契机，与经济发达地区合作，努力吸引和集聚以先进有色金属材料为主导的科研院研究中心、重点实验室等研究机构落户仁化，争取更多“双区”创新资源在仁化布局，构建多种形式的“飞地经济”模式。鼓励和引导更多的企业或其他单位自建或联合建设新型研发机构，落实惠企政策，促进产业转型升级。依托现有研学基地，全面加强校地交流合作，积极对接高校科技创新资源，打造校地协同创新平台促进教育科技化融合发展，不断激发创新创业活力量。</w:t>
      </w:r>
    </w:p>
    <w:p w14:paraId="635825E8">
      <w:pPr>
        <w:pStyle w:val="4"/>
        <w:spacing w:before="654" w:after="654"/>
        <w:rPr>
          <w:color w:val="auto"/>
        </w:rPr>
      </w:pPr>
      <w:bookmarkStart w:id="289" w:name="_Toc5985"/>
      <w:bookmarkStart w:id="290" w:name="_Toc28415"/>
      <w:bookmarkStart w:id="291" w:name="_Toc29692"/>
      <w:bookmarkStart w:id="292" w:name="_Toc11927"/>
      <w:bookmarkStart w:id="293" w:name="_Toc28359"/>
      <w:bookmarkStart w:id="294" w:name="_Toc16182"/>
      <w:bookmarkStart w:id="295" w:name="_Toc6251"/>
      <w:bookmarkStart w:id="296" w:name="_Toc11177"/>
      <w:bookmarkStart w:id="297" w:name="_Toc7092"/>
      <w:bookmarkStart w:id="298" w:name="_Toc19277"/>
      <w:bookmarkStart w:id="299" w:name="_Toc24026"/>
      <w:bookmarkStart w:id="300" w:name="_Toc15779"/>
      <w:bookmarkStart w:id="301" w:name="_Toc23220"/>
      <w:bookmarkStart w:id="302" w:name="_Toc22824"/>
      <w:bookmarkStart w:id="303" w:name="_Toc19804"/>
      <w:bookmarkStart w:id="304" w:name="_Toc16089"/>
      <w:r>
        <w:rPr>
          <w:rFonts w:hint="eastAsia"/>
          <w:color w:val="auto"/>
        </w:rPr>
        <w:t>提升创新驱动发展能力</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53AD6E0D">
      <w:pPr>
        <w:rPr>
          <w:rFonts w:ascii="仿宋" w:hAnsi="仿宋" w:cs="仿宋"/>
          <w:color w:val="auto"/>
        </w:rPr>
      </w:pPr>
      <w:r>
        <w:rPr>
          <w:rFonts w:hint="eastAsia" w:ascii="仿宋" w:hAnsi="仿宋" w:cs="仿宋"/>
          <w:color w:val="auto"/>
        </w:rPr>
        <w:t>强化企业创新主体地位，促进创新要素向企业集聚，发挥大企业引领支撑作用，大力培育高新技术企业和科技型中小企业，建立创新企业培育后备库，加快培育更多“专精特新”企业，促进初创型成长性科创企业发展。实施企业技术创新发展和倍增计划，培育一批在行业中具有较强技术水平和市场竞争力的创新型企业；以骨干企业为主体，鼓励和支持企业技术中心的建设。主动对接省内外高校院所，提高新技术企业研发新产品、开发新工艺、推广应用新技术成果等创新能力。加快构建技术创新中心体系，加强共性技术平台建设，支持企业牵头组建创新联合体和知识产权联盟，承担重大科技项目。建立完善以企业为主体、市场为导向、产学研深度融合的技术创新体系。主动对接“双区”孵化器、加速器运营单位等，立足仁化现有的有色金属、储能材料及动力电池、优质农产品三大优势传统产业基础，加强产业链建链、补链、强链，重点瞄准本地主导产业链中缺失的关键环节，探索构建“湾区孵化+仁化制造”的合作模式，吸引科技创新型企业在仁化建设生产基地，打造大湾区科技成果转移转化区。引进发展研发设计、技术转移、知识产权等科技服务业，着力构建有利于技术转移与交易、成果转化与产业化的科技服务体系。</w:t>
      </w:r>
    </w:p>
    <w:p w14:paraId="1A8962FE">
      <w:pPr>
        <w:pStyle w:val="4"/>
        <w:spacing w:before="654" w:after="654"/>
        <w:rPr>
          <w:color w:val="auto"/>
        </w:rPr>
      </w:pPr>
      <w:bookmarkStart w:id="305" w:name="_Toc4075"/>
      <w:bookmarkStart w:id="306" w:name="_Toc2006"/>
      <w:bookmarkStart w:id="307" w:name="_Toc23698"/>
      <w:bookmarkStart w:id="308" w:name="_Toc20351"/>
      <w:bookmarkStart w:id="309" w:name="_Toc10278"/>
      <w:bookmarkStart w:id="310" w:name="_Toc19688"/>
      <w:bookmarkStart w:id="311" w:name="_Toc23869"/>
      <w:bookmarkStart w:id="312" w:name="_Toc32418"/>
      <w:bookmarkStart w:id="313" w:name="_Toc31710"/>
      <w:bookmarkStart w:id="314" w:name="_Toc11811"/>
      <w:bookmarkStart w:id="315" w:name="_Toc24681"/>
      <w:bookmarkStart w:id="316" w:name="_Toc27560"/>
      <w:bookmarkStart w:id="317" w:name="_Toc1618"/>
      <w:bookmarkStart w:id="318" w:name="_Toc17751"/>
      <w:bookmarkStart w:id="319" w:name="_Toc5223"/>
      <w:bookmarkStart w:id="320" w:name="_Toc14489"/>
      <w:bookmarkStart w:id="321" w:name="_Toc57277042"/>
      <w:r>
        <w:rPr>
          <w:rFonts w:hint="eastAsia"/>
          <w:color w:val="auto"/>
        </w:rPr>
        <w:t>积极承接科技成果转化</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7F3B4C6C">
      <w:pPr>
        <w:rPr>
          <w:rFonts w:ascii="仿宋" w:hAnsi="仿宋" w:cs="仿宋"/>
          <w:color w:val="auto"/>
        </w:rPr>
      </w:pPr>
      <w:r>
        <w:rPr>
          <w:rFonts w:hint="eastAsia" w:ascii="仿宋" w:hAnsi="仿宋" w:cs="仿宋"/>
          <w:color w:val="auto"/>
        </w:rPr>
        <w:t>围绕仁化县重点产业领域，建设产学研合作联盟，遴选支持一批创新度高、市场前景好的科技成果，鼓励中介机构和技术经纪人对国内外先进技术成果进行捕捉寻找。健全创业园区、产业园区运营机制，鼓励发展各类孵化器，完善创业孵化链条。设置产业发展基金，集中支持种子期、初创期科技成果转化。</w:t>
      </w:r>
    </w:p>
    <w:p w14:paraId="37AB6F65">
      <w:pPr>
        <w:pStyle w:val="4"/>
        <w:spacing w:before="654" w:after="654"/>
        <w:rPr>
          <w:color w:val="auto"/>
        </w:rPr>
      </w:pPr>
      <w:bookmarkStart w:id="322" w:name="_Toc31929"/>
      <w:bookmarkStart w:id="323" w:name="_Toc28775"/>
      <w:bookmarkStart w:id="324" w:name="_Toc27888"/>
      <w:bookmarkStart w:id="325" w:name="_Toc23997"/>
      <w:bookmarkStart w:id="326" w:name="_Toc30663"/>
      <w:bookmarkStart w:id="327" w:name="_Toc16474"/>
      <w:bookmarkStart w:id="328" w:name="_Toc6102"/>
      <w:bookmarkStart w:id="329" w:name="_Toc942"/>
      <w:bookmarkStart w:id="330" w:name="_Toc17845"/>
      <w:bookmarkStart w:id="331" w:name="_Toc4021"/>
      <w:bookmarkStart w:id="332" w:name="_Toc17827"/>
      <w:bookmarkStart w:id="333" w:name="_Toc17711"/>
      <w:bookmarkStart w:id="334" w:name="_Toc28880"/>
      <w:bookmarkStart w:id="335" w:name="_Toc6881"/>
      <w:bookmarkStart w:id="336" w:name="_Toc24329"/>
      <w:bookmarkStart w:id="337" w:name="_Toc25681"/>
      <w:r>
        <w:rPr>
          <w:rFonts w:hint="eastAsia"/>
          <w:color w:val="auto"/>
        </w:rPr>
        <w:t>完善科技创新体制机制</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087D844D">
      <w:pPr>
        <w:rPr>
          <w:rFonts w:ascii="仿宋" w:hAnsi="仿宋" w:cs="仿宋"/>
          <w:color w:val="auto"/>
        </w:rPr>
      </w:pPr>
      <w:r>
        <w:rPr>
          <w:rFonts w:hint="eastAsia" w:ascii="仿宋" w:hAnsi="仿宋" w:cs="仿宋"/>
          <w:color w:val="auto"/>
        </w:rPr>
        <w:t>鼓励企业建立完善研发准备金制度，全面落实企业研发费用加计扣除和技改创新政策，推动企业加大科技研发投入。鼓励私募股权和创业投资管理企业落户仁化，实施知识产权质押贷款行动，加大对科技型中小企业信贷支持力度，加快建成促进科技创新创业的科技金融服务体系。完善技术创新市场导向机制，建立有利于成果转化、创新产出的引导机制。</w:t>
      </w:r>
    </w:p>
    <w:p w14:paraId="6220231F">
      <w:pPr>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r>
        <w:rPr>
          <w:rFonts w:hint="eastAsia" w:ascii="仿宋" w:hAnsi="仿宋" w:cs="仿宋"/>
          <w:color w:val="auto"/>
        </w:rPr>
        <w:t>加强人才政策落地，以创新平台和高能级产业发展平台为载体，加快吸引聚集一批高素质创新性人才，探索搭建柔性引才机制，引进高层次人才、领军人才、创新人才；优化人才认定、人才培养和评价体系，围绕新兴产业领域引进培养一批“高精尖缺”创新创业人才，加大“本土人才”培育力度，重点培育以科技人员、民营企业家及新生代企业家、青年大学生为代表的创业创新队伍，加强基础教育，培养创新意识；深化人才体制改革和政策创新，推动人才建设与产业链、创业链有机衔接，形成更有竞争力的人才制度优势；完善人才激励机制，加大人才工作经费投入，并纳入地方财政预算，综合运用财政支持、创业投资引导、政策性金融等手段，吸引各类高端人才来仁化创新创业，实行以增加知识价值为导向的分配政策，提高科研人员推动成果转化的积极性。全面加强科普组织、科普队伍和科普阵地建设，加大科学普法力度，提高全民科学素质。</w:t>
      </w:r>
    </w:p>
    <w:p w14:paraId="330A49CC">
      <w:pPr>
        <w:pStyle w:val="3"/>
        <w:spacing w:before="218" w:after="218"/>
        <w:rPr>
          <w:color w:val="auto"/>
        </w:rPr>
      </w:pPr>
      <w:bookmarkStart w:id="338" w:name="_Toc11737"/>
      <w:bookmarkStart w:id="339" w:name="_Toc30676"/>
      <w:bookmarkStart w:id="340" w:name="_Toc3802"/>
      <w:bookmarkStart w:id="341" w:name="_Toc12167"/>
      <w:bookmarkStart w:id="342" w:name="_Toc18244"/>
      <w:bookmarkStart w:id="343" w:name="_Toc21522"/>
      <w:bookmarkStart w:id="344" w:name="_Toc1993"/>
      <w:bookmarkStart w:id="345" w:name="_Toc4738"/>
      <w:bookmarkStart w:id="346" w:name="_Toc18924"/>
      <w:bookmarkStart w:id="347" w:name="_Toc5953"/>
      <w:bookmarkStart w:id="348" w:name="_Toc10935"/>
      <w:bookmarkStart w:id="349" w:name="_Toc19079"/>
      <w:bookmarkStart w:id="350" w:name="_Toc5498"/>
      <w:bookmarkStart w:id="351" w:name="_Toc493"/>
      <w:bookmarkStart w:id="352" w:name="_Toc23097"/>
      <w:bookmarkStart w:id="353" w:name="_Toc21225"/>
      <w:r>
        <w:rPr>
          <w:rFonts w:hint="eastAsia"/>
          <w:color w:val="auto"/>
        </w:rPr>
        <w:t>加快构建生态产业体系，塑造高质量发展</w:t>
      </w:r>
    </w:p>
    <w:p w14:paraId="3D10AFA2">
      <w:pPr>
        <w:pStyle w:val="3"/>
        <w:numPr>
          <w:ilvl w:val="0"/>
          <w:numId w:val="0"/>
        </w:numPr>
        <w:spacing w:before="218" w:after="218"/>
        <w:rPr>
          <w:rFonts w:ascii="仿宋" w:hAnsi="仿宋" w:cs="仿宋"/>
          <w:color w:val="auto"/>
        </w:rPr>
      </w:pPr>
      <w:r>
        <w:rPr>
          <w:rFonts w:hint="eastAsia" w:ascii="仿宋" w:hAnsi="仿宋" w:cs="仿宋"/>
          <w:color w:val="auto"/>
        </w:rPr>
        <w:t>新优势</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8CAC1CB">
      <w:pPr>
        <w:rPr>
          <w:rFonts w:ascii="仿宋" w:hAnsi="仿宋" w:cs="仿宋"/>
          <w:color w:val="auto"/>
        </w:rPr>
      </w:pPr>
      <w:r>
        <w:rPr>
          <w:rFonts w:hint="eastAsia" w:ascii="仿宋" w:hAnsi="仿宋" w:cs="仿宋"/>
          <w:color w:val="auto"/>
        </w:rPr>
        <w:t>大力发展“需要山水而不污染山水”的生态产业，深入推进“一线两带两区”建设，加快构建与北部生态功能区发展功能相适应的绿色产业体系，切实把生态优势转化为产业优势、竞争优势和发展优势。</w:t>
      </w:r>
    </w:p>
    <w:p w14:paraId="1EB6BA2C">
      <w:pPr>
        <w:pStyle w:val="4"/>
        <w:spacing w:before="654" w:after="654"/>
        <w:rPr>
          <w:color w:val="auto"/>
        </w:rPr>
      </w:pPr>
      <w:bookmarkStart w:id="354" w:name="_Toc15218"/>
      <w:bookmarkStart w:id="355" w:name="_Toc11436"/>
      <w:bookmarkStart w:id="356" w:name="_Toc29301"/>
      <w:bookmarkStart w:id="357" w:name="_Toc31534"/>
      <w:bookmarkStart w:id="358" w:name="_Toc8037"/>
      <w:bookmarkStart w:id="359" w:name="_Toc23549"/>
      <w:bookmarkStart w:id="360" w:name="_Toc11925"/>
      <w:bookmarkStart w:id="361" w:name="_Toc352"/>
      <w:bookmarkStart w:id="362" w:name="_Toc5964"/>
      <w:bookmarkStart w:id="363" w:name="_Toc17380"/>
      <w:bookmarkStart w:id="364" w:name="_Toc1070"/>
      <w:bookmarkStart w:id="365" w:name="_Toc32661"/>
      <w:bookmarkStart w:id="366" w:name="_Toc9476"/>
      <w:bookmarkStart w:id="367" w:name="_Toc9730"/>
      <w:bookmarkStart w:id="368" w:name="_Toc5539"/>
      <w:bookmarkStart w:id="369" w:name="_Toc23946"/>
      <w:r>
        <w:rPr>
          <w:rFonts w:hint="eastAsia"/>
          <w:color w:val="auto"/>
        </w:rPr>
        <w:t>大力发展生态农业</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5F69CF2">
      <w:pPr>
        <w:rPr>
          <w:rFonts w:ascii="仿宋" w:hAnsi="仿宋" w:cs="仿宋"/>
          <w:color w:val="auto"/>
        </w:rPr>
      </w:pPr>
      <w:r>
        <w:rPr>
          <w:rFonts w:hint="eastAsia" w:ascii="仿宋" w:hAnsi="仿宋" w:cs="仿宋"/>
          <w:color w:val="auto"/>
        </w:rPr>
        <w:t>坚持质量兴农、科技兴农、品牌强农，把生态农业作为农业产业发展的主攻方向，围绕武深高速打造现代特色农业经济带。大力扶持林业产业和林下经济发展，推动生态产业化和产业生态化。深化农业供给侧结构性改革，大力发展特色高效精致农业，着力构建现代农业产业体系，促进农业由增产向提质转变。培育壮大新型农业经营主体，引进和发展一批农业龙头企业。提高农产品精深加工水平，培育更多高附加值的优质农产品，提升生态农业设施化、品牌化、数字化水平，打响仁化农业品牌，着力打造“双区”优质农产品生产供应基地。</w:t>
      </w:r>
    </w:p>
    <w:p w14:paraId="2F7D58A9">
      <w:pPr>
        <w:ind w:firstLine="643"/>
        <w:rPr>
          <w:rFonts w:ascii="仿宋" w:hAnsi="仿宋" w:cs="仿宋"/>
          <w:color w:val="auto"/>
        </w:rPr>
      </w:pPr>
      <w:bookmarkStart w:id="370" w:name="_Toc13753"/>
      <w:bookmarkStart w:id="371" w:name="_Toc11660"/>
      <w:r>
        <w:rPr>
          <w:rFonts w:hint="eastAsia" w:ascii="仿宋" w:hAnsi="仿宋" w:cs="仿宋"/>
          <w:b/>
          <w:bCs/>
          <w:color w:val="auto"/>
        </w:rPr>
        <w:t>稳定粮食生产能力</w:t>
      </w:r>
      <w:bookmarkEnd w:id="370"/>
      <w:bookmarkEnd w:id="371"/>
      <w:r>
        <w:rPr>
          <w:rFonts w:hint="eastAsia" w:ascii="仿宋" w:hAnsi="仿宋" w:cs="仿宋"/>
          <w:color w:val="auto"/>
        </w:rPr>
        <w:t>。始终紧绷“稳粮”这根弦，稳步推进高标准农田建设，继续实施藏粮于地战略，保障粮食安全。严守耕地红线，全面落实永久基本农田特殊保护制度，开展耕地质量提升行动，到2025年，粮食面积稳定在15万亩以上，蔬菜面积达5万亩以上、生猪供应稳定在20万头以上。统筹推进粮食生产功能区和重要农产品生产保护区建设，打造布局合理、数量充足、设施完善、产能提升、管护到位、生产现代化的“两区”。集中建设一批千亩以上高标准农田，建立健全“明确事权、改革产权、多元投入、建管结合”高标准农田建管机制，力争到2025年建成高标准农田27万亩。大力发展优质专用品牌粮食基地。完善农业支持保护制度，增强粮食安全生产能力，严格落实农业补贴政策，推广各种适应新型农业经营主体需求的农业保险。</w:t>
      </w:r>
    </w:p>
    <w:p w14:paraId="71474DA5">
      <w:pPr>
        <w:ind w:firstLine="643"/>
        <w:rPr>
          <w:rFonts w:ascii="仿宋" w:hAnsi="仿宋" w:cs="仿宋"/>
          <w:color w:val="auto"/>
        </w:rPr>
      </w:pPr>
      <w:bookmarkStart w:id="372" w:name="_Toc4916"/>
      <w:bookmarkStart w:id="373" w:name="_Toc11955"/>
      <w:r>
        <w:rPr>
          <w:rFonts w:hint="eastAsia" w:ascii="仿宋" w:hAnsi="仿宋" w:cs="仿宋"/>
          <w:b/>
          <w:bCs/>
          <w:color w:val="auto"/>
        </w:rPr>
        <w:t>加快构建现代特色精致农业产业体系</w:t>
      </w:r>
      <w:bookmarkEnd w:id="372"/>
      <w:bookmarkEnd w:id="373"/>
      <w:r>
        <w:rPr>
          <w:rFonts w:hint="eastAsia" w:ascii="仿宋" w:hAnsi="仿宋" w:cs="仿宋"/>
          <w:b/>
          <w:bCs/>
          <w:color w:val="auto"/>
        </w:rPr>
        <w:t>。</w:t>
      </w:r>
      <w:r>
        <w:rPr>
          <w:rFonts w:hint="eastAsia" w:ascii="仿宋" w:hAnsi="仿宋" w:cs="仿宋"/>
          <w:color w:val="auto"/>
        </w:rPr>
        <w:t>发挥3个国字号农业品牌优势，推动武深高速沿线农业适度规模发展经营，打造特色农业产业集中区。围绕武深高速沿线农业特色优势，加快推进精致农业产业发展，打造一批精致农业示范点。依托良好产业基础，发挥特色资源优势，推进农业布局优化和结构调整，进一步做大做强茶叶、水果、蔬菜、中药材、油茶、生猪、黑山羊及稻渔综合种养等特色主导产业，大力建设和改造提升特色农产品标准化生产基地、加工基地、仓储物流基地，推进“产加销服”“科工贸旅”一体化发展，建设一批具有竞争力的特色产业集群，形成“一村一品”、“一镇一业”发展格局。扎实推进粤港澳大湾区“信誉农场”“菜篮子”基地建设。以韶关金喆园生态农业有限公司仁化县水果种植基地、仁化县橘颂生态农业有限公司仁化县柑橘种植基地入选2020年广东省农产品出口示范基地为契机，按照省委“全产业链发展富民兴村特色优势产业”的工作要求，做强“一县多园、一镇一业、一村一品”，打造贡柑、沙田柚、茶叶、毛竹等特色优势产业带，培育一批高附加值的优质产品和驰名品牌，让仁化优质农产品风行“双区”、畅销省内、走向全国、远销海外。</w:t>
      </w:r>
    </w:p>
    <w:p w14:paraId="6D94BD20">
      <w:pPr>
        <w:ind w:firstLine="643"/>
        <w:rPr>
          <w:rFonts w:ascii="仿宋" w:hAnsi="仿宋" w:cs="仿宋"/>
          <w:color w:val="auto"/>
        </w:rPr>
      </w:pPr>
      <w:bookmarkStart w:id="374" w:name="_Toc20290"/>
      <w:bookmarkStart w:id="375" w:name="_Toc30388"/>
      <w:r>
        <w:rPr>
          <w:rFonts w:hint="eastAsia" w:ascii="仿宋" w:hAnsi="仿宋" w:cs="仿宋"/>
          <w:b/>
          <w:bCs/>
          <w:color w:val="auto"/>
        </w:rPr>
        <w:t>加强农业平台载体建设</w:t>
      </w:r>
      <w:bookmarkEnd w:id="374"/>
      <w:bookmarkEnd w:id="375"/>
      <w:r>
        <w:rPr>
          <w:rFonts w:hint="eastAsia" w:ascii="仿宋" w:hAnsi="仿宋" w:cs="仿宋"/>
          <w:b/>
          <w:bCs/>
          <w:color w:val="auto"/>
        </w:rPr>
        <w:t>。</w:t>
      </w:r>
      <w:r>
        <w:rPr>
          <w:rFonts w:hint="eastAsia" w:ascii="仿宋" w:hAnsi="仿宋" w:cs="仿宋"/>
          <w:color w:val="auto"/>
        </w:rPr>
        <w:t>全力推进国家现代农业示范区、仁化贡柑中国特色农产品优势区、国家科技园核心区和省级柑橘现代农业产业园建设。对标高质量建设服务“双区”优质农产品供应地，积极做好茶叶、毛竹、柑橘等省级、国家级现代农业产业园申报创建工作。加快建设生猪优势产区现代农业产业园建设，推进温氏高标准养殖项目。大力发展精致农业，围绕仁化县优势特色主导产业，推进特色农产品加工集聚区建设，加快建设一批农产品加工产业强镇，全力打造好黄坑贡柑、长坝沙田柚、仁化白毛茶3个精致农业示范点。高质量建设服务“双区”优质农产品供应地、农旅产业融合发展区和现代农业产业示范园区等。</w:t>
      </w:r>
    </w:p>
    <w:p w14:paraId="79FBDD9D">
      <w:pPr>
        <w:ind w:firstLine="643"/>
        <w:rPr>
          <w:rFonts w:ascii="仿宋" w:hAnsi="仿宋" w:cs="仿宋"/>
          <w:color w:val="auto"/>
        </w:rPr>
      </w:pPr>
      <w:bookmarkStart w:id="376" w:name="_Toc17809"/>
      <w:bookmarkStart w:id="377" w:name="_Toc9658"/>
      <w:r>
        <w:rPr>
          <w:rFonts w:hint="eastAsia" w:ascii="仿宋" w:hAnsi="仿宋" w:cs="仿宋"/>
          <w:b/>
          <w:bCs/>
          <w:color w:val="auto"/>
        </w:rPr>
        <w:t>构建现代农业经营体系</w:t>
      </w:r>
      <w:bookmarkEnd w:id="376"/>
      <w:bookmarkEnd w:id="377"/>
      <w:r>
        <w:rPr>
          <w:rFonts w:hint="eastAsia" w:ascii="仿宋" w:hAnsi="仿宋" w:cs="仿宋"/>
          <w:b/>
          <w:bCs/>
          <w:color w:val="auto"/>
        </w:rPr>
        <w:t>。</w:t>
      </w:r>
      <w:r>
        <w:rPr>
          <w:rFonts w:hint="eastAsia" w:ascii="仿宋" w:hAnsi="仿宋" w:cs="仿宋"/>
          <w:color w:val="auto"/>
        </w:rPr>
        <w:t>培育壮大新型农业经营主体。以引进、开发、示范、推广现代农业生产及加工技术等方式，培育发展专业大户、农业专业合作社、家庭农场和农业龙头企业等新型经营主体，提高农业集约化经营水平。落实并完善新型农业经营主体的相关政策，推广“龙头企业＋合作社＋基地＋农户”“专业市场＋合作社＋农户”“供销社＋合作社＋农户”等经营模式，有效带动区域农业生产规模化及产业化的发展壮大。促进各类新型农业经营主体融合发展，依法组建农民合作社联合社，大力发展农业产业化联合体。深入推进家庭农场、农民合作社、产业化联合体等示范创建。大力培育农村产业发展带头人。</w:t>
      </w:r>
    </w:p>
    <w:p w14:paraId="2A34373F">
      <w:pPr>
        <w:rPr>
          <w:rFonts w:ascii="仿宋" w:hAnsi="仿宋" w:cs="仿宋"/>
          <w:color w:val="auto"/>
        </w:rPr>
      </w:pPr>
      <w:r>
        <w:rPr>
          <w:rFonts w:hint="eastAsia" w:ascii="仿宋" w:hAnsi="仿宋" w:cs="仿宋"/>
          <w:color w:val="auto"/>
        </w:rPr>
        <w:t>加大新型经营主体扶持力度，落实规划、用地、财税、信贷、保险等支持政策，扩大承担涉农项目规模。实施小农户能力提升工程，促进小农户生产与现代农业发展有机衔接。到2025年，全县农民专业合作社达到350家以上、家庭农场400家以上，市级以上示范合作社达到20家，示范家庭农场达到60家。</w:t>
      </w:r>
    </w:p>
    <w:p w14:paraId="1D106F90">
      <w:pPr>
        <w:rPr>
          <w:rFonts w:ascii="仿宋" w:hAnsi="仿宋" w:cs="仿宋"/>
          <w:color w:val="auto"/>
        </w:rPr>
      </w:pPr>
      <w:r>
        <w:rPr>
          <w:rFonts w:hint="eastAsia" w:ascii="仿宋" w:hAnsi="仿宋" w:cs="仿宋"/>
          <w:color w:val="auto"/>
        </w:rPr>
        <w:t>积极培育服务型合作社、服务型农业企业和专业化服务组织等农业社会化服务主体，促进各类服务主体与小农户有效对接。鼓励和引导各类农业社会化服务主体加强服务能力和设施建设，提供集关键环节机械化作业、粮食烘干、农机场库棚和仓储物流服务等全产业链服务，推广农业生产托管服务模式。推进集农资供应、农技服务、农机作业、物流配送、金融保险等于一体的综合性全程农事服务中心建设。深化基层农技推广机构管理体制改革，推动公益性农技推广机构与服务性经营组织融合发展。到2025年，全县农业社会化服务主体达到10个。</w:t>
      </w:r>
    </w:p>
    <w:p w14:paraId="5CF99C72">
      <w:pPr>
        <w:ind w:firstLine="643"/>
        <w:rPr>
          <w:rFonts w:ascii="仿宋" w:hAnsi="仿宋" w:cs="仿宋"/>
          <w:color w:val="auto"/>
        </w:rPr>
      </w:pPr>
      <w:bookmarkStart w:id="378" w:name="_Toc11103"/>
      <w:bookmarkStart w:id="379" w:name="_Toc1865"/>
      <w:r>
        <w:rPr>
          <w:rFonts w:hint="eastAsia" w:ascii="仿宋" w:hAnsi="仿宋" w:cs="仿宋"/>
          <w:b/>
          <w:bCs/>
          <w:color w:val="auto"/>
        </w:rPr>
        <w:t>大力发展农产品精深加工</w:t>
      </w:r>
      <w:bookmarkEnd w:id="378"/>
      <w:bookmarkEnd w:id="379"/>
      <w:r>
        <w:rPr>
          <w:rFonts w:hint="eastAsia" w:ascii="仿宋" w:hAnsi="仿宋" w:cs="仿宋"/>
          <w:b/>
          <w:bCs/>
          <w:color w:val="auto"/>
        </w:rPr>
        <w:t>。</w:t>
      </w:r>
      <w:r>
        <w:rPr>
          <w:rFonts w:hint="eastAsia" w:ascii="仿宋" w:hAnsi="仿宋" w:cs="仿宋"/>
          <w:color w:val="auto"/>
        </w:rPr>
        <w:t>加快建成集“生产+加工+科技+品牌+流通+休闲旅游”全产业链的柑橘环丹特色现代农业产业园，包括科技创新与推广服务区、品牌农产品生产展示区、生态循环农业示范区、农民创业及农事体验区、标准化柑橘产业生产区、环丹生态休闲旅游带、农产品加工流通集聚中心等“5区1带1中心”建设。支持新型经营主体建设恒温库、分选生产线、包装生产线，发展保鲜、储藏、分级、包装等初加工设施，鼓励多元化跨界投资发展农产品网、箱、袋等关联产业，提高农产品采后加工技术能力和产业化程度，加快推动仁化县农产品基地田头冷藏保鲜冷库群建设。实施农产品精深加工提升行动，充分挖掘现代农业产业价值，加工发展一批具有仁化特色的农产品，推动初加工、精深加工、综合利用加工和主食加工的融合发展，促进加工副产物资源化利用，进一步延长现代农业产业链向纵深发展，增加农业产业附加值。</w:t>
      </w:r>
    </w:p>
    <w:p w14:paraId="03DC9B77">
      <w:pPr>
        <w:ind w:firstLine="643"/>
        <w:rPr>
          <w:rFonts w:ascii="仿宋" w:hAnsi="仿宋" w:cs="仿宋"/>
          <w:color w:val="auto"/>
        </w:rPr>
      </w:pPr>
      <w:bookmarkStart w:id="380" w:name="_Toc25898"/>
      <w:bookmarkStart w:id="381" w:name="_Toc28086"/>
      <w:r>
        <w:rPr>
          <w:rFonts w:hint="eastAsia" w:ascii="仿宋" w:hAnsi="仿宋" w:cs="仿宋"/>
          <w:b/>
          <w:bCs/>
          <w:color w:val="auto"/>
        </w:rPr>
        <w:t>打造现代农业质量品牌</w:t>
      </w:r>
      <w:bookmarkEnd w:id="380"/>
      <w:bookmarkEnd w:id="381"/>
      <w:r>
        <w:rPr>
          <w:rFonts w:hint="eastAsia" w:ascii="仿宋" w:hAnsi="仿宋" w:cs="仿宋"/>
          <w:color w:val="auto"/>
        </w:rPr>
        <w:t>。</w:t>
      </w:r>
      <w:bookmarkStart w:id="382" w:name="_Toc6285"/>
      <w:r>
        <w:rPr>
          <w:rFonts w:hint="eastAsia" w:ascii="仿宋" w:hAnsi="仿宋" w:cs="仿宋"/>
          <w:color w:val="auto"/>
        </w:rPr>
        <w:t>加强品牌创建，提升产品品质，全面推进农业全程标准化生产。大力发展绿色、有机、地理标志等优质特色农产品，支持企业申请国际通行的农产品认证。争创国家级农产品质量安全县，确保人民群众“舌尖上的安全”，进一步提升人们对我县农产品消费的安全感、获得感和幸福感。加快推进食用农产品、主要农业生产资料追溯体系建设，推动与省市追溯平台的有效对接和融合。建立农产品质量安全风险预警机制，完善农产品质量安全应急预案。加强农产品和食用林产品质量安全例行监测和监督抽查，提升农产品监测数据质量。加强“四员”队伍建设和管理，强化基层执法监管能力。实施食用农产品合格证制度。实施农产品品牌提升计划，打造自带生态标签和品控质量的区域公用品牌，加强品牌的整体包装，从产品命名、logo设计、包装风格等赋予产品文化内涵，讲好品牌故事，积极开展名优特农产品展示展销活动，形成名优产品品牌效应，提升品牌知名度和市场影响力。建立健全农业品牌目录和管理制度，推行品牌目录动态管理。综合运用传统媒体和新媒体优势，开展多种形式的农产品品牌展示、推介活动。积极申报农产品驰名和著名商标以及国字号、省级名牌农产品，进一步培育壮大长坝沙田柚、仁化贡柑等区域公用品牌和特色农产品品牌，不断扩大国内外市场影响力和信誉度。到2025年，全县农产品品牌总量突破120个。</w:t>
      </w:r>
    </w:p>
    <w:p w14:paraId="5F1A7F9E">
      <w:pPr>
        <w:ind w:firstLine="643"/>
        <w:rPr>
          <w:rFonts w:ascii="仿宋" w:hAnsi="仿宋" w:cs="仿宋"/>
          <w:color w:val="auto"/>
        </w:rPr>
      </w:pPr>
      <w:bookmarkStart w:id="383" w:name="_Toc8608"/>
      <w:r>
        <w:rPr>
          <w:rFonts w:hint="eastAsia" w:ascii="仿宋" w:hAnsi="仿宋" w:cs="仿宋"/>
          <w:b/>
          <w:bCs/>
          <w:color w:val="auto"/>
        </w:rPr>
        <w:t>强化农业科技支撑</w:t>
      </w:r>
      <w:bookmarkEnd w:id="382"/>
      <w:bookmarkEnd w:id="383"/>
      <w:r>
        <w:rPr>
          <w:rFonts w:hint="eastAsia" w:ascii="仿宋" w:hAnsi="仿宋" w:cs="仿宋"/>
          <w:b/>
          <w:bCs/>
          <w:color w:val="auto"/>
        </w:rPr>
        <w:t>。</w:t>
      </w:r>
      <w:r>
        <w:rPr>
          <w:rFonts w:hint="eastAsia" w:ascii="仿宋" w:hAnsi="仿宋" w:cs="仿宋"/>
          <w:color w:val="auto"/>
        </w:rPr>
        <w:t>以培育并创建农业科技园区为抓手，进一步完善基层农技推广体系，支持农业企业与科研院所、高等院校开展产学研合作，积极参与农业科技创新联盟建设，建设科技特派员创业链工作站、农业科技专家大院等农业科技创新平台。深化实施科技特派员制度，优化科技特派员队伍。认真实施创新农技推广服务体系建设项目，创建好仁化县农技推广服务驿站和农业科技服务云平台，创新打造农技推广服务体系。加强种质资源保护和利用，加强茶叶等新品种选育、引进和试验推广。全面提升农业机械化。推广应用先进适用农机装备和技术模式，推进茶叶、水果、蔬菜等丘陵山区特色优势农产品生产机械化。加快现代种业、畜牧水产、设施农业和农产品初加工等产业的农机装备和技术应用。到2025年，全县农作物机械化综合率达55%，农业主推技术到位率达99%。实施智慧农业引领工程。扶持发展农业大数据、农业物联网、农产品质量安全溯源管理平台，推进“5G+智慧农业”体系建设。推进数字乡村建设，大力发展农村电商，积极创建国家电商达标县。引入社会资本，谋划构建运营集加工、物流（农产品批发）、冷链等为一体的现代加工商贸物流市场体系，推动产加销、贸工农一体化发展，完善县镇村三级助农服务体系。</w:t>
      </w:r>
    </w:p>
    <w:p w14:paraId="6AA0F133">
      <w:pPr>
        <w:ind w:firstLine="643"/>
        <w:rPr>
          <w:rFonts w:ascii="仿宋" w:hAnsi="仿宋" w:cs="仿宋"/>
          <w:color w:val="auto"/>
        </w:rPr>
      </w:pPr>
      <w:bookmarkStart w:id="384" w:name="_Toc21119"/>
      <w:bookmarkStart w:id="385" w:name="_Toc22846"/>
      <w:r>
        <w:rPr>
          <w:rFonts w:hint="eastAsia" w:ascii="仿宋" w:hAnsi="仿宋" w:cs="仿宋"/>
          <w:b/>
          <w:bCs/>
          <w:color w:val="auto"/>
        </w:rPr>
        <w:t>推进农业全产业链融合发展</w:t>
      </w:r>
      <w:bookmarkEnd w:id="384"/>
      <w:bookmarkEnd w:id="385"/>
      <w:r>
        <w:rPr>
          <w:rFonts w:hint="eastAsia" w:ascii="仿宋" w:hAnsi="仿宋" w:cs="仿宋"/>
          <w:b/>
          <w:bCs/>
          <w:color w:val="auto"/>
        </w:rPr>
        <w:t>。</w:t>
      </w:r>
      <w:r>
        <w:rPr>
          <w:rFonts w:hint="eastAsia" w:ascii="仿宋" w:hAnsi="仿宋" w:cs="仿宋"/>
          <w:color w:val="auto"/>
        </w:rPr>
        <w:t>做大做强一二三产深度融合，推动武深高速农业经济带增速换挡步入快车道。聚焦优势特色资源，大力推进农业全产业链开发，突出集群成链，延长产业链、提升价值链，完善供应链，拓展农业功能，加快建设一批优势特色产业集群，打造湾区绿色农产品示范基地。推动科技、人文等元素融入农业，发展农田艺术景观、阳台农艺等创意农业。鼓励发展工厂化、立体化等高科技农业。积极探索定制农业、会展农业、农业众筹等新型业态。深入实施休闲农业和乡村旅游精品工程，发展适应城乡居民需要的休闲旅游、餐饮民宿、文化体验、健康养生、养老服务等产业，加快推进仁化县“北柑南柚”农旅一体化、粤港澳大湾区“菜篮子”供应基地及蔬菜休闲农旅产业园等项目建设。加强重要农业文化遗产发掘、保护、传承和利用。积极探索新型营销模式，推进电商微商直销等多种形式的农产品营销策略，减少中间环节，强化产销对接，加强与有实力的物流超市沟通交流，做好产销流通渠道，将产业发展与贫困户的利益紧密结合起来，充分调动群众积极性。加强政策引导，整合资源要素，通过农产品精深加工、冷链物流体系建设、优势产业批发市场建设等方式，实现农副产业与市场流通、存储的有机衔接，构建一二产与三产间的联系纽带，促进“农业+加工业”“农业+服务业”融合，实现一二产、二三产、一二三产融合的目标。</w:t>
      </w:r>
    </w:p>
    <w:p w14:paraId="2BD28B93">
      <w:pPr>
        <w:pStyle w:val="4"/>
        <w:spacing w:before="654" w:after="654"/>
        <w:rPr>
          <w:color w:val="auto"/>
        </w:rPr>
      </w:pPr>
      <w:bookmarkStart w:id="386" w:name="_Toc11288"/>
      <w:bookmarkStart w:id="387" w:name="_Toc2448"/>
      <w:bookmarkStart w:id="388" w:name="_Toc13358"/>
      <w:bookmarkStart w:id="389" w:name="_Toc25016"/>
      <w:bookmarkStart w:id="390" w:name="_Toc21355"/>
      <w:bookmarkStart w:id="391" w:name="_Toc25306"/>
      <w:bookmarkStart w:id="392" w:name="_Toc7834"/>
      <w:bookmarkStart w:id="393" w:name="_Toc13797"/>
      <w:bookmarkStart w:id="394" w:name="_Toc16862"/>
      <w:bookmarkStart w:id="395" w:name="_Toc9923"/>
      <w:bookmarkStart w:id="396" w:name="_Toc6746"/>
      <w:bookmarkStart w:id="397" w:name="_Toc23500"/>
      <w:bookmarkStart w:id="398" w:name="_Toc7090"/>
      <w:bookmarkStart w:id="399" w:name="_Toc207"/>
      <w:bookmarkStart w:id="400" w:name="_Toc2345"/>
      <w:bookmarkStart w:id="401" w:name="_Toc8869"/>
      <w:r>
        <w:rPr>
          <w:rFonts w:hint="eastAsia"/>
          <w:color w:val="auto"/>
        </w:rPr>
        <w:t>大力发展生态旅游</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3F17F32E">
      <w:pPr>
        <w:rPr>
          <w:rFonts w:ascii="仿宋" w:hAnsi="仿宋" w:cs="仿宋"/>
          <w:color w:val="auto"/>
        </w:rPr>
      </w:pPr>
      <w:r>
        <w:rPr>
          <w:rFonts w:hint="eastAsia" w:ascii="仿宋" w:hAnsi="仿宋" w:cs="仿宋"/>
          <w:color w:val="auto"/>
        </w:rPr>
        <w:t>发挥国家全域旅游示范区品牌效应，推动全域旅游提档升级，打造“双区”休闲旅游康养首选地。</w:t>
      </w:r>
    </w:p>
    <w:p w14:paraId="33C75733">
      <w:pPr>
        <w:ind w:firstLine="643"/>
        <w:rPr>
          <w:rFonts w:ascii="仿宋" w:hAnsi="仿宋" w:cs="仿宋"/>
          <w:color w:val="auto"/>
        </w:rPr>
      </w:pPr>
      <w:r>
        <w:rPr>
          <w:rFonts w:hint="eastAsia" w:ascii="仿宋" w:hAnsi="仿宋" w:cs="仿宋"/>
          <w:b/>
          <w:bCs/>
          <w:color w:val="auto"/>
        </w:rPr>
        <w:t>提升发展全域大旅游。</w:t>
      </w:r>
      <w:r>
        <w:rPr>
          <w:rFonts w:hint="eastAsia" w:ascii="仿宋" w:hAnsi="仿宋" w:cs="仿宋"/>
          <w:color w:val="auto"/>
        </w:rPr>
        <w:t>围绕“唱响红色主旋律、打造绚美大丹霞”，推进红色文化旅游经济带建设，把生态优势、文化优势转化为发展优势。按照“一核一轴一圈三带”的全域旅游发展大格局。加快推动全县红、绿、古、蓝特色旅游资源开发，打造红色教育、茶谷养生、户外运动、乡村休闲、历史文化体验等特色旅游产品，推进“旅游+农事+文化+研学+节会+康养”融合发展、线上线下互动发展。实施仁化旅游精品创建行动，打造“321”明星景区，即3个3A景区，2个4A景区，1个5A级旅游景区，有序建设免门票景区，示范带动全县景区品质提升，建设提升全景仁化。加快全县绿道、旅游风景道循环成网，串联沿线景点，打造红色记忆走廊、锦江水上生态走廊、竹海氧吧走廊、灵溪浪漫婚纱走廊等特色精品旅游线路。大力发展智慧旅游，推动与周边地区旅游抱团发展。加快智慧景区、生态停车场、旅游厕所、旅游标识标牌等配套设施建设。大力推进点状供地模式，建设品质高、特色鲜明的民宿产品或高档酒店。力争到2025年，实现全县接待旅游者1096万人次，年均增长10%；旅游业总收入60亿元，年均增长12%。旅游富民迈出实质性步伐，旅游产业对服务业龙头带动作用进一步突显。</w:t>
      </w:r>
    </w:p>
    <w:p w14:paraId="181998EB">
      <w:pPr>
        <w:pStyle w:val="2"/>
        <w:ind w:firstLine="643"/>
        <w:rPr>
          <w:rFonts w:ascii="仿宋" w:hAnsi="仿宋" w:cs="仿宋"/>
          <w:color w:val="auto"/>
        </w:rPr>
      </w:pPr>
      <w:r>
        <w:rPr>
          <w:rFonts w:hint="eastAsia" w:ascii="仿宋" w:hAnsi="仿宋" w:cs="仿宋"/>
          <w:b/>
          <w:bCs/>
          <w:color w:val="auto"/>
        </w:rPr>
        <w:t>推动大丹霞旅游升级发展</w:t>
      </w:r>
      <w:r>
        <w:rPr>
          <w:rFonts w:hint="eastAsia" w:ascii="仿宋" w:hAnsi="仿宋" w:cs="仿宋"/>
          <w:color w:val="auto"/>
        </w:rPr>
        <w:t>。着力打造“大丹霞—中国红石公园”旅游品牌。以国家公园品牌的构建和功能注入，强化丹霞山品牌要素，加大核心旅游区的带动力和影响力。以市场化改革为方向，加快理顺丹霞山管理体制，明确仁化县政府、丹霞山管委会、丹霞山公司三方关系。加强丹霞山旅游资源整合，最大限度发挥旅游产业集聚链效应，围绕大丹霞周边布局健康养生、户外运动、生态观光休闲、岭南文化体验等旅游业态，联合打造“环丹产业综合体”。在不破坏丹霞山自然生态环境的前提下，打造丹霞特色旅游产品，引进社会资本开发建设特色民宿、精品度假酒店、国际会展中心和葡萄酒庄等，重点加快丹霞山度假酒店等项目建设，推动丹霞山旅游业态由传统的观光游向休闲度假游、文化体验游、研学旅游转型，力争丹霞山接待游客人次走在同类景区前列。全面提升基础工程，进一步完善旅游公路网络，提升阅丹公路配套设施和整体环境，加强旅游配套服务设施建设，积极打造丹霞生态景观长廊，推进丹霞山正北门、东南门和沿线驿站建设，丰富丹霞山旅游产品层次和阅丹公路旅游业态。推动产业集聚，打造丹霞山外围旅游产业集群，加强外围多功能设施配套与产业联动，促进阅丹公路沿线一产和三产融合发展，延伸产业链条，做好“山城融合”文章。</w:t>
      </w:r>
    </w:p>
    <w:p w14:paraId="4A82C341">
      <w:pPr>
        <w:ind w:firstLine="643"/>
        <w:rPr>
          <w:rFonts w:ascii="仿宋" w:hAnsi="仿宋" w:cs="仿宋"/>
          <w:color w:val="auto"/>
        </w:rPr>
      </w:pPr>
      <w:bookmarkStart w:id="402" w:name="_Toc21352"/>
      <w:bookmarkStart w:id="403" w:name="_Toc12555"/>
      <w:r>
        <w:rPr>
          <w:rFonts w:hint="eastAsia" w:ascii="仿宋" w:hAnsi="仿宋" w:cs="仿宋"/>
          <w:b/>
          <w:bCs/>
          <w:color w:val="auto"/>
        </w:rPr>
        <w:t>加快发展红色旅游</w:t>
      </w:r>
      <w:bookmarkEnd w:id="402"/>
      <w:bookmarkEnd w:id="403"/>
      <w:r>
        <w:rPr>
          <w:rFonts w:hint="eastAsia" w:ascii="仿宋" w:hAnsi="仿宋" w:cs="仿宋"/>
          <w:b/>
          <w:bCs/>
          <w:color w:val="auto"/>
        </w:rPr>
        <w:t>。</w:t>
      </w:r>
      <w:r>
        <w:rPr>
          <w:rFonts w:hint="eastAsia" w:ascii="仿宋" w:hAnsi="仿宋" w:cs="仿宋"/>
          <w:color w:val="auto"/>
        </w:rPr>
        <w:t>充分挖掘红军长征粤北纪念馆、谭甫仁将军旧居、铜鼓岭红军长征纪念碑、红山长征革命烈士纪念碑、红山红军桥、石塘双峰寨、董塘红色安岗等红色文化，把红色旅游资源开发与文化名村、风景名胜区、生态景区、革命老区、民族地区等建设相结合，推动红色旅游景区建设。把红色文化资源挖掘保护活化与红色精神弘扬传承相结合，加快推进长征国家文化公园（仁化段）建设和南粤古驿道的修复活化利用，规划打造微长征研学旅游区，继续开发以红军长征粤北纪念馆、双峰寨为主的红色教育研学路线，讲好红军军民感人故事，丰富提升红色旅游精品线路和乡村旅游精品线路内涵，打响“红色仁化”品牌。</w:t>
      </w:r>
    </w:p>
    <w:p w14:paraId="5082328D">
      <w:pPr>
        <w:rPr>
          <w:rFonts w:ascii="仿宋" w:hAnsi="仿宋" w:cs="仿宋"/>
          <w:color w:val="auto"/>
        </w:rPr>
      </w:pPr>
      <w:r>
        <w:rPr>
          <w:rFonts w:hint="eastAsia" w:ascii="仿宋" w:hAnsi="仿宋" w:cs="仿宋"/>
          <w:color w:val="auto"/>
        </w:rPr>
        <w:t>以温泉度假为产业支柱，打造“红色+温泉+古村”乡村旅游产业链，推动城口红色小镇发展，将其打造成全省乃至粤湘赣三省红色教育基地，辐射带动周边红色旅游资源开发。从内部空间联系、对外营销等方面加强石塘古村与双峰寨的联系，丰富红色旅游业态，丰富村内的红色文化展览，发展富有红色文化的特色餐饮及住宿，打造省市级红色爱国主义教育示范基地。结合仁化白毛茶、城口红军特色小菜、优质柑橘、石塘堆花米酒、马蹄、贡柑、董塘蔬菜、花卉、乳鸽等特色产业，打造红色休闲农业采摘区。加强仁化红色旅游资源优化，整合推出红色主题、红色旅游品牌文旅节庆活动，打造一批精品红色旅游产品。</w:t>
      </w:r>
    </w:p>
    <w:p w14:paraId="1A641A04">
      <w:pPr>
        <w:ind w:firstLine="643"/>
        <w:rPr>
          <w:rFonts w:ascii="仿宋" w:hAnsi="仿宋" w:cs="仿宋"/>
          <w:color w:val="auto"/>
        </w:rPr>
      </w:pPr>
      <w:bookmarkStart w:id="404" w:name="_Toc26459"/>
      <w:bookmarkStart w:id="405" w:name="_Toc1075"/>
      <w:r>
        <w:rPr>
          <w:rFonts w:hint="eastAsia" w:ascii="仿宋" w:hAnsi="仿宋" w:cs="仿宋"/>
          <w:b/>
          <w:bCs/>
          <w:color w:val="auto"/>
        </w:rPr>
        <w:t>加快发展健康旅游</w:t>
      </w:r>
      <w:bookmarkEnd w:id="404"/>
      <w:bookmarkEnd w:id="405"/>
      <w:r>
        <w:rPr>
          <w:rFonts w:hint="eastAsia" w:ascii="仿宋" w:hAnsi="仿宋" w:cs="仿宋"/>
          <w:color w:val="auto"/>
        </w:rPr>
        <w:t>。依托丹霞山、禅宗文化、温泉资源等资源基底，引入养生健康企业，结合传统中医健康养生理念，大力发展禅修养生、私密度假、休闲养生、康体运动、医疗科普等旅游产业，重点发展凤鸣谷文化旅游度假村、丹霞丰源温泉度假村（二期）等项目。培育完整、交融、互动的健康旅游产业体系，包括医疗和养老服务业、健康教育产业、健康旅游业、养生度假业等。重点依托环丹生态旅游产业园，吸引大型疗养度假机构进驻，建设健康管理中心、公园式医院等设施。引入健康产业运营商，探索与平安银行平安健康荟、阿里巴巴等已涉足健康产业的金融、技术平台对接、合作，由专业运营机构对接全球前沿技术、市场，争取快速落地。鼓励中草药规模化种植，建设中草药种植示范区。发展中草药加工产业，建立中医药展示、加工、销售集成平台。展养生休闲度假，将养生体验融入度假产品中。引进康养式医疗服务机构，建设集中医诊疗、中医理疗、养老、度假等业态的公园式中医院。</w:t>
      </w:r>
    </w:p>
    <w:p w14:paraId="572261A3">
      <w:pPr>
        <w:ind w:firstLine="643"/>
        <w:rPr>
          <w:rFonts w:ascii="仿宋" w:hAnsi="仿宋" w:cs="仿宋"/>
          <w:color w:val="auto"/>
        </w:rPr>
      </w:pPr>
      <w:bookmarkStart w:id="406" w:name="_Toc15786"/>
      <w:bookmarkStart w:id="407" w:name="_Toc31238"/>
      <w:r>
        <w:rPr>
          <w:rFonts w:hint="eastAsia" w:ascii="仿宋" w:hAnsi="仿宋" w:cs="仿宋"/>
          <w:b/>
          <w:bCs/>
          <w:color w:val="auto"/>
        </w:rPr>
        <w:t>加快发展生态与乡村旅游</w:t>
      </w:r>
      <w:bookmarkEnd w:id="406"/>
      <w:bookmarkEnd w:id="407"/>
      <w:r>
        <w:rPr>
          <w:rFonts w:hint="eastAsia" w:ascii="仿宋" w:hAnsi="仿宋" w:cs="仿宋"/>
          <w:color w:val="auto"/>
        </w:rPr>
        <w:t>。依托丹霞山世界级5A景区和红军长征粤北纪念馆，整合全域旅游文化资源，结合美丽乡村建设，打造农旅产业集群，建设一批主题公园、休闲农业、田园观光等项目，扶持建设一批具有历史、地域、特色的休闲农业与乡村旅游示范镇、示范点，串珠成链，打造精品农旅观光路线。围绕采摘游玩、农耕体验、科普认知、休闲度假等主题活动，规划打造以体验乡村生活情趣为主的“乡村游”、以展现现代农业技术为主的“科普游”、以红色文化、主题教育为主的“红色游”、以采摘体验为主的“农事体验游”等一系列休闲游乐为主的环丹、红色、生态农业观光旅游带。充分挖掘利用仁化物产和特色资源，提高旅游商品设计和生产能力，开发具有仁化特色的便于携带，集观赏性，实用性与纪念性于一体的旅游手信商品。</w:t>
      </w:r>
    </w:p>
    <w:p w14:paraId="198E6461">
      <w:pPr>
        <w:ind w:firstLine="643"/>
        <w:rPr>
          <w:rFonts w:ascii="仿宋" w:hAnsi="仿宋" w:cs="仿宋"/>
          <w:color w:val="auto"/>
        </w:rPr>
      </w:pPr>
      <w:bookmarkStart w:id="408" w:name="_Toc16025"/>
      <w:bookmarkStart w:id="409" w:name="_Toc18616"/>
      <w:r>
        <w:rPr>
          <w:rFonts w:hint="eastAsia" w:ascii="仿宋" w:hAnsi="仿宋" w:cs="仿宋"/>
          <w:b/>
          <w:bCs/>
          <w:color w:val="auto"/>
        </w:rPr>
        <w:t>积极发展工矿旅游</w:t>
      </w:r>
      <w:bookmarkEnd w:id="408"/>
      <w:bookmarkEnd w:id="409"/>
      <w:r>
        <w:rPr>
          <w:rFonts w:hint="eastAsia" w:ascii="仿宋" w:hAnsi="仿宋" w:cs="仿宋"/>
          <w:color w:val="auto"/>
        </w:rPr>
        <w:t>。推动凡口矿区及坪岗工业园开发工业旅游，充分利用废弃矿洞、矿井，开发参观型、参与型、自助型等一批工业旅游项目，如科普教育、矿洞探险、矿区迷宫等。开发设计矿区旅游观光线，融入高科技、数字化解读展示。推动国家矿山公园建设进程，加快凡口国家矿山公园博物馆向公众开放，开展中小学生科普教育活动。推进二期项目开发进程，融入旅游元素，开发体验型旅游产品。充分利用公共游憩空间，常规化组织工矿业公共艺术展览。推动凡口国家矿山公园建设成工业遗产特色展示区，完善基础服务配套设施。</w:t>
      </w:r>
    </w:p>
    <w:p w14:paraId="569C12A0">
      <w:pPr>
        <w:ind w:firstLine="643"/>
        <w:rPr>
          <w:rFonts w:ascii="仿宋" w:hAnsi="仿宋" w:cs="仿宋"/>
          <w:color w:val="auto"/>
        </w:rPr>
      </w:pPr>
      <w:bookmarkStart w:id="410" w:name="_Toc25325"/>
      <w:bookmarkStart w:id="411" w:name="_Toc28744"/>
      <w:r>
        <w:rPr>
          <w:rFonts w:hint="eastAsia" w:ascii="仿宋" w:hAnsi="仿宋" w:cs="仿宋"/>
          <w:b/>
          <w:bCs/>
          <w:color w:val="auto"/>
        </w:rPr>
        <w:t>积极培育特色文化旅游</w:t>
      </w:r>
      <w:bookmarkEnd w:id="410"/>
      <w:bookmarkEnd w:id="411"/>
      <w:r>
        <w:rPr>
          <w:rFonts w:hint="eastAsia" w:ascii="仿宋" w:hAnsi="仿宋" w:cs="仿宋"/>
          <w:b/>
          <w:bCs/>
          <w:color w:val="auto"/>
        </w:rPr>
        <w:t>。</w:t>
      </w:r>
      <w:r>
        <w:rPr>
          <w:rFonts w:hint="eastAsia" w:ascii="仿宋" w:hAnsi="仿宋" w:cs="仿宋"/>
          <w:color w:val="auto"/>
        </w:rPr>
        <w:t>突破原有观念，将文化创意融入乡村，借鉴台湾古村再生文创策略，探索传统村落的活化机制。挖掘地方文化，融合文创元素，研发创意民间手工艺品，发展文创农业园区。重点推动喜头村、扶溪稻田农业公园的开发建设工作，推动夏富古村、牛鼻村发展博物馆式民宿集群和民间手工艺展览，重点发展土法造纸、石塘堆花米酒等民间手工艺。深入挖掘韶乐文化、红色文化、客家文化、古驿道文化、移民文化、古塔宗祠文化、古村落乡村文化等大丹霞文化内涵，激活环丹地区的文化基因，把丹霞山逐步打造成为文化名山。激活环丹地区的文化基因，拓展休闲观光、人文体验、文体教育等具象化体验功能，活化和传承丹霞山旅游文化。在保护仁化县内非物质文化遗产如“装故事”“月姐歌”“走马灯”等，以“活化”形式将仁化县非遗找到与现代生活的契合点，通过节庆活动、影视演艺、工艺创新、科普研学等形式，保持非物质文化遗产的生命力。利用国际前沿的现代声光电技术，提取本地文化元素、自然元素，打造时尚、动感、青春的高科技演艺秀场，塑造户外演艺文化精品。重点发展丹霞山户外实景演出、锦江水上灯光秀。</w:t>
      </w:r>
    </w:p>
    <w:p w14:paraId="5E1528C6">
      <w:pPr>
        <w:ind w:firstLine="643"/>
        <w:rPr>
          <w:rFonts w:ascii="仿宋" w:hAnsi="仿宋" w:cs="仿宋"/>
          <w:color w:val="auto"/>
        </w:rPr>
      </w:pPr>
      <w:bookmarkStart w:id="412" w:name="_Toc13112"/>
      <w:bookmarkStart w:id="413" w:name="_Toc1886"/>
      <w:r>
        <w:rPr>
          <w:rFonts w:hint="eastAsia" w:ascii="仿宋" w:hAnsi="仿宋" w:cs="仿宋"/>
          <w:b/>
          <w:bCs/>
          <w:color w:val="auto"/>
        </w:rPr>
        <w:t>大力举办户外旅游活动</w:t>
      </w:r>
      <w:bookmarkEnd w:id="412"/>
      <w:bookmarkEnd w:id="413"/>
      <w:r>
        <w:rPr>
          <w:rFonts w:hint="eastAsia" w:ascii="仿宋" w:hAnsi="仿宋" w:cs="仿宋"/>
          <w:b/>
          <w:bCs/>
          <w:color w:val="auto"/>
        </w:rPr>
        <w:t>。</w:t>
      </w:r>
      <w:r>
        <w:rPr>
          <w:rFonts w:hint="eastAsia" w:ascii="仿宋" w:hAnsi="仿宋" w:cs="仿宋"/>
          <w:color w:val="auto"/>
        </w:rPr>
        <w:t>依托仁化县山水相间的生态环境，推动旅游与户外运动融合发展，积极开发徒步、骑行、马拉松、户外拓展、极限挑战等户外运动旅游产品，发展国内外体育运动、赛事，如国际山地马拉松、越野、山地自行车等，以丹霞山风景名胜区为主会场，以古村古驿道为活动载体，举办各类主题的户外挑战竞赛和娱乐活动，延展赛事活动空间，扩大赛事的参与人群，提升体验的趣味性，探索利用柑橘园区、红色乡村、古驿道、长征路线等以新农村建设为主题的定向系列活动，力争将仁化县打造成为户外挑战赛的永久驻地。依托丹霞山世界品牌效应，引进高端体育机构进驻，重点培育一批以体育运动、运动器械生产企业，推动仁化县体育旅游产业化发展。</w:t>
      </w:r>
    </w:p>
    <w:p w14:paraId="7FC5B6CA">
      <w:pPr>
        <w:ind w:firstLine="643"/>
        <w:rPr>
          <w:rFonts w:ascii="仿宋" w:hAnsi="仿宋" w:cs="仿宋"/>
          <w:color w:val="auto"/>
        </w:rPr>
      </w:pPr>
      <w:bookmarkStart w:id="414" w:name="_Toc4148"/>
      <w:bookmarkStart w:id="415" w:name="_Toc8445"/>
      <w:r>
        <w:rPr>
          <w:rFonts w:hint="eastAsia" w:ascii="仿宋" w:hAnsi="仿宋" w:cs="仿宋"/>
          <w:b/>
          <w:bCs/>
          <w:color w:val="auto"/>
        </w:rPr>
        <w:t>进一步提升旅游服务水平</w:t>
      </w:r>
      <w:bookmarkEnd w:id="414"/>
      <w:bookmarkEnd w:id="415"/>
      <w:r>
        <w:rPr>
          <w:rFonts w:hint="eastAsia" w:ascii="仿宋" w:hAnsi="仿宋" w:cs="仿宋"/>
          <w:b/>
          <w:bCs/>
          <w:color w:val="auto"/>
        </w:rPr>
        <w:t>。</w:t>
      </w:r>
      <w:r>
        <w:rPr>
          <w:rFonts w:hint="eastAsia" w:ascii="仿宋" w:hAnsi="仿宋" w:cs="仿宋"/>
          <w:color w:val="auto"/>
        </w:rPr>
        <w:t>建立全面的旅游公共信息和咨询服务体系，完善旅游咨询、交通、宣传、投诉处理救援等服务功能，提高面向散客的旅游集散咨询服务水平，构建全域旅游服务中心，为居民和游客提供咨询、预订、购物和投诉等旅游服务。大力推动“智慧仁化”旅游智能管理系统建设，按照“政府引导、部门牵头、社会参与、市场开发”的发展模式，以智慧管理、智慧营销、智慧服务和智慧体验为重点形成智慧旅游的多场所覆盖。加强旅游企业诚信体系创建和涉旅从业人员的培训，扶持建设优质旅行社。加强旅游联合执法，健全和完善投诉、申诉处理制度和信息发布制度，严格依法治理和规范旅游市场秩序，全面提升旅游服务水平。</w:t>
      </w:r>
    </w:p>
    <w:p w14:paraId="0D966465">
      <w:pPr>
        <w:rPr>
          <w:rFonts w:ascii="仿宋" w:hAnsi="仿宋" w:cs="仿宋"/>
          <w:color w:val="auto"/>
        </w:rPr>
      </w:pPr>
      <w:r>
        <w:rPr>
          <w:rFonts w:hint="eastAsia" w:ascii="仿宋" w:hAnsi="仿宋" w:cs="仿宋"/>
          <w:color w:val="auto"/>
        </w:rPr>
        <w:t>进一步提升旅游接待能力，优化提升全域旅游基础服务设施，规划建设五星级标准酒店和星级民宿，提升全域旅游服务能力和水平。统筹旅游公路和“四好农村公路”的“快旅”脉络建设，打通古驿道、观光步道、绿道、碧道等“慢游”的毛细血管，构建“快旅慢游”的交通体系，推动自驾游、自助游等旅游业态发展。实施乡村旅游与休闲观光农业提质升级行动，因地制宜推动旅游扶贫重点村、省级新农村连片示范村、旅游特色小镇提档升级，完善旅游标识标牌、旅游厕所、停车场、旅游咨询服务中心等乡村旅游“八小工程”，开展花期预报、最佳观赏期预报、水果最佳采摘期预报等适合乡村旅游的气象服务项目，合理引导游客，推介乡村旅游景点。</w:t>
      </w:r>
    </w:p>
    <w:p w14:paraId="24F395CD">
      <w:pPr>
        <w:ind w:firstLine="643"/>
        <w:rPr>
          <w:rFonts w:ascii="仿宋" w:hAnsi="仿宋" w:cs="仿宋"/>
          <w:color w:val="auto"/>
        </w:rPr>
      </w:pPr>
      <w:bookmarkStart w:id="416" w:name="_Toc24295"/>
      <w:bookmarkStart w:id="417" w:name="_Toc16019"/>
      <w:r>
        <w:rPr>
          <w:rFonts w:hint="eastAsia" w:ascii="仿宋" w:hAnsi="仿宋" w:cs="仿宋"/>
          <w:b/>
          <w:bCs/>
          <w:color w:val="auto"/>
        </w:rPr>
        <w:t>加强旅游宣传营销</w:t>
      </w:r>
      <w:bookmarkEnd w:id="416"/>
      <w:bookmarkEnd w:id="417"/>
      <w:r>
        <w:rPr>
          <w:rFonts w:hint="eastAsia" w:ascii="仿宋" w:hAnsi="仿宋" w:cs="仿宋"/>
          <w:color w:val="auto"/>
        </w:rPr>
        <w:t>。建立县域联动宣传推广体系。以成功入选国家全域旅游示范区名单为契机，整合旅游资源，与周边景区、特色乡村、红色文化、古村文化等加强联动合作，策划推出创新产品线路，联合开展宣传推广活动。打造鲜明的全域旅游目的地形象。建立一套全新的仁化旅游视觉识别系统，以全新旅游宣传标识和品牌口号为基础，加强对全县旅游形象的整体营销和品牌的整合推广，全方位塑造仁化县全域旅游目的地新形象。以丹霞国际户外运动大会、石塘古驿道定向大赛、红山茶文化节、扶溪禾斋节、黄坑贡柑节、“最美仁化”摄影创作大赛等构建品牌特色，扩大仁化县及丹霞山知名度。创新多渠道宣传推广。扩大新媒体、新技术、新手段在宣传推广中的运用，借力主流媒体、网络媒体、微信、微博新媒体及智慧旅游体系，整合全媒体、全领域营销资源，搭建高效、精准的仁化旅游宣传营销平台，重点发展大湾区旅游市场，积极开拓海外客源市场。深化旅游开放合作，引导县内景区抱团发展，推进区域旅游合作联盟建设。积极参与区域核心城市群旅游推介会，深化与粤港澳地区的旅游合作，开展多元旅游产品宣传推介。</w:t>
      </w:r>
    </w:p>
    <w:p w14:paraId="48C68474">
      <w:pPr>
        <w:ind w:firstLine="643"/>
        <w:rPr>
          <w:rFonts w:ascii="仿宋" w:hAnsi="仿宋" w:cs="仿宋"/>
          <w:color w:val="auto"/>
        </w:rPr>
      </w:pPr>
      <w:bookmarkStart w:id="418" w:name="_Toc5807"/>
      <w:r>
        <w:rPr>
          <w:rFonts w:hint="eastAsia" w:ascii="仿宋" w:hAnsi="仿宋" w:cs="仿宋"/>
          <w:b/>
          <w:bCs/>
          <w:color w:val="auto"/>
        </w:rPr>
        <w:t>创新旅游体制机制</w:t>
      </w:r>
      <w:bookmarkEnd w:id="418"/>
      <w:r>
        <w:rPr>
          <w:rFonts w:hint="eastAsia" w:ascii="仿宋" w:hAnsi="仿宋" w:cs="仿宋"/>
          <w:b/>
          <w:bCs/>
          <w:color w:val="auto"/>
        </w:rPr>
        <w:t>。</w:t>
      </w:r>
      <w:r>
        <w:rPr>
          <w:rFonts w:hint="eastAsia" w:ascii="仿宋" w:hAnsi="仿宋" w:cs="仿宋"/>
          <w:color w:val="auto"/>
        </w:rPr>
        <w:t>创新旅游资源保护模式。探索旅游资源县级统筹管理开发模式坚持“原地保护为主、异地保护为辅”的原则，在全县挑选保护较好的古村选择重点古民居进行重点保护开发。因地制宜采取整体保护、集中保护和重点保护等方式，引导社会资本参与古村落和古民居保护开发。进一步规范古村落规划和古民居抢修、认领、土地流转、房屋登记等制度，探索建立古村落和古民居保护的奖惩机制，并将古村落和古民居保护纳入新农村建设绩效考核。</w:t>
      </w:r>
    </w:p>
    <w:p w14:paraId="0D9917A8">
      <w:pPr>
        <w:ind w:firstLine="643"/>
        <w:rPr>
          <w:rFonts w:ascii="仿宋" w:hAnsi="仿宋" w:cs="仿宋"/>
          <w:color w:val="auto"/>
        </w:rPr>
      </w:pPr>
      <w:r>
        <w:rPr>
          <w:rFonts w:hint="eastAsia" w:ascii="仿宋" w:hAnsi="仿宋" w:cs="仿宋"/>
          <w:b/>
          <w:color w:val="auto"/>
        </w:rPr>
        <w:t>创新旅游项目开发模式。</w:t>
      </w:r>
      <w:r>
        <w:rPr>
          <w:rFonts w:hint="eastAsia" w:ascii="仿宋" w:hAnsi="仿宋" w:cs="仿宋"/>
          <w:color w:val="auto"/>
        </w:rPr>
        <w:t>探索采用长期租用或点式供地等方式对农林用地进行保护性开发，鼓励农民和集体通过土地经营权流转、土地经营权和林权入股等方式参与旅游项目开发建设。鼓励实行“政府+旅游企业、旅游企业+合作社、农户”等开发模式，完善政府和社会资金“双重推进”的旅游项目开发机制。</w:t>
      </w:r>
    </w:p>
    <w:p w14:paraId="55467F85">
      <w:pPr>
        <w:pStyle w:val="4"/>
        <w:spacing w:before="654" w:after="654"/>
        <w:rPr>
          <w:color w:val="auto"/>
        </w:rPr>
      </w:pPr>
      <w:bookmarkStart w:id="419" w:name="_Toc16047"/>
      <w:bookmarkStart w:id="420" w:name="_Toc10050"/>
      <w:bookmarkStart w:id="421" w:name="_Toc9351"/>
      <w:bookmarkStart w:id="422" w:name="_Toc1077"/>
      <w:bookmarkStart w:id="423" w:name="_Toc4028"/>
      <w:bookmarkStart w:id="424" w:name="_Toc1178"/>
      <w:bookmarkStart w:id="425" w:name="_Toc16438"/>
      <w:bookmarkStart w:id="426" w:name="_Toc21899"/>
      <w:bookmarkStart w:id="427" w:name="_Toc31890"/>
      <w:bookmarkStart w:id="428" w:name="_Toc29679"/>
      <w:bookmarkStart w:id="429" w:name="_Toc20100"/>
      <w:bookmarkStart w:id="430" w:name="_Toc1700"/>
      <w:bookmarkStart w:id="431" w:name="_Toc13560"/>
      <w:bookmarkStart w:id="432" w:name="_Toc19092"/>
      <w:bookmarkStart w:id="433" w:name="_Toc2854"/>
      <w:bookmarkStart w:id="434" w:name="_Toc20222"/>
      <w:r>
        <w:rPr>
          <w:rFonts w:hint="eastAsia"/>
          <w:color w:val="auto"/>
        </w:rPr>
        <w:t>大力发展绿色工业</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75C37482">
      <w:pPr>
        <w:rPr>
          <w:rFonts w:ascii="仿宋" w:hAnsi="仿宋" w:cs="仿宋"/>
          <w:color w:val="auto"/>
        </w:rPr>
      </w:pPr>
      <w:r>
        <w:rPr>
          <w:rFonts w:hint="eastAsia" w:ascii="仿宋" w:hAnsi="仿宋" w:cs="仿宋"/>
          <w:color w:val="auto"/>
        </w:rPr>
        <w:t>坚持生态优先，将园区作为工业发展重大平台，推进“厂区变园区、产区变城区”。</w:t>
      </w:r>
    </w:p>
    <w:p w14:paraId="620229E0">
      <w:pPr>
        <w:ind w:firstLine="643"/>
        <w:rPr>
          <w:rFonts w:ascii="仿宋" w:hAnsi="仿宋" w:cs="仿宋"/>
          <w:color w:val="auto"/>
        </w:rPr>
      </w:pPr>
      <w:bookmarkStart w:id="435" w:name="_Toc1038"/>
      <w:bookmarkStart w:id="436" w:name="_Toc26249"/>
      <w:r>
        <w:rPr>
          <w:rFonts w:hint="eastAsia" w:ascii="仿宋" w:hAnsi="仿宋" w:cs="仿宋"/>
          <w:b/>
          <w:bCs/>
          <w:color w:val="auto"/>
        </w:rPr>
        <w:t>推动特色传统产业提质增效</w:t>
      </w:r>
      <w:bookmarkEnd w:id="435"/>
      <w:bookmarkEnd w:id="436"/>
      <w:r>
        <w:rPr>
          <w:rFonts w:hint="eastAsia" w:ascii="仿宋" w:hAnsi="仿宋" w:cs="仿宋"/>
          <w:color w:val="auto"/>
        </w:rPr>
        <w:t>。坚持创新驱动、智能转型、品牌提升，着力推动有色金属、竹制品加工等传统特色产业技术改造与转型升级，不断优化产品结构，逐步向低能耗、绿色环保、高附加值的新领域发展。着力打造“专、精、特、新”特色产品及品牌，强化对全县工业经济的支撑能力。</w:t>
      </w:r>
    </w:p>
    <w:p w14:paraId="71B96A93">
      <w:pPr>
        <w:rPr>
          <w:rFonts w:ascii="仿宋" w:hAnsi="仿宋" w:cs="仿宋"/>
          <w:color w:val="auto"/>
        </w:rPr>
      </w:pPr>
      <w:r>
        <w:rPr>
          <w:rFonts w:hint="eastAsia" w:ascii="仿宋" w:hAnsi="仿宋" w:cs="仿宋"/>
          <w:color w:val="auto"/>
        </w:rPr>
        <w:t>提升发展绿色矿业。促进矿产资源绿色开发和集约利用，建设绿色安全智慧矿山，推进矿产资源精深加工和资源综合利用，延长矿业产业链。提高矿产资源开发利用效率，加强矿产资源规划分区管理，推动矿产资源规模开发和集约利用，减轻矿产资源开发对地质环境的破坏。加快实施矿山地质环境治理工程、矿产资源综合利用工程，推进废弃地复垦利用和综合整治，实现矿区生态修复和矿产可持续利用。积极探索信息化智能化系统的应用，鼓励企业引入大数据和人工智能、5G通讯和虚拟现实等前沿技术，升级改造并重塑矿山核心生产环节及工艺流程，加快建立矿山智能化体系。引导企业加强难选矿、复杂共伴生矿选矿装备与技术工艺研发，优化选矿工艺流程，提高选矿装备水平。</w:t>
      </w:r>
    </w:p>
    <w:p w14:paraId="09C637AF">
      <w:pPr>
        <w:rPr>
          <w:rFonts w:ascii="仿宋" w:hAnsi="仿宋" w:cs="仿宋"/>
          <w:color w:val="auto"/>
        </w:rPr>
      </w:pPr>
      <w:r>
        <w:rPr>
          <w:rFonts w:hint="eastAsia" w:ascii="仿宋" w:hAnsi="仿宋" w:cs="仿宋"/>
          <w:color w:val="auto"/>
        </w:rPr>
        <w:t>推进资源充分利用和产业化进程，积极引进矿产品深加工项目和企业，支持发展铅、锌、铜等矿产的冶炼和延伸加工、精深加工等，不断延长矿业产业链。充分发挥矿山企业技术创新主体作用，加强关键技术攻关，鼓励矿山企业提取尾矿资源有益成分、推广尾矿固废资源加工建材新材料，研究尾矿制砂等技术，提升尾矿（废石）资源的开发利用水平，消减存量尾矿资源，打造成尾矿综合开发利用示范基地。加快推进凡口铅锌矿尾矿综合回收、凡口铅锌矿选矿厂技术升级改造。</w:t>
      </w:r>
    </w:p>
    <w:p w14:paraId="7F0D83DE">
      <w:pPr>
        <w:rPr>
          <w:rFonts w:ascii="仿宋" w:hAnsi="仿宋" w:cs="仿宋"/>
          <w:color w:val="auto"/>
        </w:rPr>
      </w:pPr>
      <w:r>
        <w:rPr>
          <w:rFonts w:hint="eastAsia" w:ascii="仿宋" w:hAnsi="仿宋" w:cs="仿宋"/>
          <w:color w:val="auto"/>
        </w:rPr>
        <w:t>做强有色金属采选加工。抓好董塘凡口绿色工业园区和省级产业转移工业园区建设，大力发展集聚、集中、集约发展的绿色园区工业经济。加快中金岭南有色金属绿色循环产业示范园区建设，推进凡口铅锌矿、丹霞冶炼厂等重点骨干企业技改扩能、提质增效。支持丹冶绿色冶炼升级改造，采用先进工艺技术和装备水平，整合优化有色金属产业，加快丹冶炼锌渣绿色化升级改造项目建成投产。依托丹、凡口矿资源优势，以绿色环保、资源循环利用为方向，打造铅锌铜“采选冶-深加工”为一体的有色金属产业基地，推进矿产品精深加工，延伸有色金属产业链条，发展有色金属下游产品。引进有色金属行业深加工龙头企业来仁建厂，与有色金属冶炼企业加强产品开发合作，推动有色金属行业由原料向材料、由材料向精深加工、由精深加工向终端产品发展的转变，逐步形成有色金属精深加工产业集群。</w:t>
      </w:r>
    </w:p>
    <w:p w14:paraId="0A8FC861">
      <w:pPr>
        <w:rPr>
          <w:rFonts w:ascii="仿宋" w:hAnsi="仿宋" w:cs="仿宋"/>
          <w:color w:val="auto"/>
        </w:rPr>
      </w:pPr>
      <w:r>
        <w:rPr>
          <w:rFonts w:hint="eastAsia" w:ascii="仿宋" w:hAnsi="仿宋" w:cs="仿宋"/>
          <w:color w:val="auto"/>
        </w:rPr>
        <w:t>做精竹制品加工业。以长江镇为中心，联动扶溪镇、闻韶镇等周边镇，加快推动仁化竹产业园的落地建设，重点布局发展竹浆、竹片、竹板、竹炭、竹筷、竹编等竹制品初加工产业，为县域的竹制品精深加工企业提供原材料和半成品。重点发展纳米改性竹炭、竹炭纤维、竹制新材料、竹胶板、重组竹地板、竹刨切单板、竹食品药品、竹家居用品、竹工艺品等高科技含量、高附加值的特色产品。重点推动竹食品制造工业，发展竹笋加工产品，开发不同风味的即食型竹笋产品，发展麦竹精、竹叶黄酮、竹汁浓缩液、竹醋等系列配套产品饮品和保健品加工业。</w:t>
      </w:r>
    </w:p>
    <w:p w14:paraId="1646736E">
      <w:pPr>
        <w:rPr>
          <w:rFonts w:ascii="仿宋" w:hAnsi="仿宋" w:cs="仿宋"/>
          <w:color w:val="auto"/>
        </w:rPr>
      </w:pPr>
      <w:r>
        <w:rPr>
          <w:rFonts w:hint="eastAsia" w:ascii="仿宋" w:hAnsi="仿宋" w:cs="仿宋"/>
          <w:color w:val="auto"/>
        </w:rPr>
        <w:t>大力扶持韶能本色等已落户园区的竹制造企业，加大力度引进和培育竹制造龙头企业，重点布局竹地板、竹家具、竹纸制品、竹食品、竹纤维和制品以及其他高附加值的竹工业制品等产业，推动竹制品精深加工产业链条的发展。</w:t>
      </w:r>
    </w:p>
    <w:p w14:paraId="00636860">
      <w:pPr>
        <w:ind w:firstLine="643"/>
        <w:rPr>
          <w:rFonts w:ascii="仿宋" w:hAnsi="仿宋" w:cs="仿宋"/>
          <w:color w:val="auto"/>
        </w:rPr>
      </w:pPr>
      <w:bookmarkStart w:id="437" w:name="_Toc28766"/>
      <w:bookmarkStart w:id="438" w:name="_Toc279"/>
      <w:r>
        <w:rPr>
          <w:rFonts w:hint="eastAsia" w:ascii="仿宋" w:hAnsi="仿宋" w:cs="仿宋"/>
          <w:b/>
          <w:bCs/>
          <w:color w:val="auto"/>
        </w:rPr>
        <w:t>加快培育壮大新兴产业</w:t>
      </w:r>
      <w:bookmarkEnd w:id="437"/>
      <w:bookmarkEnd w:id="438"/>
      <w:r>
        <w:rPr>
          <w:rFonts w:hint="eastAsia" w:ascii="仿宋" w:hAnsi="仿宋" w:cs="仿宋"/>
          <w:color w:val="auto"/>
        </w:rPr>
        <w:t>。建设以高性能有色金属材料、储能材料及动力电池等为主导的工业体系。把握新一轮科技革命与产业变革交汇机遇，发挥仁化县新兴产业基础优势，不断扩大对口、对接的合作规模和领域，打破单一资源依赖性产业结构，聚焦生物医药、新材料、新能源汽车、先进装备制造等高端、前沿领域，积极谋划布局一批战略性新兴产业重点项目，大力推进高性能有色金属材料、储能材料及动力电池产业“补链”“强链”，培育壮大新兴产业集群。</w:t>
      </w:r>
    </w:p>
    <w:p w14:paraId="23C7064F">
      <w:pPr>
        <w:rPr>
          <w:rFonts w:ascii="仿宋" w:hAnsi="仿宋" w:cs="仿宋"/>
          <w:color w:val="auto"/>
        </w:rPr>
      </w:pPr>
      <w:r>
        <w:rPr>
          <w:rFonts w:hint="eastAsia" w:ascii="仿宋" w:hAnsi="仿宋" w:cs="仿宋"/>
          <w:color w:val="auto"/>
        </w:rPr>
        <w:t>加快有色金属产业“延链”。提升和强化仁化产业转移工业园，延长有色金属加工产业链，重点加大铅、锌、铜等有色金属精深加工重大项目或龙头企业的招商引资工作，尽快实现有色金属加工由资源型初产品向半成品、终端产品发展延伸，大力发展锌合金、纳米锌粉、碳化钨、钨电极等有色深加工产品，打造百亿级有色金属产业集群。</w:t>
      </w:r>
    </w:p>
    <w:p w14:paraId="78C60015">
      <w:pPr>
        <w:rPr>
          <w:rFonts w:ascii="仿宋" w:hAnsi="仿宋" w:cs="仿宋"/>
          <w:color w:val="auto"/>
        </w:rPr>
      </w:pPr>
      <w:r>
        <w:rPr>
          <w:rFonts w:hint="eastAsia" w:ascii="仿宋" w:hAnsi="仿宋" w:cs="仿宋"/>
          <w:color w:val="auto"/>
        </w:rPr>
        <w:t>储能材料及动力电池产业“补链”。对接湾区都市圈产业集群，瞄准新能源、新能源汽车等配套产品需求，发挥仁化县储能材料产业优势，大力拓展延伸新材料产业，重点发展碳酸锂、锂电池正/负极等储能材料产业，以及锂电池等动力电池产业。推动特色产业园区建设，引进和培育一批具有比较优势、掌握核心技术的新材料以及动力储能等方面的高新技术企业，吸引上下游配套新材料企业集聚，发展富有效率的新材料产业集群。</w:t>
      </w:r>
    </w:p>
    <w:p w14:paraId="21475EBC">
      <w:pPr>
        <w:ind w:firstLine="643"/>
        <w:rPr>
          <w:rFonts w:ascii="仿宋" w:hAnsi="仿宋" w:cs="仿宋"/>
          <w:color w:val="auto"/>
        </w:rPr>
      </w:pPr>
      <w:bookmarkStart w:id="439" w:name="_Toc22665"/>
      <w:bookmarkStart w:id="440" w:name="_Toc1035"/>
      <w:r>
        <w:rPr>
          <w:rFonts w:hint="eastAsia" w:ascii="仿宋" w:hAnsi="仿宋" w:cs="仿宋"/>
          <w:b/>
          <w:bCs/>
          <w:color w:val="auto"/>
        </w:rPr>
        <w:t>提升园区平台能级</w:t>
      </w:r>
      <w:bookmarkEnd w:id="439"/>
      <w:bookmarkEnd w:id="440"/>
      <w:r>
        <w:rPr>
          <w:rFonts w:hint="eastAsia" w:ascii="仿宋" w:hAnsi="仿宋" w:cs="仿宋"/>
          <w:b/>
          <w:bCs/>
          <w:color w:val="auto"/>
        </w:rPr>
        <w:t>。</w:t>
      </w:r>
      <w:r>
        <w:rPr>
          <w:rFonts w:hint="eastAsia" w:ascii="仿宋" w:hAnsi="仿宋" w:cs="仿宋"/>
          <w:color w:val="auto"/>
        </w:rPr>
        <w:t>完善产业园区配套设施建设。落实工业园区高质量发展行动计划，高起点谋划园区规划布局，科学扩大园区发展空间，继续实施园区提升工程，大力推进省级产业转移工业园建设，完善园区基础设施，建设园区标准厂房，提升园区承载能力和服务质量，拓展园区发展空间。加快完善园区道路、能源电力等基础设施，完善园区生产生活配套设施，大力开展产业园区内闲置低效用地处置，支持盘活利用存量工业用地，推进建设容积率2.0以上的标准厂房，提升园区承载能力和服务质量。</w:t>
      </w:r>
    </w:p>
    <w:p w14:paraId="2A58AE6E">
      <w:pPr>
        <w:rPr>
          <w:rFonts w:ascii="仿宋" w:hAnsi="仿宋" w:cs="仿宋"/>
          <w:color w:val="auto"/>
        </w:rPr>
      </w:pPr>
      <w:r>
        <w:rPr>
          <w:rFonts w:hint="eastAsia" w:ascii="仿宋" w:hAnsi="仿宋" w:cs="仿宋"/>
          <w:color w:val="auto"/>
        </w:rPr>
        <w:t>争创省级高新区。探索推进“园中园”发展模式，促进新能源、新材料、储能动力等战略性新兴产业集群发展，建设特色园区。合理配套新型商业区，科学规划建设金融、商务、文化等服务功能区。推动与东莞虎门开展跨区域园区合作共建、产业链共同培育，将其打造成为对接“双区”产业转移的重要平台。加大承接粤港澳大湾区产业转移力度，积极参与区域产业分工协作，形成产业梯度化的发展格局。深入推动产业布局系统化，加快打造科技创新转化高地、新兴产业集聚地和绿色发展样板区。</w:t>
      </w:r>
    </w:p>
    <w:p w14:paraId="4F9F642A">
      <w:pPr>
        <w:rPr>
          <w:rFonts w:ascii="仿宋" w:hAnsi="仿宋" w:cs="仿宋"/>
          <w:color w:val="auto"/>
        </w:rPr>
      </w:pPr>
      <w:r>
        <w:rPr>
          <w:rFonts w:hint="eastAsia" w:ascii="仿宋" w:hAnsi="仿宋" w:cs="仿宋"/>
          <w:color w:val="auto"/>
        </w:rPr>
        <w:t>推进智慧园区建设。升级园区信息基础设施，推动园区全光纤高速宽带网络建设，形成园区公共区域和办公楼宇5G无缝覆盖和免费Wi-Fi覆盖。推广5G+智能制造，拓展 5G 网络在工业园区应用推广，构建智慧园区平台体系，综合运用互联网、物联网技术，连通园区内各部门、各企业建的应用服务平台，形成集运行监测、用地管理等功能为一体的智慧园区管理和服务平台。整合和衔接园区内外数字资源，实现基础设施网络化、管理精细化、服务功能专业化和产业发展智能化，提高园区产业集聚、可持续创新发展及企业竞争力。</w:t>
      </w:r>
    </w:p>
    <w:p w14:paraId="40A4CC48">
      <w:pPr>
        <w:ind w:firstLine="643"/>
        <w:rPr>
          <w:rFonts w:ascii="仿宋" w:hAnsi="仿宋" w:cs="仿宋"/>
          <w:color w:val="auto"/>
        </w:rPr>
      </w:pPr>
      <w:bookmarkStart w:id="441" w:name="_Toc16932"/>
      <w:bookmarkStart w:id="442" w:name="_Toc21512"/>
      <w:r>
        <w:rPr>
          <w:rFonts w:hint="eastAsia" w:ascii="仿宋" w:hAnsi="仿宋" w:cs="仿宋"/>
          <w:b/>
          <w:bCs/>
          <w:color w:val="auto"/>
        </w:rPr>
        <w:t>强化工业发展要素保障</w:t>
      </w:r>
      <w:bookmarkEnd w:id="441"/>
      <w:bookmarkEnd w:id="442"/>
      <w:r>
        <w:rPr>
          <w:rFonts w:hint="eastAsia" w:ascii="仿宋" w:hAnsi="仿宋" w:cs="仿宋"/>
          <w:b/>
          <w:bCs/>
          <w:color w:val="auto"/>
        </w:rPr>
        <w:t>。</w:t>
      </w:r>
      <w:r>
        <w:rPr>
          <w:rFonts w:hint="eastAsia" w:ascii="仿宋" w:hAnsi="仿宋" w:cs="仿宋"/>
          <w:color w:val="auto"/>
        </w:rPr>
        <w:t>加强建设用地保障。实行重大项目用地保障政策，对于投资数额较高、产出效益好、带动效应强的重大项目，在符合空间规划和产业政策的前提下，在年度新增用地指标中给予重点倾斜支持，优先保障其土地供应，采取“一企一策”方式给予土地价格优惠政策。提高园区土地集约利用水平，大力盘活存量建设用地，综合利用三旧改造、土地回购等方式盘活闲置低效用地。工业用地在符合规划、土地用途不变的前提下，鼓励实行长期租赁、先租后让、租让结合的工业用地供应方式。鼓励社会资本投资制造业企业。深入推进银企合作，鼓励企业通过资本市场直接融资。积极引入信托、金融租赁、小额贷款机构、中小企业信用担保机构、风险投资基金等机构，完善工业企业投融资体系。加快引进和培育一批产业技术人才。完善政策体系，积极吸引粤港澳大湾区等地区高层次人才来仁就业及技术成果产业化。</w:t>
      </w:r>
    </w:p>
    <w:p w14:paraId="5611942C">
      <w:pPr>
        <w:pStyle w:val="4"/>
        <w:spacing w:before="654" w:after="654"/>
        <w:rPr>
          <w:color w:val="auto"/>
        </w:rPr>
      </w:pPr>
      <w:bookmarkStart w:id="443" w:name="_Toc25262"/>
      <w:bookmarkStart w:id="444" w:name="_Toc8631"/>
      <w:bookmarkStart w:id="445" w:name="_Toc10097"/>
      <w:bookmarkStart w:id="446" w:name="_Toc21003"/>
      <w:bookmarkStart w:id="447" w:name="_Toc13716"/>
      <w:bookmarkStart w:id="448" w:name="_Toc21965"/>
      <w:bookmarkStart w:id="449" w:name="_Toc11571"/>
      <w:bookmarkStart w:id="450" w:name="_Toc2517"/>
      <w:bookmarkStart w:id="451" w:name="_Toc19611"/>
      <w:bookmarkStart w:id="452" w:name="_Toc27744"/>
      <w:bookmarkStart w:id="453" w:name="_Toc1045"/>
      <w:bookmarkStart w:id="454" w:name="_Toc17022"/>
      <w:bookmarkStart w:id="455" w:name="_Toc20467"/>
      <w:bookmarkStart w:id="456" w:name="_Toc6850"/>
      <w:bookmarkStart w:id="457" w:name="_Toc27573"/>
      <w:bookmarkStart w:id="458" w:name="_Toc10480"/>
      <w:bookmarkStart w:id="459" w:name="_Toc25017"/>
      <w:r>
        <w:rPr>
          <w:rFonts w:hint="eastAsia"/>
          <w:color w:val="auto"/>
        </w:rPr>
        <w:t>加快发展现代服务业</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16E9AF3C">
      <w:pPr>
        <w:rPr>
          <w:rFonts w:ascii="仿宋" w:hAnsi="仿宋" w:cs="仿宋"/>
          <w:color w:val="auto"/>
        </w:rPr>
      </w:pPr>
      <w:r>
        <w:rPr>
          <w:rFonts w:hint="eastAsia" w:ascii="仿宋" w:hAnsi="仿宋" w:cs="仿宋"/>
          <w:color w:val="auto"/>
        </w:rPr>
        <w:t>推动生产性服务业向专业化和价值链高端延伸，推动生活性服务业向高品质和多样化升级，积极拓展新兴服务领域，加快构建与新型城镇化、新型工业化、农业现代化要求相匹配的现代服务业体系。</w:t>
      </w:r>
    </w:p>
    <w:p w14:paraId="3BFBFF35">
      <w:pPr>
        <w:ind w:firstLine="643"/>
        <w:rPr>
          <w:rFonts w:ascii="仿宋" w:hAnsi="仿宋" w:cs="仿宋"/>
          <w:color w:val="auto"/>
        </w:rPr>
      </w:pPr>
      <w:bookmarkStart w:id="460" w:name="_Toc14662"/>
      <w:bookmarkStart w:id="461" w:name="_Toc24054"/>
      <w:r>
        <w:rPr>
          <w:rFonts w:hint="eastAsia" w:ascii="仿宋" w:hAnsi="仿宋" w:cs="仿宋"/>
          <w:b/>
          <w:bCs/>
          <w:color w:val="auto"/>
        </w:rPr>
        <w:t>提升发展城乡物流</w:t>
      </w:r>
      <w:bookmarkEnd w:id="460"/>
      <w:bookmarkEnd w:id="461"/>
      <w:r>
        <w:rPr>
          <w:rFonts w:hint="eastAsia" w:ascii="仿宋" w:hAnsi="仿宋" w:cs="仿宋"/>
          <w:b/>
          <w:bCs/>
          <w:color w:val="auto"/>
        </w:rPr>
        <w:t>。</w:t>
      </w:r>
      <w:r>
        <w:rPr>
          <w:rFonts w:hint="eastAsia" w:ascii="仿宋" w:hAnsi="仿宋" w:cs="仿宋"/>
          <w:color w:val="auto"/>
        </w:rPr>
        <w:t>进一步完善物流配套设施，打造功能完备、布局合理、服务高效的现代物流集聚服务平台，提升商贸物流服务能力。针对仁化县优质茶叶、水果、蔬菜保鲜配送等专业物流特色，积极培育引进龙头物流企业，推进物流业态升级、服务提升和智慧化。强化物流资源配置管理，积极发展第三方物流，推广在城市配送、农村物流、冷链物流等重点物流领域无车承运物流模式。完善农村电商软硬件，提升农村电商物流，推动商贸、供销、邮政、电商互联互通，加强从村到乡镇的物流体系建设，打通农村电商最后一公里。推动重要商品物资储备、大型物流配送中心、农产品冷链物流设施等项目建设，发挥物流设施在满足消费需求、保障市场拉动内需中的重要作用。</w:t>
      </w:r>
    </w:p>
    <w:p w14:paraId="52EF85A3">
      <w:pPr>
        <w:ind w:firstLine="643"/>
        <w:rPr>
          <w:rFonts w:ascii="仿宋" w:hAnsi="仿宋" w:cs="仿宋"/>
          <w:color w:val="auto"/>
        </w:rPr>
      </w:pPr>
      <w:bookmarkStart w:id="462" w:name="_Toc13977"/>
      <w:bookmarkStart w:id="463" w:name="_Toc7429"/>
      <w:r>
        <w:rPr>
          <w:rFonts w:hint="eastAsia" w:ascii="仿宋" w:hAnsi="仿宋" w:cs="仿宋"/>
          <w:b/>
          <w:bCs/>
          <w:color w:val="auto"/>
        </w:rPr>
        <w:t>大力发展金融业</w:t>
      </w:r>
      <w:bookmarkEnd w:id="462"/>
      <w:bookmarkEnd w:id="463"/>
      <w:r>
        <w:rPr>
          <w:rFonts w:hint="eastAsia" w:ascii="仿宋" w:hAnsi="仿宋" w:cs="仿宋"/>
          <w:b/>
          <w:bCs/>
          <w:color w:val="auto"/>
        </w:rPr>
        <w:t>。</w:t>
      </w:r>
      <w:r>
        <w:rPr>
          <w:rFonts w:hint="eastAsia" w:ascii="仿宋" w:hAnsi="仿宋" w:cs="仿宋"/>
          <w:color w:val="auto"/>
        </w:rPr>
        <w:t>加快构建线上线下相结合、“政银保”风险共担贷款服务，推出更多免抵押、免担保、低利率、可持续的普惠金融产品。大力推进“三农”金融服务，积极推动金融服务网格化，探索开展农村金融创新试点，拓展农村产权抵押贷款业务。积极发展绿色金融，整合现行节能环保等专项资金探索设立生态产业投资基金，鼓励银行业金融机构积极开展绿色信贷业务。推进“互联网+金融”发展，探索“互联网+金融”创新模式。</w:t>
      </w:r>
    </w:p>
    <w:p w14:paraId="724F14DB">
      <w:pPr>
        <w:ind w:firstLine="643"/>
        <w:rPr>
          <w:rFonts w:ascii="仿宋" w:hAnsi="仿宋" w:cs="仿宋"/>
          <w:color w:val="auto"/>
        </w:rPr>
      </w:pPr>
      <w:bookmarkStart w:id="464" w:name="_Toc11710"/>
      <w:bookmarkStart w:id="465" w:name="_Toc27050"/>
      <w:r>
        <w:rPr>
          <w:rFonts w:hint="eastAsia" w:ascii="仿宋" w:hAnsi="仿宋" w:cs="仿宋"/>
          <w:b/>
          <w:bCs/>
          <w:color w:val="auto"/>
        </w:rPr>
        <w:t>稳步扩大生活服务供给</w:t>
      </w:r>
      <w:bookmarkEnd w:id="464"/>
      <w:bookmarkEnd w:id="465"/>
      <w:r>
        <w:rPr>
          <w:rFonts w:hint="eastAsia" w:ascii="仿宋" w:hAnsi="仿宋" w:cs="仿宋"/>
          <w:color w:val="auto"/>
        </w:rPr>
        <w:t>。保持房地产业平稳健康发展，严格按照《仁化县城市总体规划（2010-2030）》和结合房地产的供需关系，统筹房地产有序开发，加强房地产市场监管，促进房地产企业规范发展，保障消费者合法权益。构建装配式建筑产业链，促进房地产高质量发展。特色化发展电子商务。积极推动电商发展，鼓励企业建立电子商务服务平台，推动商贸领域企业开展电子商务应用，打造电子商务生态圈。加快推电商与仁化特色产业、乡村旅游深度融合，提升效益。规范村级电商站点运行，通过“农村淘宝”等平台，巩固提升农村电商公共服务体系，推动农产品营销渠道与电子商务深度融合，扩大贡柑、长坝沙田柚等仁化名优特产品上行能力。</w:t>
      </w:r>
    </w:p>
    <w:p w14:paraId="29B86F7A">
      <w:pPr>
        <w:ind w:firstLine="643"/>
        <w:rPr>
          <w:rFonts w:ascii="仿宋" w:hAnsi="仿宋" w:cs="仿宋"/>
          <w:color w:val="auto"/>
        </w:rPr>
      </w:pPr>
      <w:bookmarkStart w:id="466" w:name="_Toc1078"/>
      <w:bookmarkStart w:id="467" w:name="_Toc28837"/>
      <w:r>
        <w:rPr>
          <w:rFonts w:hint="eastAsia" w:ascii="仿宋" w:hAnsi="仿宋" w:cs="仿宋"/>
          <w:b/>
          <w:bCs/>
          <w:color w:val="auto"/>
        </w:rPr>
        <w:t>积极拓展新兴服务领域</w:t>
      </w:r>
      <w:bookmarkEnd w:id="466"/>
      <w:bookmarkEnd w:id="467"/>
      <w:r>
        <w:rPr>
          <w:rFonts w:hint="eastAsia" w:ascii="仿宋" w:hAnsi="仿宋" w:cs="仿宋"/>
          <w:b/>
          <w:bCs/>
          <w:color w:val="auto"/>
        </w:rPr>
        <w:t>。</w:t>
      </w:r>
      <w:r>
        <w:rPr>
          <w:rFonts w:hint="eastAsia" w:ascii="仿宋" w:hAnsi="仿宋" w:cs="仿宋"/>
          <w:color w:val="auto"/>
        </w:rPr>
        <w:t>加快发展智慧服务业，深化大数据在旅游、物流等服务业领域的应用。培育发展研发设计、技术转移、知识产权等科技服务业，着力构建有利于技术转移与交易、成果转化与产业化的科技服务体系。加快推进养老社会化、产业化发展，鼓励社会资本兴办规模化、高品质养老服务机构，发展医疗保健、健康体检、健康保险等健康服务。深入推进智慧健康建设，鼓励社会资本投入医疗健康领域，积极开展“互联网+医疗健康”便民惠民服务。加快社区服务业发展，满足居民家政、托幼等需求。</w:t>
      </w:r>
    </w:p>
    <w:p w14:paraId="70A68309">
      <w:pPr>
        <w:pStyle w:val="3"/>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bookmarkStart w:id="468" w:name="_Toc2901"/>
    </w:p>
    <w:p w14:paraId="418F6D4B">
      <w:pPr>
        <w:pStyle w:val="3"/>
        <w:spacing w:before="218" w:after="218"/>
        <w:rPr>
          <w:color w:val="auto"/>
        </w:rPr>
      </w:pPr>
      <w:bookmarkStart w:id="469" w:name="_Toc29819"/>
      <w:bookmarkStart w:id="470" w:name="_Toc27699"/>
      <w:bookmarkStart w:id="471" w:name="_Toc4036"/>
      <w:bookmarkStart w:id="472" w:name="_Toc27674"/>
      <w:bookmarkStart w:id="473" w:name="_Toc24116"/>
      <w:bookmarkStart w:id="474" w:name="_Toc3742"/>
      <w:bookmarkStart w:id="475" w:name="_Toc20644"/>
      <w:bookmarkStart w:id="476" w:name="_Toc10039"/>
      <w:bookmarkStart w:id="477" w:name="_Toc23653"/>
      <w:bookmarkStart w:id="478" w:name="_Toc13434"/>
      <w:bookmarkStart w:id="479" w:name="_Toc5783"/>
      <w:bookmarkStart w:id="480" w:name="_Toc13832"/>
      <w:bookmarkStart w:id="481" w:name="_Toc21548"/>
      <w:bookmarkStart w:id="482" w:name="_Toc21034"/>
      <w:bookmarkStart w:id="483" w:name="_Toc12549"/>
      <w:bookmarkStart w:id="484" w:name="_Toc4575"/>
      <w:r>
        <w:rPr>
          <w:rFonts w:hint="eastAsia"/>
          <w:color w:val="auto"/>
        </w:rPr>
        <w:t>统筹推进基础设施建设</w:t>
      </w:r>
      <w:bookmarkEnd w:id="468"/>
      <w:bookmarkEnd w:id="469"/>
      <w:bookmarkEnd w:id="470"/>
      <w:r>
        <w:rPr>
          <w:rFonts w:hint="eastAsia"/>
          <w:color w:val="auto"/>
        </w:rPr>
        <w:t>，提升绿色发展基础支撑能力</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17D27F85">
      <w:pPr>
        <w:rPr>
          <w:rFonts w:ascii="仿宋" w:hAnsi="仿宋" w:cs="仿宋"/>
          <w:color w:val="auto"/>
        </w:rPr>
      </w:pPr>
      <w:r>
        <w:rPr>
          <w:rFonts w:hint="eastAsia" w:ascii="仿宋" w:hAnsi="仿宋" w:cs="仿宋"/>
          <w:color w:val="auto"/>
        </w:rPr>
        <w:t>聚焦关键领域，加快完善基础设施网络体系，构建多种运输方式衔接紧密的综合交通运输体系，推动能源结构调整，完善城乡水利基础设施，布局建设信息基础设施。</w:t>
      </w:r>
    </w:p>
    <w:p w14:paraId="3BE4F598">
      <w:pPr>
        <w:pStyle w:val="4"/>
        <w:spacing w:before="654" w:after="654"/>
        <w:rPr>
          <w:color w:val="auto"/>
        </w:rPr>
      </w:pPr>
      <w:bookmarkStart w:id="485" w:name="_Toc10051"/>
      <w:bookmarkStart w:id="486" w:name="_Toc1033"/>
      <w:bookmarkStart w:id="487" w:name="_Toc10702"/>
      <w:bookmarkStart w:id="488" w:name="_Toc32236"/>
      <w:bookmarkStart w:id="489" w:name="_Toc16699"/>
      <w:bookmarkStart w:id="490" w:name="_Toc5465"/>
      <w:bookmarkStart w:id="491" w:name="_Toc13585"/>
      <w:bookmarkStart w:id="492" w:name="_Toc13188"/>
      <w:bookmarkStart w:id="493" w:name="_Toc5911"/>
      <w:bookmarkStart w:id="494" w:name="_Toc15814"/>
      <w:bookmarkStart w:id="495" w:name="_Toc5170"/>
      <w:bookmarkStart w:id="496" w:name="_Toc17996"/>
      <w:bookmarkStart w:id="497" w:name="_Toc29766"/>
      <w:bookmarkStart w:id="498" w:name="_Toc27448"/>
      <w:bookmarkStart w:id="499" w:name="_Toc32318"/>
      <w:bookmarkStart w:id="500" w:name="_Toc15500"/>
      <w:bookmarkStart w:id="501" w:name="_Toc21704"/>
      <w:r>
        <w:rPr>
          <w:rFonts w:hint="eastAsia"/>
          <w:color w:val="auto"/>
        </w:rPr>
        <w:t>深化融通联动</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75F9AD35">
      <w:pPr>
        <w:rPr>
          <w:rFonts w:ascii="仿宋" w:hAnsi="仿宋" w:cs="仿宋"/>
          <w:color w:val="auto"/>
        </w:rPr>
      </w:pPr>
      <w:r>
        <w:rPr>
          <w:rFonts w:hint="eastAsia" w:ascii="仿宋" w:hAnsi="仿宋" w:cs="仿宋"/>
          <w:color w:val="auto"/>
        </w:rPr>
        <w:t>紧紧把握粤港澳大湾区和深圳建设中国特色社会主义先行示范区的契机，加快构建现代化基础设施体系，借力“双区”优质资源，打造与“双区”接轨的营商环境，推动仁化高质量发展，实现以生态为特色融入“双区”建设。</w:t>
      </w:r>
    </w:p>
    <w:p w14:paraId="1D2B5A6A">
      <w:pPr>
        <w:ind w:firstLine="643"/>
        <w:rPr>
          <w:rFonts w:ascii="仿宋" w:hAnsi="仿宋" w:cs="仿宋"/>
          <w:color w:val="auto"/>
        </w:rPr>
      </w:pPr>
      <w:bookmarkStart w:id="502" w:name="_Toc20112"/>
      <w:bookmarkStart w:id="503" w:name="_Toc12741"/>
      <w:r>
        <w:rPr>
          <w:rFonts w:hint="eastAsia" w:ascii="仿宋" w:hAnsi="仿宋" w:cs="仿宋"/>
          <w:b/>
          <w:bCs/>
          <w:color w:val="auto"/>
        </w:rPr>
        <w:t>交通设施互联互通</w:t>
      </w:r>
      <w:bookmarkEnd w:id="502"/>
      <w:bookmarkEnd w:id="503"/>
      <w:r>
        <w:rPr>
          <w:rFonts w:hint="eastAsia" w:ascii="仿宋" w:hAnsi="仿宋" w:cs="仿宋"/>
          <w:b/>
          <w:bCs/>
          <w:color w:val="auto"/>
        </w:rPr>
        <w:t>。</w:t>
      </w:r>
      <w:bookmarkStart w:id="504" w:name="_Toc5855"/>
      <w:r>
        <w:rPr>
          <w:rFonts w:hint="eastAsia" w:ascii="仿宋" w:hAnsi="仿宋" w:cs="仿宋"/>
          <w:color w:val="auto"/>
        </w:rPr>
        <w:t>充分发挥仁化县三省要冲的区位优势，全面构建“铁路—公路—航空”多元立体、互联互通、绿色智能的现代综合交通运输体系。</w:t>
      </w:r>
    </w:p>
    <w:p w14:paraId="3505C181">
      <w:pPr>
        <w:rPr>
          <w:rFonts w:ascii="仿宋" w:hAnsi="仿宋" w:cs="仿宋"/>
          <w:color w:val="auto"/>
        </w:rPr>
      </w:pPr>
      <w:r>
        <w:rPr>
          <w:rFonts w:hint="eastAsia" w:ascii="仿宋" w:hAnsi="仿宋" w:cs="仿宋"/>
          <w:color w:val="auto"/>
        </w:rPr>
        <w:t>发挥珠三角与红三角联结点优势，主动对接珠三角与红三角，依托区域高速和铁路，红三角地区未来形成便捷的3小时交通出行圈。促进区域要素流动和产业转移，构筑以粤港澳大湾区为龙头，以仁化为支点，以红三角为支撑的经济走廊。加快现代物流业发展，打造大湾区对接红三角经济圈的重要物流基地。</w:t>
      </w:r>
    </w:p>
    <w:p w14:paraId="7711AAAA">
      <w:pPr>
        <w:rPr>
          <w:rFonts w:ascii="仿宋" w:hAnsi="仿宋" w:cs="仿宋"/>
          <w:color w:val="auto"/>
        </w:rPr>
      </w:pPr>
      <w:r>
        <w:rPr>
          <w:rFonts w:hint="eastAsia" w:ascii="仿宋" w:hAnsi="仿宋" w:cs="仿宋"/>
          <w:color w:val="auto"/>
        </w:rPr>
        <w:t>依托武深高速、韶赣高速的交通区位优势，打破地域隔阂，打通“湾区-仁化”快速通道推进干线公路建设。构建仁化-韶关市区-大湾区的城际快速交通线路，力争实现丹霞山至大湾区主要城市间2小时通达。依托北江航道扩能升级工程，积极争取推动锦江生态特色旅游航道建设，做好配套码头等交通基础设施建设。依托丹霞机场的复航实现航空交通，主动对接，加快谋划机场快速通道，规划建设韶关市雄乐高速公路乐昌长来至仁化段，带动航空人流、物流、旅游等产业发展。未来多元立体的交通优势为仁化县参与地区产业分工，融入地区发展提供了基本的交通保障。</w:t>
      </w:r>
    </w:p>
    <w:p w14:paraId="2CC26E42">
      <w:pPr>
        <w:rPr>
          <w:rFonts w:ascii="仿宋" w:hAnsi="仿宋" w:cs="仿宋"/>
          <w:color w:val="auto"/>
        </w:rPr>
      </w:pPr>
      <w:r>
        <w:rPr>
          <w:rFonts w:hint="eastAsia" w:ascii="仿宋" w:hAnsi="仿宋" w:cs="仿宋"/>
          <w:color w:val="auto"/>
        </w:rPr>
        <w:t>强化区域内互联互通设施建设。加快旅游公路和“四好农村公路”建设，打通环丹景点联通通道，不断提高乡村景点通达性，延伸建设“阅丹旅游公路”。以连通丹霞山与仁化县中心、丹霞山火车站为重点，提升县域内部联通交通网络，构建“快旅慢游”的旅游交通系统。推动城乡客运交通一体化。加快构建公交干线为骨干，常规公交为主体、出租车为补充的多模式、多层次、高效率的公共交通系统，实现轨道站点与快速公交、公共客运的无缝对接。</w:t>
      </w:r>
    </w:p>
    <w:p w14:paraId="371595B3">
      <w:pPr>
        <w:rPr>
          <w:rFonts w:ascii="仿宋" w:hAnsi="仿宋" w:cs="仿宋"/>
          <w:color w:val="auto"/>
        </w:rPr>
      </w:pPr>
      <w:r>
        <w:rPr>
          <w:rFonts w:hint="eastAsia" w:ascii="仿宋" w:hAnsi="仿宋" w:cs="仿宋"/>
          <w:color w:val="auto"/>
        </w:rPr>
        <w:t>积极发展特色公共交通，布局规划观光小火车、缆车、水上飞机、水上巴士、汽车营地体系、畜力交通、自行车等特色交通。结合县域绿道体系，设立自行车骑行绿道和公共自行车分布点，覆盖县域乡村旅游景点，为游客提供低碳环保的出行方式。建设锦江航道，连接夏富村-丹霞山-县城，建设游憩景观带，尝试内河游艇、画舫、摩托艇、水上巴士等水上旅游工具，打造蓝色旅游经济带。在乡村特色景区发展畜力交通，作为其他交通方式难以到达景点的补充方式，提倡生态自然出游，增加趣味体验。以美丽乡村为据点，发展汽车营地体系，重点建设汽车营地据点，按照规模及停留时间，分为临时性营地（汽车休闲站）、周末营地（汽车营地）、假日营地（汽车度假村）三类。</w:t>
      </w:r>
    </w:p>
    <w:p w14:paraId="7FA9AAFA">
      <w:pPr>
        <w:pStyle w:val="2"/>
        <w:ind w:firstLine="0" w:firstLineChars="0"/>
        <w:rPr>
          <w:rFonts w:ascii="仿宋" w:hAnsi="仿宋" w:cs="仿宋"/>
          <w:color w:val="auto"/>
        </w:rPr>
      </w:pPr>
      <w:r>
        <w:rPr>
          <w:rFonts w:hint="eastAsia" w:ascii="仿宋" w:hAnsi="仿宋" w:cs="仿宋"/>
          <w:color w:val="auto"/>
        </w:rPr>
        <w:drawing>
          <wp:inline distT="0" distB="0" distL="114300" distR="114300">
            <wp:extent cx="5271135" cy="5904865"/>
            <wp:effectExtent l="0" t="0" r="5715" b="635"/>
            <wp:docPr id="1" name="图片 1" descr="16108786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10878609(1)"/>
                    <pic:cNvPicPr>
                      <a:picLocks noChangeAspect="1"/>
                    </pic:cNvPicPr>
                  </pic:nvPicPr>
                  <pic:blipFill>
                    <a:blip r:embed="rId17" cstate="print"/>
                    <a:stretch>
                      <a:fillRect/>
                    </a:stretch>
                  </pic:blipFill>
                  <pic:spPr>
                    <a:xfrm>
                      <a:off x="0" y="0"/>
                      <a:ext cx="5271135" cy="5904865"/>
                    </a:xfrm>
                    <a:prstGeom prst="rect">
                      <a:avLst/>
                    </a:prstGeom>
                  </pic:spPr>
                </pic:pic>
              </a:graphicData>
            </a:graphic>
          </wp:inline>
        </w:drawing>
      </w:r>
    </w:p>
    <w:p w14:paraId="30F4C54B">
      <w:pPr>
        <w:pStyle w:val="74"/>
        <w:ind w:firstLine="562"/>
        <w:rPr>
          <w:rFonts w:ascii="仿宋" w:hAnsi="仿宋" w:cs="仿宋"/>
          <w:color w:val="auto"/>
        </w:rPr>
      </w:pPr>
      <w:bookmarkStart w:id="505" w:name="_Toc6724"/>
      <w:r>
        <w:rPr>
          <w:rFonts w:hint="eastAsia" w:ascii="仿宋" w:hAnsi="仿宋" w:cs="仿宋"/>
          <w:color w:val="auto"/>
        </w:rPr>
        <w:t>图6-1 仁化县现状交通图</w:t>
      </w:r>
    </w:p>
    <w:p w14:paraId="434ADAE3">
      <w:pPr>
        <w:ind w:firstLine="643"/>
        <w:rPr>
          <w:rFonts w:ascii="仿宋" w:hAnsi="仿宋" w:cs="仿宋"/>
          <w:color w:val="auto"/>
        </w:rPr>
      </w:pPr>
      <w:r>
        <w:rPr>
          <w:rFonts w:hint="eastAsia" w:ascii="仿宋" w:hAnsi="仿宋" w:cs="仿宋"/>
          <w:b/>
          <w:bCs/>
          <w:color w:val="auto"/>
        </w:rPr>
        <w:t>公共服务资源的互联互通</w:t>
      </w:r>
      <w:bookmarkEnd w:id="504"/>
      <w:bookmarkEnd w:id="505"/>
      <w:r>
        <w:rPr>
          <w:rFonts w:hint="eastAsia" w:ascii="仿宋" w:hAnsi="仿宋" w:cs="仿宋"/>
          <w:b/>
          <w:bCs/>
          <w:color w:val="auto"/>
        </w:rPr>
        <w:t>。</w:t>
      </w:r>
      <w:r>
        <w:rPr>
          <w:rFonts w:hint="eastAsia" w:ascii="仿宋" w:hAnsi="仿宋" w:cs="仿宋"/>
          <w:color w:val="auto"/>
        </w:rPr>
        <w:t>以实现异地同城待遇为目标，积极构建与大湾区对接的体制机制，对接大湾区医疗、教育、养老等领域的基本公共服务标准，加快衔接珠三角基本公共服务标准体系建设，聚焦解决异地办卡、交通出行、医保结算，一卡通结算、景点待遇等在仁化当地使用的软硬件障碍，更好融入区域发展。实现社会事业合作新突破，加强教育、卫生、养老等公共事业的共建合作，深入拓展与大湾区知名学校开展交流合作，争取设立教学点、采风点、社会实践基地等；尝试引用优质医疗资源，深化与湾区三级医院的临床、科研、培训合作，推动在仁化设立分院或合作医院，为下一步发展健康养生产业打下基础。</w:t>
      </w:r>
    </w:p>
    <w:p w14:paraId="645840F5">
      <w:pPr>
        <w:pStyle w:val="4"/>
        <w:spacing w:before="654" w:after="654"/>
        <w:rPr>
          <w:color w:val="auto"/>
        </w:rPr>
      </w:pPr>
      <w:bookmarkStart w:id="506" w:name="_Toc22393"/>
      <w:bookmarkStart w:id="507" w:name="_Toc29310"/>
      <w:bookmarkStart w:id="508" w:name="_Toc31294"/>
      <w:bookmarkStart w:id="509" w:name="_Toc9014"/>
      <w:bookmarkStart w:id="510" w:name="_Toc7974"/>
      <w:bookmarkStart w:id="511" w:name="_Toc14452"/>
      <w:bookmarkStart w:id="512" w:name="_Toc19254"/>
      <w:bookmarkStart w:id="513" w:name="_Toc24915"/>
      <w:bookmarkStart w:id="514" w:name="_Toc19576"/>
      <w:bookmarkStart w:id="515" w:name="_Toc1767"/>
      <w:bookmarkStart w:id="516" w:name="_Toc4562"/>
      <w:bookmarkStart w:id="517" w:name="_Toc15389"/>
      <w:bookmarkStart w:id="518" w:name="_Toc28535"/>
      <w:bookmarkStart w:id="519" w:name="_Toc19416"/>
      <w:bookmarkStart w:id="520" w:name="_Toc30488"/>
      <w:bookmarkStart w:id="521" w:name="_Toc30503"/>
      <w:r>
        <w:rPr>
          <w:rFonts w:hint="eastAsia"/>
          <w:color w:val="auto"/>
        </w:rPr>
        <w:t>增强水利保障能力</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44DD4C6E">
      <w:pPr>
        <w:rPr>
          <w:rFonts w:ascii="仿宋" w:hAnsi="仿宋" w:cs="仿宋"/>
          <w:color w:val="auto"/>
        </w:rPr>
      </w:pPr>
      <w:r>
        <w:rPr>
          <w:rFonts w:hint="eastAsia" w:ascii="仿宋" w:hAnsi="仿宋" w:cs="仿宋"/>
          <w:color w:val="auto"/>
        </w:rPr>
        <w:t>积极践行“节水优先、空间均衡、系统治理、两手发力”的治水方针，牢牢把握“水利工程补短板、水利行业强监管”水利改革发展的总基调，全面提高水利建设、管理和监管水平，实现工程建设水平、依法治水管水、水利信息化建设、行业基础支撑能力等方面提档升级，进一步完善与经济社会发展要求相适应的防洪抗旱减灾体系、水资源合理配置和高效利用体系、水资源保护和河湖健康保障体系、有利于水利科学发展的制度体系，水利基础设施网络进一步完善，水治理体系和水治理能力现代化建设取得重大进展，水安全保障综合能力显著增强。</w:t>
      </w:r>
    </w:p>
    <w:p w14:paraId="444E9977">
      <w:pPr>
        <w:ind w:firstLine="643"/>
        <w:rPr>
          <w:rFonts w:ascii="仿宋" w:hAnsi="仿宋" w:cs="仿宋"/>
          <w:color w:val="auto"/>
        </w:rPr>
      </w:pPr>
      <w:r>
        <w:rPr>
          <w:rFonts w:hint="eastAsia" w:ascii="仿宋" w:hAnsi="仿宋" w:cs="仿宋"/>
          <w:b/>
          <w:bCs/>
          <w:color w:val="auto"/>
        </w:rPr>
        <w:t>补齐水利短板</w:t>
      </w:r>
      <w:r>
        <w:rPr>
          <w:rFonts w:hint="eastAsia" w:ascii="仿宋" w:hAnsi="仿宋" w:cs="仿宋"/>
          <w:color w:val="auto"/>
        </w:rPr>
        <w:t>。完善主要江河防洪体系及流域系统治理，高质量推进中小河流治理，持续加强山洪灾害防治，加快推进病险水库、山塘除险加固，基本建成综合防洪减灾体系；强化节水和水资源合理配置，保障供水安全，完善农村灌排体系，提升供水保障能力；建设具有特色的河湖休闲碧道加强水生态环境修复，维护河湖健康；在水利信息化现有基础上，积极创建智慧水利建设任务。</w:t>
      </w:r>
    </w:p>
    <w:p w14:paraId="77865BAF">
      <w:pPr>
        <w:ind w:firstLine="643"/>
        <w:rPr>
          <w:rFonts w:ascii="仿宋" w:hAnsi="仿宋" w:cs="仿宋"/>
          <w:color w:val="auto"/>
        </w:rPr>
      </w:pPr>
      <w:r>
        <w:rPr>
          <w:rFonts w:hint="eastAsia" w:ascii="仿宋" w:hAnsi="仿宋" w:cs="仿宋"/>
          <w:b/>
          <w:bCs/>
          <w:color w:val="auto"/>
        </w:rPr>
        <w:t>强化水利监管。</w:t>
      </w:r>
      <w:r>
        <w:rPr>
          <w:rFonts w:hint="eastAsia" w:ascii="仿宋" w:hAnsi="仿宋" w:cs="仿宋"/>
          <w:color w:val="auto"/>
        </w:rPr>
        <w:t>强化监管，提升涉水事务监管水平。强化江河湖泊监管，以河湖长制为抓手，以推动河湖长制从“有名”到“有实”转变为目标，全面监管“盛水的盆”和“盆里的水”；强化水资源监管，开展农业用水量计量工作，提升完善工业、生活、商业用水量计量方式，落实节水优先，把节约用水纳入重点监管，促进水资源节约集约利用；强化水利工程监管，充分发挥工程综合效益；强化水土保持监管，全面监管水土流失状况。</w:t>
      </w:r>
    </w:p>
    <w:p w14:paraId="3C97B637">
      <w:pPr>
        <w:ind w:firstLine="643"/>
        <w:rPr>
          <w:rFonts w:ascii="仿宋" w:hAnsi="仿宋" w:cs="仿宋"/>
          <w:b/>
          <w:bCs/>
          <w:color w:val="auto"/>
        </w:rPr>
      </w:pPr>
      <w:r>
        <w:rPr>
          <w:rFonts w:hint="eastAsia" w:ascii="仿宋" w:hAnsi="仿宋" w:cs="仿宋"/>
          <w:b/>
          <w:bCs/>
          <w:color w:val="auto"/>
        </w:rPr>
        <w:t>改革创新提升。</w:t>
      </w:r>
      <w:r>
        <w:rPr>
          <w:rFonts w:hint="eastAsia" w:ascii="仿宋" w:hAnsi="仿宋" w:cs="仿宋"/>
          <w:color w:val="auto"/>
        </w:rPr>
        <w:t>改革创新，发挥政府与市场的协同作用。深化河长制湖长制改革，提升河湖管护水平;加强政策引导，推动形成节水内生动力;完善水资源管理体制，建立水权交易市场，实现节水有偿转让制度，最大限度地利用好现有水资源；推动管护体制改革，促进水利工程良性运行。</w:t>
      </w:r>
    </w:p>
    <w:p w14:paraId="72D4E767">
      <w:pPr>
        <w:pStyle w:val="4"/>
        <w:spacing w:before="654" w:after="654"/>
        <w:rPr>
          <w:color w:val="auto"/>
        </w:rPr>
      </w:pPr>
      <w:bookmarkStart w:id="522" w:name="_Toc21840"/>
      <w:bookmarkStart w:id="523" w:name="_Toc32148"/>
      <w:bookmarkStart w:id="524" w:name="_Toc9519"/>
      <w:bookmarkStart w:id="525" w:name="_Toc7008"/>
      <w:bookmarkStart w:id="526" w:name="_Toc27947"/>
      <w:bookmarkStart w:id="527" w:name="_Toc798"/>
      <w:bookmarkStart w:id="528" w:name="_Toc5785"/>
      <w:bookmarkStart w:id="529" w:name="_Toc119"/>
      <w:bookmarkStart w:id="530" w:name="_Toc9903"/>
      <w:bookmarkStart w:id="531" w:name="_Toc4072"/>
      <w:bookmarkStart w:id="532" w:name="_Toc8094"/>
      <w:bookmarkStart w:id="533" w:name="_Toc7842"/>
      <w:bookmarkStart w:id="534" w:name="_Toc28228"/>
      <w:bookmarkStart w:id="535" w:name="_Toc28213"/>
      <w:bookmarkStart w:id="536" w:name="_Toc16760"/>
      <w:bookmarkStart w:id="537" w:name="_Toc2348"/>
      <w:r>
        <w:rPr>
          <w:rFonts w:hint="eastAsia"/>
          <w:color w:val="auto"/>
        </w:rPr>
        <w:t>加快建设现代能源体系</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0AD1624E">
      <w:pPr>
        <w:rPr>
          <w:rFonts w:ascii="仿宋" w:hAnsi="仿宋" w:cs="仿宋"/>
          <w:color w:val="auto"/>
          <w:sz w:val="28"/>
          <w:szCs w:val="28"/>
        </w:rPr>
      </w:pPr>
      <w:r>
        <w:rPr>
          <w:rFonts w:hint="eastAsia" w:ascii="仿宋" w:hAnsi="仿宋" w:cs="仿宋"/>
          <w:color w:val="auto"/>
        </w:rPr>
        <w:t>坚持安全高效、清洁低碳发展原则，加快电力网络、天然气管网等基础设施建设，促进新能源和可再生能源开发利用，打造现代化能源体系，提升能源保障水平。加快太阳能光伏开发力度，充分利用园区厂房屋顶等区域，引进企业在建设集中式光伏电站项目，推动并网发电。加强对全县可再生资源的利用水平。加强天然气利用推广。推动区域内省主干管网、城市燃气管网公开、公平、公正核定管输价格，加强输配气价格监管。</w:t>
      </w:r>
    </w:p>
    <w:p w14:paraId="3C8AF121">
      <w:pPr>
        <w:rPr>
          <w:rFonts w:ascii="仿宋" w:hAnsi="仿宋" w:cs="仿宋"/>
          <w:color w:val="auto"/>
        </w:rPr>
      </w:pPr>
      <w:r>
        <w:rPr>
          <w:rFonts w:hint="eastAsia" w:ascii="仿宋" w:hAnsi="仿宋" w:cs="仿宋"/>
          <w:color w:val="auto"/>
        </w:rPr>
        <w:t>加快电力基础设施建设，持续开展高标准农村电网改造，完善中压电网，提高供电可靠性，增设变电台区，增加电力供应，解决农村电压不足问题，提升乡村电气化水平。进一步加快高基变电站建设，推进扶溪镇厚塘村35kV变电站建设，解决扶溪镇无变电站站点问题，推进工业园区区电力提升工程，完善产业用电配套，满足企业电力需求。加强公共充电桩建设，积极推动智能变电站、智能电网建设。</w:t>
      </w:r>
    </w:p>
    <w:p w14:paraId="13056FD3">
      <w:pPr>
        <w:pStyle w:val="4"/>
        <w:spacing w:before="654" w:after="654"/>
        <w:rPr>
          <w:color w:val="auto"/>
        </w:rPr>
      </w:pPr>
      <w:bookmarkStart w:id="538" w:name="_Toc16212"/>
      <w:bookmarkStart w:id="539" w:name="_Toc20095"/>
      <w:bookmarkStart w:id="540" w:name="_Toc12723"/>
      <w:bookmarkStart w:id="541" w:name="_Toc16093"/>
      <w:bookmarkStart w:id="542" w:name="_Toc24355"/>
      <w:bookmarkStart w:id="543" w:name="_Toc11820"/>
      <w:bookmarkStart w:id="544" w:name="_Toc19326"/>
      <w:bookmarkStart w:id="545" w:name="_Toc21008"/>
      <w:bookmarkStart w:id="546" w:name="_Toc5372"/>
      <w:bookmarkStart w:id="547" w:name="_Toc5732"/>
      <w:bookmarkStart w:id="548" w:name="_Toc16322"/>
      <w:bookmarkStart w:id="549" w:name="_Toc15581"/>
      <w:bookmarkStart w:id="550" w:name="_Toc18385"/>
      <w:bookmarkStart w:id="551" w:name="_Toc24347"/>
      <w:bookmarkStart w:id="552" w:name="_Toc7297"/>
      <w:bookmarkStart w:id="553" w:name="_Toc16174"/>
      <w:r>
        <w:rPr>
          <w:rFonts w:hint="eastAsia"/>
          <w:color w:val="auto"/>
        </w:rPr>
        <w:t>加快信息基础设施建设</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279B13D1">
      <w:pPr>
        <w:rPr>
          <w:rFonts w:ascii="仿宋" w:hAnsi="仿宋" w:cs="仿宋"/>
          <w:color w:val="auto"/>
        </w:rPr>
      </w:pPr>
      <w:r>
        <w:rPr>
          <w:rFonts w:hint="eastAsia" w:ascii="仿宋" w:hAnsi="仿宋" w:cs="仿宋"/>
          <w:color w:val="auto"/>
        </w:rPr>
        <w:t>抓住5G、人工智能、物联网高速发展机遇，充分发挥信息化在加快经济转型升级，提升社会公共服务水平方面的重要作用，加大新一代信息基础设施建设投入力度，推动新一代信息技术与经济发展深度融合。</w:t>
      </w:r>
    </w:p>
    <w:p w14:paraId="34FBC606">
      <w:pPr>
        <w:ind w:firstLine="643"/>
        <w:rPr>
          <w:rFonts w:ascii="仿宋" w:hAnsi="仿宋" w:cs="仿宋"/>
          <w:color w:val="auto"/>
        </w:rPr>
      </w:pPr>
      <w:bookmarkStart w:id="554" w:name="_Toc1983"/>
      <w:bookmarkStart w:id="555" w:name="_Toc27049"/>
      <w:r>
        <w:rPr>
          <w:rFonts w:hint="eastAsia" w:ascii="仿宋" w:hAnsi="仿宋" w:cs="仿宋"/>
          <w:b/>
          <w:bCs/>
          <w:color w:val="auto"/>
        </w:rPr>
        <w:t>加快5G网络建设和商用步伐</w:t>
      </w:r>
      <w:bookmarkEnd w:id="554"/>
      <w:bookmarkEnd w:id="555"/>
      <w:r>
        <w:rPr>
          <w:rFonts w:hint="eastAsia" w:ascii="仿宋" w:hAnsi="仿宋" w:cs="仿宋"/>
          <w:b/>
          <w:bCs/>
          <w:color w:val="auto"/>
        </w:rPr>
        <w:t>。</w:t>
      </w:r>
      <w:r>
        <w:rPr>
          <w:rFonts w:hint="eastAsia" w:ascii="仿宋" w:hAnsi="仿宋" w:cs="仿宋"/>
          <w:color w:val="auto"/>
        </w:rPr>
        <w:t>加快下一代互联网部署，实现网络、应用、终端全面支持IPv6。扩大无线宽带网络覆盖范围，实现县内重要公共区域和主要景区5G网络商用全覆盖。持续扩容、优化城域骨干网络，提升网络流量承载能力。支持利用5G技术对有线电视网络进行改造升级，实现居民家庭有线无线交互，大屏小屏互动。提升农村地区宽带用户接入速率和普及水平，降低农村信息网络使用成本。</w:t>
      </w:r>
    </w:p>
    <w:p w14:paraId="21E9F6F8">
      <w:pPr>
        <w:ind w:firstLine="643"/>
        <w:rPr>
          <w:rFonts w:ascii="仿宋" w:hAnsi="仿宋" w:cs="仿宋"/>
          <w:color w:val="auto"/>
        </w:rPr>
      </w:pPr>
      <w:bookmarkStart w:id="556" w:name="_Toc20353"/>
      <w:bookmarkStart w:id="557" w:name="_Toc13099"/>
      <w:r>
        <w:rPr>
          <w:rFonts w:hint="eastAsia" w:ascii="仿宋" w:hAnsi="仿宋" w:cs="仿宋"/>
          <w:b/>
          <w:bCs/>
          <w:color w:val="auto"/>
        </w:rPr>
        <w:t>启动城市大脑建设</w:t>
      </w:r>
      <w:bookmarkEnd w:id="556"/>
      <w:bookmarkEnd w:id="557"/>
      <w:r>
        <w:rPr>
          <w:rFonts w:hint="eastAsia" w:ascii="仿宋" w:hAnsi="仿宋" w:cs="仿宋"/>
          <w:color w:val="auto"/>
        </w:rPr>
        <w:t>。加快推进以云计算、数据中心和物联网为核心的城市大脑建设，全力打造新型智慧城区。推进信息云服务平台建设，建立综合性的城市管理数据库，加快实现城市管理基础设施数字化、网络化。建设完成全县统一的城市大脑综合指挥中心，实现对城市运营事件的接入、调度、处理闭环管理，实现智慧城市可视化运行态势、经济运行情况分析和展示，辅助决策。建设公共基础信息库和专题信息库，形成全方位、立体化的智慧仁化信息化模型，为仁化区各类智慧应用提供精确度高、可用性强的公共信息库。</w:t>
      </w:r>
    </w:p>
    <w:p w14:paraId="409E54F7">
      <w:pPr>
        <w:pStyle w:val="3"/>
        <w:numPr>
          <w:ilvl w:val="0"/>
          <w:numId w:val="3"/>
        </w:numPr>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p>
    <w:p w14:paraId="25E986A4">
      <w:pPr>
        <w:pStyle w:val="3"/>
        <w:spacing w:before="218" w:after="218"/>
        <w:rPr>
          <w:color w:val="auto"/>
        </w:rPr>
      </w:pPr>
      <w:bookmarkStart w:id="558" w:name="_Toc764"/>
      <w:bookmarkStart w:id="559" w:name="_Toc2427"/>
      <w:bookmarkStart w:id="560" w:name="_Toc17995"/>
      <w:bookmarkStart w:id="561" w:name="_Toc7285"/>
      <w:bookmarkStart w:id="562" w:name="_Toc11810"/>
      <w:bookmarkStart w:id="563" w:name="_Toc15815"/>
      <w:bookmarkStart w:id="564" w:name="_Toc9361"/>
      <w:bookmarkStart w:id="565" w:name="_Toc21624"/>
      <w:bookmarkStart w:id="566" w:name="_Toc8867"/>
      <w:bookmarkStart w:id="567" w:name="_Toc1127"/>
      <w:bookmarkStart w:id="568" w:name="_Toc26039"/>
      <w:bookmarkStart w:id="569" w:name="_Toc10135"/>
      <w:bookmarkStart w:id="570" w:name="_Toc18312"/>
      <w:bookmarkStart w:id="571" w:name="_Toc31266"/>
      <w:bookmarkStart w:id="572" w:name="_Toc2608"/>
      <w:bookmarkStart w:id="573" w:name="_Toc23275"/>
      <w:r>
        <w:rPr>
          <w:rFonts w:hint="eastAsia"/>
          <w:color w:val="auto"/>
        </w:rPr>
        <w:t>积极融入服务“双区”建设，拓展高质量发展新空间</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4B69D820">
      <w:pPr>
        <w:rPr>
          <w:rFonts w:ascii="仿宋" w:hAnsi="仿宋" w:cs="仿宋"/>
          <w:color w:val="auto"/>
        </w:rPr>
      </w:pPr>
      <w:r>
        <w:rPr>
          <w:rFonts w:hint="eastAsia" w:ascii="仿宋" w:hAnsi="仿宋" w:cs="仿宋"/>
          <w:color w:val="auto"/>
        </w:rPr>
        <w:t>牢牢把握粤港澳大湾区和深圳建设中国特色社会主义先行示范区契机，深度融入国内国际双循环，加快构建现代化基础设施体系，借力“双区”优质资源，为推动仁化高质量发展拓展新空间。</w:t>
      </w:r>
    </w:p>
    <w:p w14:paraId="762B29B2">
      <w:pPr>
        <w:pStyle w:val="4"/>
        <w:spacing w:before="654" w:after="654"/>
        <w:rPr>
          <w:color w:val="auto"/>
        </w:rPr>
      </w:pPr>
      <w:bookmarkStart w:id="574" w:name="_Toc8423"/>
      <w:bookmarkStart w:id="575" w:name="_Toc17369"/>
      <w:bookmarkStart w:id="576" w:name="_Toc57277050"/>
      <w:bookmarkStart w:id="577" w:name="_Toc15153"/>
      <w:bookmarkStart w:id="578" w:name="_Toc10724"/>
      <w:bookmarkStart w:id="579" w:name="_Toc12386"/>
      <w:bookmarkStart w:id="580" w:name="_Toc32068"/>
      <w:bookmarkStart w:id="581" w:name="_Toc32089"/>
      <w:bookmarkStart w:id="582" w:name="_Toc31549"/>
      <w:bookmarkStart w:id="583" w:name="_Toc19332"/>
      <w:bookmarkStart w:id="584" w:name="_Toc9441"/>
      <w:bookmarkStart w:id="585" w:name="_Toc11104"/>
      <w:bookmarkStart w:id="586" w:name="_Toc26145"/>
      <w:bookmarkStart w:id="587" w:name="_Toc30346"/>
      <w:bookmarkStart w:id="588" w:name="_Toc1600"/>
      <w:bookmarkStart w:id="589" w:name="_Toc23757"/>
      <w:bookmarkStart w:id="590" w:name="_Toc4188"/>
      <w:r>
        <w:rPr>
          <w:rFonts w:hint="eastAsia"/>
          <w:color w:val="auto"/>
        </w:rPr>
        <w:t>积极拓展投资空间</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7347ADCD">
      <w:pPr>
        <w:rPr>
          <w:rFonts w:ascii="仿宋" w:hAnsi="仿宋" w:cs="仿宋"/>
          <w:color w:val="auto"/>
        </w:rPr>
      </w:pPr>
      <w:r>
        <w:rPr>
          <w:rFonts w:hint="eastAsia" w:ascii="仿宋" w:hAnsi="仿宋" w:cs="仿宋"/>
          <w:color w:val="auto"/>
        </w:rPr>
        <w:t>精准扩大有效投资、深化投资体制改革、激发社会投资活力，发挥投资对扩大需求、形成供给的关键作用。</w:t>
      </w:r>
    </w:p>
    <w:p w14:paraId="7284842C">
      <w:pPr>
        <w:ind w:firstLine="643"/>
        <w:rPr>
          <w:rFonts w:ascii="仿宋" w:hAnsi="仿宋" w:cs="仿宋"/>
          <w:color w:val="auto"/>
        </w:rPr>
      </w:pPr>
      <w:bookmarkStart w:id="591" w:name="_Toc13384"/>
      <w:bookmarkStart w:id="592" w:name="_Toc15905"/>
      <w:r>
        <w:rPr>
          <w:rFonts w:hint="eastAsia" w:ascii="仿宋" w:hAnsi="仿宋" w:cs="仿宋"/>
          <w:b/>
          <w:bCs/>
          <w:color w:val="auto"/>
        </w:rPr>
        <w:t>精准扩大有效投资</w:t>
      </w:r>
      <w:bookmarkEnd w:id="591"/>
      <w:bookmarkEnd w:id="592"/>
      <w:r>
        <w:rPr>
          <w:rFonts w:hint="eastAsia" w:ascii="仿宋" w:hAnsi="仿宋" w:cs="仿宋"/>
          <w:b/>
          <w:bCs/>
          <w:color w:val="auto"/>
        </w:rPr>
        <w:t>。</w:t>
      </w:r>
      <w:r>
        <w:rPr>
          <w:rFonts w:hint="eastAsia" w:ascii="仿宋" w:hAnsi="仿宋" w:cs="仿宋"/>
          <w:color w:val="auto"/>
        </w:rPr>
        <w:t>坚持以扩大有效投资为主抓手，以重点领域基础设施建设拓展发展空间、提升发展动能。加快补齐基础设施、市政工程、农业农村、公共安全、生态环保、公共卫生、物资储备、防灾减灾、民生保障等领域短板，拉动有效投资。完善城乡供水、排水、污水处理、消防等基础设施建设，推进工业园区环保设施建设。围绕提升融入新发展格局和国内国际双循环重要通道支撑，积极完善对接“双区”、联动周边、拓展发展的通达条件，全面构建互联互通的交通运输体系。重点谋划雄乐高速（仁化段）等涉仁高速的相关配套交通设施建设，大力推进国省道、“四好农村公路”、出省通道改造升级，畅顺农村道路微循环，缩短城乡距离，降低物流成本。加快水利设施建设，结合北江航道扩能升级推动锦江生态特色旅游航道建设。全面加强危桥、病险山塘、水库的除险加固治理，完善城乡防洪排涝设施建设，全面提升防灾减灾能力和供水安全保障水平。强化项目谋划、包装、储备，积极争取上级资金，加强“项目库”建设。加强能源设施建设，完善天然气主干管网的对接，大力发展新能源发电项目，推进电网智能化改造升级。推动覆盖城乡的物流基础设施建设，推进省冷链物流骨干网区域中心城市建设，加快建设联通大湾区与内地的商贸流通体系。</w:t>
      </w:r>
    </w:p>
    <w:p w14:paraId="0944A764">
      <w:pPr>
        <w:ind w:firstLine="643"/>
        <w:rPr>
          <w:rFonts w:ascii="仿宋" w:hAnsi="仿宋" w:cs="仿宋"/>
          <w:color w:val="auto"/>
        </w:rPr>
      </w:pPr>
      <w:bookmarkStart w:id="593" w:name="_Toc32150"/>
      <w:bookmarkStart w:id="594" w:name="_Toc26293"/>
      <w:r>
        <w:rPr>
          <w:rFonts w:hint="eastAsia" w:ascii="仿宋" w:hAnsi="仿宋" w:cs="仿宋"/>
          <w:b/>
          <w:bCs/>
          <w:color w:val="auto"/>
        </w:rPr>
        <w:t>深化投资体制改革</w:t>
      </w:r>
      <w:bookmarkEnd w:id="593"/>
      <w:bookmarkEnd w:id="594"/>
      <w:r>
        <w:rPr>
          <w:rFonts w:hint="eastAsia" w:ascii="仿宋" w:hAnsi="仿宋" w:cs="仿宋"/>
          <w:color w:val="auto"/>
        </w:rPr>
        <w:t>。进一步明确政府投资范围，优化政府投资安排方式，规范和加强政府投资管理。建立政府投资范围动态调整机制，根据新时代社会主要矛盾的变化和高质量发展要求，健全完善政府投资范围评估调整机制，不断优化政府投资的方向和结构。科学编制政府投资计划，优化投资计划编制和平衡衔接机制。推动财政预算与投资计划有效衔接，规范安排和使用各类政府投资资金，统筹财政建设资金，形成政府投资合力。深入推进投资审批制度改革，进一步确立企业投资主体地位，建立健全投资项目“三个清单”管理制度，不断优化企业投资项目管理流程，规范企业投资行为。制定主线审批流程、重要综合论证事项清单、明确审批标准，对应灵活采取附件容缺承诺、一般事项后置承诺、免审查达标承诺等多种方式，切实精简审批环节、材料和事项。建立以投资决策综合性咨询为基础的联合评审机制，鼓励发展全过程和综合性投资咨询机构，推动投资中介服务机构由资质管理向行业自律、市场约束、信用监管模式转变。深化投资项目承诺制改革，在重点园区加快推广应用。</w:t>
      </w:r>
    </w:p>
    <w:p w14:paraId="0D3714D8">
      <w:pPr>
        <w:ind w:firstLine="643"/>
        <w:rPr>
          <w:rFonts w:ascii="仿宋" w:hAnsi="仿宋" w:cs="仿宋"/>
          <w:color w:val="auto"/>
        </w:rPr>
      </w:pPr>
      <w:bookmarkStart w:id="595" w:name="_Toc396"/>
      <w:bookmarkStart w:id="596" w:name="_Toc17086"/>
      <w:r>
        <w:rPr>
          <w:rFonts w:hint="eastAsia" w:ascii="仿宋" w:hAnsi="仿宋" w:cs="仿宋"/>
          <w:b/>
          <w:bCs/>
          <w:color w:val="auto"/>
        </w:rPr>
        <w:t>激发社会投资活力</w:t>
      </w:r>
      <w:bookmarkEnd w:id="595"/>
      <w:bookmarkEnd w:id="596"/>
      <w:r>
        <w:rPr>
          <w:rFonts w:hint="eastAsia" w:ascii="仿宋" w:hAnsi="仿宋" w:cs="仿宋"/>
          <w:b/>
          <w:bCs/>
          <w:color w:val="auto"/>
        </w:rPr>
        <w:t>。</w:t>
      </w:r>
      <w:r>
        <w:rPr>
          <w:rFonts w:hint="eastAsia" w:ascii="仿宋" w:hAnsi="仿宋" w:cs="仿宋"/>
          <w:color w:val="auto"/>
        </w:rPr>
        <w:t>细化配套政策措施，加大政府和社会资本投资合作力度，推动解决民间投资用地、用能、人才引进、政策配套、报建审批等实际困难，优化民间投资环境。拓宽低成本融资渠道，引导和鼓励民营企业加大在资本市场融资力度，推动金融机构推出符合民营企业特点的信贷产品，增加信用贷款、中长期贷款规模和比例。鼓励民间资本参与新型城镇化建设，支持民间资本加大5G网络、人工智能、工业互联网、物联网等新型基础设施的投资建设力度。发挥向民间资本推介项目长效机制作用，定期公开发布回报机制明确、商业潜力大的项目，吸引民间资本参与。积极探索基础设施REITs，盘活基础设施存量资产，扩宽民间投资渠道。完善政策措施，规范创新推进政府和社会资本合作（PPP）模式，吸引社会资本参与重点领域项目。</w:t>
      </w:r>
    </w:p>
    <w:p w14:paraId="1FD0BCDD">
      <w:pPr>
        <w:pStyle w:val="4"/>
        <w:spacing w:before="654" w:after="654"/>
        <w:rPr>
          <w:color w:val="auto"/>
        </w:rPr>
      </w:pPr>
      <w:bookmarkStart w:id="597" w:name="_Toc25088"/>
      <w:bookmarkStart w:id="598" w:name="_Toc17865"/>
      <w:bookmarkStart w:id="599" w:name="_Toc8046"/>
      <w:bookmarkStart w:id="600" w:name="_Toc31347"/>
      <w:bookmarkStart w:id="601" w:name="_Toc7711"/>
      <w:bookmarkStart w:id="602" w:name="_Toc10715"/>
      <w:bookmarkStart w:id="603" w:name="_Toc13195"/>
      <w:bookmarkStart w:id="604" w:name="_Toc12527"/>
      <w:bookmarkStart w:id="605" w:name="_Toc2823"/>
      <w:bookmarkStart w:id="606" w:name="_Toc10988"/>
      <w:bookmarkStart w:id="607" w:name="_Toc1820"/>
      <w:r>
        <w:rPr>
          <w:rFonts w:hint="eastAsia"/>
          <w:color w:val="auto"/>
        </w:rPr>
        <w:t>积极打造旅游消费城市</w:t>
      </w:r>
      <w:bookmarkEnd w:id="597"/>
      <w:bookmarkEnd w:id="598"/>
      <w:bookmarkEnd w:id="599"/>
      <w:bookmarkEnd w:id="600"/>
      <w:bookmarkEnd w:id="601"/>
      <w:bookmarkEnd w:id="602"/>
      <w:bookmarkEnd w:id="603"/>
      <w:bookmarkEnd w:id="604"/>
      <w:bookmarkEnd w:id="605"/>
      <w:bookmarkEnd w:id="606"/>
      <w:bookmarkEnd w:id="607"/>
    </w:p>
    <w:p w14:paraId="10659504">
      <w:pPr>
        <w:rPr>
          <w:rFonts w:ascii="仿宋" w:hAnsi="仿宋" w:cs="仿宋"/>
          <w:color w:val="auto"/>
        </w:rPr>
      </w:pPr>
      <w:r>
        <w:rPr>
          <w:rFonts w:hint="eastAsia" w:ascii="仿宋" w:hAnsi="仿宋" w:cs="仿宋"/>
          <w:color w:val="auto"/>
        </w:rPr>
        <w:t>增强消费的基础性作用，大力培育新型消费，提升传统消费，适当增加公共消费。加快提升城市消费，扩大农村消费，发展服务消费，增加数字消费，倡导品质消费，扩大优质服务供给，发展壮大消费主体，进一步激发消费市场活力。</w:t>
      </w:r>
    </w:p>
    <w:p w14:paraId="248A42A5">
      <w:pPr>
        <w:ind w:firstLine="643"/>
        <w:rPr>
          <w:rFonts w:ascii="仿宋" w:hAnsi="仿宋" w:cs="仿宋"/>
          <w:color w:val="auto"/>
        </w:rPr>
      </w:pPr>
      <w:r>
        <w:rPr>
          <w:rFonts w:hint="eastAsia" w:ascii="仿宋" w:hAnsi="仿宋" w:cs="仿宋"/>
          <w:b/>
          <w:bCs/>
          <w:color w:val="auto"/>
        </w:rPr>
        <w:t>着力激活消费潜力</w:t>
      </w:r>
      <w:r>
        <w:rPr>
          <w:rFonts w:hint="eastAsia" w:ascii="仿宋" w:hAnsi="仿宋" w:cs="仿宋"/>
          <w:color w:val="auto"/>
        </w:rPr>
        <w:t>。抓住国家构建新发展格局契机，把实施扩大内需战略和深化供给侧、需求侧结构性改革有机结合起来，拓展畅通国内大循环和联通国内国际双循环的通道。充分发挥丹霞山龙头带动作用和全国文明城市、全域旅游示范区等品牌效应，打造旅游消费节点县和消费集聚区，激发农村地区消费潜力。顺应消费需求新变化，促进实物消费提档升级，大力发展旅游手信，以旅游美食街、网红打卡点等为载体，推进旅游服务消费扩容提质，激发消费新增长点。</w:t>
      </w:r>
    </w:p>
    <w:p w14:paraId="2579FDFA">
      <w:pPr>
        <w:ind w:firstLine="643"/>
        <w:rPr>
          <w:rFonts w:ascii="仿宋" w:hAnsi="仿宋" w:cs="仿宋"/>
          <w:color w:val="auto"/>
        </w:rPr>
      </w:pPr>
      <w:bookmarkStart w:id="608" w:name="_Toc13287"/>
      <w:bookmarkStart w:id="609" w:name="_Toc28453"/>
      <w:r>
        <w:rPr>
          <w:rFonts w:hint="eastAsia" w:ascii="仿宋" w:hAnsi="仿宋" w:cs="仿宋"/>
          <w:b/>
          <w:bCs/>
          <w:color w:val="auto"/>
        </w:rPr>
        <w:t>大力培育新模式新业态消费</w:t>
      </w:r>
      <w:bookmarkEnd w:id="608"/>
      <w:bookmarkEnd w:id="609"/>
      <w:r>
        <w:rPr>
          <w:rFonts w:hint="eastAsia" w:ascii="仿宋" w:hAnsi="仿宋" w:cs="仿宋"/>
          <w:b/>
          <w:bCs/>
          <w:color w:val="auto"/>
        </w:rPr>
        <w:t>。</w:t>
      </w:r>
      <w:r>
        <w:rPr>
          <w:rFonts w:hint="eastAsia" w:ascii="仿宋" w:hAnsi="仿宋" w:cs="仿宋"/>
          <w:color w:val="auto"/>
        </w:rPr>
        <w:t>聚焦消费全过程和重点消费领域，探索发展消费新模式新业态，重点培育绿色消费、文旅消费、健康消费、养老消费等，打造面向“双区”的“菜篮子”“果盘子”“米袋子”和“后花园”“康养地”“体验场”。聚焦个性定制、体验感受、网络智能等新热点，积极发展平台经济、共享经济、体验经济和创意经济等新业态，抢占大湾区区域市场，推动消费升级。</w:t>
      </w:r>
    </w:p>
    <w:p w14:paraId="71F1ACA5">
      <w:pPr>
        <w:rPr>
          <w:rFonts w:ascii="仿宋" w:hAnsi="仿宋" w:cs="仿宋"/>
          <w:color w:val="auto"/>
        </w:rPr>
      </w:pPr>
      <w:r>
        <w:rPr>
          <w:rFonts w:hint="eastAsia" w:ascii="仿宋" w:hAnsi="仿宋" w:cs="仿宋"/>
          <w:color w:val="auto"/>
        </w:rPr>
        <w:t>培育健康养老消费。积极培育周田镇和大桥镇的《中药材规范化、规模化、产业化种植基地》和《仁化县草珊瑚和何首乌基地》中药材产业化技术支持服务平台建设，促进中医药、医疗服务、健康养生产业加快发展。积极发展益智、何首乌等特色南药产业，加大优质中药材基地建设，支持本地制药企业积极开发中药饮片、植物提取物、特殊用途化妆品、药食同源产品的研制、开发与生产。树立健康养老大产业观念，积极盘活利用各类养老资源，支持社会力量通过市场化运作方式，开办具有医疗卫生和养老服务资质、能力的医养结合养老机构，加快构筑包括养老医疗保健、康复护理、托管托养服务、养老陪护家政服务、养老地产、养老保险保险、养老中介等服务高效融合的养老产业链，催生庞大的健康养老市场需求。加快智能健康产品创新和应用，促进智慧健康养老产业发展。积极发展健康管理产业，支持医院体检中心向综合性健康管理机构转型，拓展健康管理服务产业链，开展咨询、风险评估、筛查、干预、档案建立、就诊指导、就诊预约等全过程综合健康管理服务。充分利用中医药、特色农产品等养生资源，争取省属单位创建养老分院落户仁化，创建一批国家级和省级养老和健康养生示范基地。</w:t>
      </w:r>
    </w:p>
    <w:p w14:paraId="0ECE5DCB">
      <w:pPr>
        <w:rPr>
          <w:rFonts w:ascii="仿宋" w:hAnsi="仿宋" w:cs="仿宋"/>
          <w:color w:val="auto"/>
        </w:rPr>
      </w:pPr>
      <w:r>
        <w:rPr>
          <w:rFonts w:hint="eastAsia" w:ascii="仿宋" w:hAnsi="仿宋" w:cs="仿宋"/>
          <w:color w:val="auto"/>
        </w:rPr>
        <w:t>培育体育健身消费</w:t>
      </w:r>
      <w:r>
        <w:rPr>
          <w:rFonts w:hint="eastAsia" w:ascii="仿宋" w:hAnsi="仿宋" w:cs="仿宋"/>
          <w:b/>
          <w:bCs/>
          <w:color w:val="auto"/>
        </w:rPr>
        <w:t>。</w:t>
      </w:r>
      <w:r>
        <w:rPr>
          <w:rFonts w:hint="eastAsia" w:ascii="仿宋" w:hAnsi="仿宋" w:cs="仿宋"/>
          <w:color w:val="auto"/>
        </w:rPr>
        <w:t>依托户外运动基地等项目建设，引入主流俱乐部、户外运动运营商、设备供应商、相关商品旗舰店等市场主体，逐步构建起完善的户外运动产业链条，打造岭南户外运动度假中心和体育服务综合体，分时段、分季节、有节奏地开展知名户外运动品牌活动，塑造仁化户外运动休闲新名片。支持各地集合乡村旅游资源，开发毅行、骑行、攀爬、登山、野营漂流、垂钓、自行车等户外体育旅游产品，持续办好徒步穿越大丹霞大赛、丹霞山山地国际马拉松及环丹霞山自行车赛、南粤古驿道定向大赛等秋冬户外赛事，谋划水上蹦床、漂流等春夏季户外活动赛事系列。打造具有国际影响力的户外运动系列品牌，把丹霞山系列户外运动赛事打造成广东省文化体育与旅游融合发展的典范。加快运行体育产业实体培育，促进健身休闲、竞赛表演、场馆服务、中介培训等体育服务业加快发展。</w:t>
      </w:r>
    </w:p>
    <w:p w14:paraId="55AC8490">
      <w:pPr>
        <w:rPr>
          <w:rFonts w:ascii="仿宋" w:hAnsi="仿宋" w:cs="仿宋"/>
          <w:color w:val="auto"/>
        </w:rPr>
      </w:pPr>
      <w:r>
        <w:rPr>
          <w:rFonts w:hint="eastAsia" w:ascii="仿宋" w:hAnsi="仿宋" w:cs="仿宋"/>
          <w:color w:val="auto"/>
        </w:rPr>
        <w:t>繁荣节日消费市场。制定年度重要节假日和重大活动促消费活动方案，确定活动主题，做到以节促销、以展引销。通过展销、展览、论坛、技能比赛等多种形式，进一步打造具有区域影响力的“购物节”，努力扩大消费规模。深入实施放心消费行动，全方位优化消费环境，加强消费市场信用体系建设，倡导经营者依法诚信经营，强化消费质量监管，积极保护消费者合法权益，营造放心消费环境。</w:t>
      </w:r>
    </w:p>
    <w:p w14:paraId="70EEA8AD">
      <w:pPr>
        <w:ind w:firstLine="643"/>
        <w:rPr>
          <w:rFonts w:ascii="仿宋" w:hAnsi="仿宋" w:cs="仿宋"/>
          <w:color w:val="auto"/>
        </w:rPr>
      </w:pPr>
      <w:bookmarkStart w:id="610" w:name="_Toc2603"/>
      <w:bookmarkStart w:id="611" w:name="_Toc23627"/>
      <w:r>
        <w:rPr>
          <w:rFonts w:hint="eastAsia" w:ascii="仿宋" w:hAnsi="仿宋" w:cs="仿宋"/>
          <w:b/>
          <w:bCs/>
          <w:color w:val="auto"/>
        </w:rPr>
        <w:t>持续提升传统消费</w:t>
      </w:r>
      <w:bookmarkEnd w:id="610"/>
      <w:bookmarkEnd w:id="611"/>
      <w:r>
        <w:rPr>
          <w:rFonts w:hint="eastAsia" w:ascii="仿宋" w:hAnsi="仿宋" w:cs="仿宋"/>
          <w:color w:val="auto"/>
        </w:rPr>
        <w:t>。塑造城市新商圈。以打造特色商圈理念，加快城市商业优化布局和改造提升，塑造仁化商业新中心。中心城区加快商业街区改造提升和商业楼宇集聚，完善政务、商务功能，形成以政务和生活服务为特色的城市商圈。加快专业市场提升升级，推动建设一批集购物、文化娱乐、休闲为一体的商业综合体，打造与专业市场和新兴购娱中心为特色的城市新商圈。环丹门户小镇等积极利用优质生态环境，加快新型商贸集聚，打造以文化消费娱乐为特色的时尚休闲商圈。大力支持汽车消费，推动汽车等消费品由购买管理向使用管理转变。稳定住房消费，促进住房消费健康发展。积极发展信贷消费，鼓励信贷消费、刷卡消费，不断扩大消费领域和提高消费水平。完善消费基础设施，持续推进城区农贸市场改造提升、农产品批发市场建设。</w:t>
      </w:r>
    </w:p>
    <w:p w14:paraId="5665FDEB">
      <w:pPr>
        <w:rPr>
          <w:rFonts w:ascii="仿宋" w:hAnsi="仿宋" w:cs="仿宋"/>
          <w:color w:val="auto"/>
        </w:rPr>
      </w:pPr>
      <w:r>
        <w:rPr>
          <w:rFonts w:hint="eastAsia" w:ascii="仿宋" w:hAnsi="仿宋" w:cs="仿宋"/>
          <w:color w:val="auto"/>
        </w:rPr>
        <w:t>培育新兴商贸业态。抢抓消费升级机遇，推动传统商业模式变革，积极推进商业街区“微更新”，打造小而美的精品街区，大力发展体验式消费。积极完善社区微商圈，引入新零售连锁品牌和24小时便利店，打通居民生活服务最后一公里。顺应线上新零售发展趋势，改造一批农产品批发市场、农贸市场、社区菜店、生鲜超市连锁店等，推动生鲜配送线上线下融合发展。以培育商贸经济新增长点、提高人民生活便利水平为宗旨。</w:t>
      </w:r>
    </w:p>
    <w:p w14:paraId="2CBC6759">
      <w:pPr>
        <w:rPr>
          <w:rFonts w:ascii="仿宋" w:hAnsi="仿宋" w:cs="仿宋"/>
          <w:color w:val="auto"/>
        </w:rPr>
      </w:pPr>
      <w:r>
        <w:rPr>
          <w:rFonts w:hint="eastAsia" w:ascii="仿宋" w:hAnsi="仿宋" w:cs="仿宋"/>
          <w:color w:val="auto"/>
        </w:rPr>
        <w:t>大力发展“夜经济”。重点开发锦江（仁化县城中心段）一河两岸，推动锦江两岸夜间灯光、景观等工程建设，完善休闲设施及水上游览娱乐项目，策划主题水景灯光秀。在锦江（仁化县城中心段）一河两岸打造夜间休闲街区，引导各种休闲、娱乐、时尚产业业态加快发展，将县中心打造成为仁化夜间经济、夜间旅游发展核心区。开发夜间演艺活动。通过主题公园表演、山水实景表演、室内娱乐表演、室外舞台表演等形式展现石塘月姐歌、过山瑶表演、山水实景剧。在特定的节日配合相应的主题举办露天电影节、啤酒节、特色美食节、音乐节等活动，吸引本地年轻人及游客到场参加，带旺人气。</w:t>
      </w:r>
    </w:p>
    <w:p w14:paraId="198FE06A">
      <w:pPr>
        <w:ind w:firstLine="643"/>
        <w:rPr>
          <w:rFonts w:ascii="仿宋" w:hAnsi="仿宋" w:cs="仿宋"/>
          <w:color w:val="auto"/>
        </w:rPr>
      </w:pPr>
      <w:bookmarkStart w:id="612" w:name="_Toc18665"/>
      <w:bookmarkStart w:id="613" w:name="_Toc10188"/>
      <w:r>
        <w:rPr>
          <w:rFonts w:hint="eastAsia" w:ascii="仿宋" w:hAnsi="仿宋" w:cs="仿宋"/>
          <w:b/>
          <w:bCs/>
          <w:color w:val="auto"/>
        </w:rPr>
        <w:t>引导发展绿色消费</w:t>
      </w:r>
      <w:bookmarkEnd w:id="612"/>
      <w:bookmarkEnd w:id="613"/>
      <w:r>
        <w:rPr>
          <w:rFonts w:hint="eastAsia" w:ascii="仿宋" w:hAnsi="仿宋" w:cs="仿宋"/>
          <w:color w:val="auto"/>
        </w:rPr>
        <w:t>。鼓励绿色商品消费，引导企业扩大绿色商品采购和销售，引导消费者选择绿色认证产品。推行绿色包装，减少一次性生活用品、购物袋的使用。鼓励旧货市场规范发展，促进二手商品流通。推广绿色建材应用，大力发展绿色建筑，推广使用节能门窗、陶瓷薄砖、节水洁具等绿色建材和水性涂料等环保装修材料及竹木制品等可再生资源产品。推广低碳标签标识产品应用，加强绿色消费宣传教育，推进公共机构带头绿色消费，政府采购优先购买低碳产品，大力推广节能节水产品、资源再生产品、新能源汽车等绿色消费品使用，引导家电升级换代，推动家用电器终端用能产品能效水平不断提升。</w:t>
      </w:r>
    </w:p>
    <w:p w14:paraId="691AE6F2">
      <w:pPr>
        <w:pStyle w:val="4"/>
        <w:spacing w:before="654" w:after="654"/>
        <w:rPr>
          <w:color w:val="auto"/>
        </w:rPr>
      </w:pPr>
      <w:bookmarkStart w:id="614" w:name="_Toc8198"/>
      <w:bookmarkStart w:id="615" w:name="_Toc16251"/>
      <w:bookmarkStart w:id="616" w:name="_Toc9451"/>
      <w:bookmarkStart w:id="617" w:name="_Toc24142"/>
      <w:bookmarkStart w:id="618" w:name="_Toc9358"/>
      <w:bookmarkStart w:id="619" w:name="_Toc6750"/>
      <w:bookmarkStart w:id="620" w:name="_Toc27108"/>
      <w:bookmarkStart w:id="621" w:name="_Toc24245"/>
      <w:bookmarkStart w:id="622" w:name="_Toc3969"/>
      <w:bookmarkStart w:id="623" w:name="_Toc8416"/>
      <w:bookmarkStart w:id="624" w:name="_Toc7359"/>
      <w:bookmarkStart w:id="625" w:name="_Toc29886"/>
      <w:bookmarkStart w:id="626" w:name="_Toc28236"/>
      <w:bookmarkStart w:id="627" w:name="_Toc57277049"/>
      <w:bookmarkStart w:id="628" w:name="_Toc16369"/>
      <w:bookmarkStart w:id="629" w:name="_Toc28815"/>
      <w:bookmarkStart w:id="630" w:name="_Toc19892"/>
      <w:r>
        <w:rPr>
          <w:rFonts w:hint="eastAsia"/>
          <w:color w:val="auto"/>
        </w:rPr>
        <w:t>坚持招商引资优先地位</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2DADF0DC">
      <w:pPr>
        <w:rPr>
          <w:rFonts w:ascii="仿宋" w:hAnsi="仿宋" w:cs="仿宋"/>
          <w:color w:val="auto"/>
        </w:rPr>
      </w:pPr>
      <w:r>
        <w:rPr>
          <w:rFonts w:hint="eastAsia" w:ascii="仿宋" w:hAnsi="仿宋" w:cs="仿宋"/>
          <w:color w:val="auto"/>
        </w:rPr>
        <w:t>坚持以优质环境资源和庞大消费市场吸引社会投资，政府精准投资打造优质营商环境、优势自然资源和培育两山转化的市场潜力，增强社会投资的积极性。</w:t>
      </w:r>
    </w:p>
    <w:p w14:paraId="3C9145D7">
      <w:pPr>
        <w:pStyle w:val="2"/>
        <w:ind w:firstLine="643"/>
        <w:rPr>
          <w:rFonts w:ascii="仿宋" w:hAnsi="仿宋" w:cs="仿宋"/>
          <w:color w:val="auto"/>
        </w:rPr>
      </w:pPr>
      <w:r>
        <w:rPr>
          <w:rFonts w:hint="eastAsia" w:ascii="仿宋" w:hAnsi="仿宋" w:cs="仿宋"/>
          <w:b/>
          <w:bCs/>
          <w:color w:val="auto"/>
        </w:rPr>
        <w:t>高质量推进对口帮扶。</w:t>
      </w:r>
      <w:r>
        <w:rPr>
          <w:rFonts w:hint="eastAsia" w:ascii="仿宋" w:hAnsi="仿宋" w:cs="仿宋"/>
          <w:color w:val="auto"/>
        </w:rPr>
        <w:t>积极构建产业链合作新机制，对接东莞的战略性新兴产业体系，发挥仁化优势，承接东莞特色优势产业，吸引重大项目及产业链条的重要环节落户产业共建园区。探索仁化县产业转移工业园与帮扶地区实现跨地区投资、企业迁移、生态链共建等涉及的税收的转移和分成、GDP的分成、以及补偿机制的建设，助推园区经济发展的重点产业。依托东莞，实现教育办学、医疗服务水平的全面提高，与虎门联合搭建城乡融合发展新平台，推动民生福祉事业发展。</w:t>
      </w:r>
    </w:p>
    <w:p w14:paraId="157D1248">
      <w:pPr>
        <w:ind w:firstLine="643"/>
        <w:rPr>
          <w:rFonts w:ascii="仿宋" w:hAnsi="仿宋" w:cs="仿宋"/>
          <w:color w:val="auto"/>
        </w:rPr>
      </w:pPr>
      <w:bookmarkStart w:id="631" w:name="_Toc4597"/>
      <w:bookmarkStart w:id="632" w:name="_Toc1690"/>
      <w:r>
        <w:rPr>
          <w:rFonts w:hint="eastAsia" w:ascii="仿宋" w:hAnsi="仿宋" w:cs="仿宋"/>
          <w:b/>
          <w:bCs/>
          <w:color w:val="auto"/>
        </w:rPr>
        <w:t>高质量开展链式招商</w:t>
      </w:r>
      <w:bookmarkEnd w:id="631"/>
      <w:bookmarkEnd w:id="632"/>
      <w:r>
        <w:rPr>
          <w:rFonts w:hint="eastAsia" w:ascii="仿宋" w:hAnsi="仿宋" w:cs="仿宋"/>
          <w:b/>
          <w:bCs/>
          <w:color w:val="auto"/>
        </w:rPr>
        <w:t>。</w:t>
      </w:r>
      <w:r>
        <w:rPr>
          <w:rFonts w:hint="eastAsia" w:ascii="仿宋" w:hAnsi="仿宋" w:cs="仿宋"/>
          <w:color w:val="auto"/>
        </w:rPr>
        <w:t>主动接受“双区”辐射带动，按照资源共享、优势互补的原则，加大招商引资和项目引进力度，共建合作平台，着力构建与“双区”配套融合的现代产业体系，引领仁化经济发展转型升级。主动对接“双区”的产业发展战略，围绕仁化现有的有色金属、储能材料及动力电池、优质农产品、文化旅游资源四大优势传统产业基础加强产业链招商，推动重点产业建链、补链、延链、强链。重点围绕特色农产品精深加工、真空包装、冷链、物流和旅游手信制作引进产业链条，促进一三产业融合发展。</w:t>
      </w:r>
    </w:p>
    <w:p w14:paraId="075B9888">
      <w:pPr>
        <w:ind w:firstLine="643"/>
        <w:rPr>
          <w:rFonts w:ascii="仿宋" w:hAnsi="仿宋" w:cs="仿宋"/>
          <w:color w:val="auto"/>
        </w:rPr>
      </w:pPr>
      <w:bookmarkStart w:id="633" w:name="_Toc26721"/>
      <w:bookmarkStart w:id="634" w:name="_Toc7288"/>
      <w:r>
        <w:rPr>
          <w:rFonts w:hint="eastAsia" w:ascii="仿宋" w:hAnsi="仿宋" w:cs="仿宋"/>
          <w:b/>
          <w:bCs/>
          <w:color w:val="auto"/>
        </w:rPr>
        <w:t>全力实现精准招商</w:t>
      </w:r>
      <w:bookmarkEnd w:id="633"/>
      <w:bookmarkEnd w:id="634"/>
      <w:r>
        <w:rPr>
          <w:rFonts w:hint="eastAsia" w:ascii="仿宋" w:hAnsi="仿宋" w:cs="仿宋"/>
          <w:color w:val="auto"/>
        </w:rPr>
        <w:t>。围绕产业链明晰产业招商目标，通过建立“强链表、补链表”绘制“产业链招商路线图”，策划、储备一批具有一定投资规模、市场前景好、落地条件较为成熟的招商引资项目；绘制“资源分布图”“可建设发展用地分布图”等整合招商资源，搭建招商平台，实现带表、带图的精准招商。建立健全招商引资配套政策，优化形成“要素跟着项目走”的有效配置机制，加强融资、土地、厂房等生产要素保障。组织形式多样的招商推介活动，广泛开展“云招商”、“一把手”招商，对重点企业开展“点对点”“小分队”式招商。着力构建统筹协作、分工竞争、上下联动、协作带动的招商工作机制，建立完善招商项引资服务工作机制、外出招商机制等，推进项目高质量落地，全面提高招商引资工作质效。</w:t>
      </w:r>
    </w:p>
    <w:p w14:paraId="16FD5A55">
      <w:pPr>
        <w:ind w:firstLine="643"/>
        <w:rPr>
          <w:rFonts w:ascii="仿宋" w:hAnsi="仿宋" w:cs="仿宋"/>
          <w:color w:val="auto"/>
        </w:rPr>
      </w:pPr>
      <w:bookmarkStart w:id="635" w:name="_Toc18845"/>
      <w:bookmarkStart w:id="636" w:name="_Toc14505"/>
      <w:r>
        <w:rPr>
          <w:rFonts w:hint="eastAsia" w:ascii="仿宋" w:hAnsi="仿宋" w:cs="仿宋"/>
          <w:b/>
          <w:bCs/>
          <w:color w:val="auto"/>
        </w:rPr>
        <w:t>加强招商干部队伍建设</w:t>
      </w:r>
      <w:bookmarkEnd w:id="635"/>
      <w:bookmarkEnd w:id="636"/>
      <w:r>
        <w:rPr>
          <w:rFonts w:hint="eastAsia" w:ascii="仿宋" w:hAnsi="仿宋" w:cs="仿宋"/>
          <w:color w:val="auto"/>
        </w:rPr>
        <w:t>。不断充实招商队伍、提升招商引资工作的专业化水平，充分发挥已引进企业、行业引领企业和行业协会的口碑作用，让招商队伍带着“资源”和“政策”招商。完善招商引资考核激励体系，营造全民招商工作氛围。</w:t>
      </w:r>
    </w:p>
    <w:p w14:paraId="384A6CF3">
      <w:pPr>
        <w:rPr>
          <w:rFonts w:ascii="仿宋" w:hAnsi="仿宋" w:cs="仿宋"/>
          <w:color w:val="auto"/>
        </w:rPr>
      </w:pPr>
    </w:p>
    <w:p w14:paraId="0F609522">
      <w:pPr>
        <w:pStyle w:val="3"/>
        <w:numPr>
          <w:ilvl w:val="0"/>
          <w:numId w:val="3"/>
        </w:numPr>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p>
    <w:p w14:paraId="09357175">
      <w:pPr>
        <w:pStyle w:val="3"/>
        <w:spacing w:before="218" w:after="218"/>
        <w:rPr>
          <w:color w:val="auto"/>
        </w:rPr>
      </w:pPr>
      <w:bookmarkStart w:id="637" w:name="_Toc10212"/>
      <w:bookmarkStart w:id="638" w:name="_Toc12842"/>
      <w:bookmarkStart w:id="639" w:name="_Toc7520"/>
      <w:bookmarkStart w:id="640" w:name="_Toc7692"/>
      <w:bookmarkStart w:id="641" w:name="_Toc18898"/>
      <w:bookmarkStart w:id="642" w:name="_Toc32610"/>
      <w:bookmarkStart w:id="643" w:name="_Toc21709"/>
      <w:bookmarkStart w:id="644" w:name="_Toc32174"/>
      <w:bookmarkStart w:id="645" w:name="_Toc17158"/>
      <w:bookmarkStart w:id="646" w:name="_Toc7241"/>
      <w:bookmarkStart w:id="647" w:name="_Toc27665"/>
      <w:bookmarkStart w:id="648" w:name="_Toc23667"/>
      <w:bookmarkStart w:id="649" w:name="_Toc23026"/>
      <w:bookmarkStart w:id="650" w:name="_Toc16849"/>
      <w:bookmarkStart w:id="651" w:name="_Toc2777"/>
      <w:bookmarkStart w:id="652" w:name="_Toc25349"/>
      <w:r>
        <w:rPr>
          <w:rFonts w:hint="eastAsia"/>
          <w:color w:val="auto"/>
        </w:rPr>
        <w:t>推动数字化发展，全面塑造发展新优势</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DCE50EC">
      <w:pPr>
        <w:rPr>
          <w:rFonts w:ascii="仿宋" w:hAnsi="仿宋" w:cs="仿宋"/>
          <w:color w:val="auto"/>
        </w:rPr>
      </w:pPr>
      <w:bookmarkStart w:id="653" w:name="_Toc31166"/>
      <w:bookmarkStart w:id="654" w:name="_Toc26472"/>
      <w:r>
        <w:rPr>
          <w:rFonts w:hint="eastAsia" w:ascii="仿宋" w:hAnsi="仿宋" w:cs="仿宋"/>
          <w:color w:val="auto"/>
        </w:rPr>
        <w:t>加快经济社会全面数字化发展步伐，着力提升数字化生产力，充分发挥数据作为关键生产要素的重要价值，推动经济发展质量变革、效率变革和动力变革。</w:t>
      </w:r>
      <w:bookmarkEnd w:id="653"/>
      <w:bookmarkEnd w:id="654"/>
    </w:p>
    <w:p w14:paraId="3251559F">
      <w:pPr>
        <w:pStyle w:val="4"/>
        <w:spacing w:before="654" w:after="654"/>
        <w:rPr>
          <w:color w:val="auto"/>
        </w:rPr>
      </w:pPr>
      <w:bookmarkStart w:id="655" w:name="_Toc323"/>
      <w:bookmarkStart w:id="656" w:name="_Toc29080"/>
      <w:bookmarkStart w:id="657" w:name="_Toc8925"/>
      <w:bookmarkStart w:id="658" w:name="_Toc934"/>
      <w:bookmarkStart w:id="659" w:name="_Toc13397"/>
      <w:bookmarkStart w:id="660" w:name="_Toc31616"/>
      <w:bookmarkStart w:id="661" w:name="_Toc22640"/>
      <w:bookmarkStart w:id="662" w:name="_Toc3564"/>
      <w:bookmarkStart w:id="663" w:name="_Toc4374"/>
      <w:bookmarkStart w:id="664" w:name="_Toc15259"/>
      <w:bookmarkStart w:id="665" w:name="_Toc25781"/>
      <w:bookmarkStart w:id="666" w:name="_Toc19696"/>
      <w:bookmarkStart w:id="667" w:name="_Toc3433"/>
      <w:bookmarkStart w:id="668" w:name="_Toc3178"/>
      <w:bookmarkStart w:id="669" w:name="_Toc12195"/>
      <w:bookmarkStart w:id="670" w:name="_Toc1905"/>
      <w:bookmarkStart w:id="671" w:name="_Toc8440"/>
      <w:r>
        <w:rPr>
          <w:rFonts w:hint="eastAsia"/>
          <w:color w:val="auto"/>
        </w:rPr>
        <w:t>推动产业数字化赋能</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0694EB06">
      <w:pPr>
        <w:rPr>
          <w:rFonts w:ascii="仿宋" w:hAnsi="仿宋" w:cs="仿宋"/>
          <w:color w:val="auto"/>
        </w:rPr>
      </w:pPr>
      <w:r>
        <w:rPr>
          <w:rFonts w:hint="eastAsia" w:ascii="仿宋" w:hAnsi="仿宋" w:cs="仿宋"/>
          <w:color w:val="auto"/>
        </w:rPr>
        <w:t>积极布局物联网，打造一批数字车间，加强与湾区大数据产业发展合作联盟等合作，强化数字经济基础支撑，促进制造业数字化转型，催生新产业、新业态、商业新模式。</w:t>
      </w:r>
    </w:p>
    <w:p w14:paraId="226E0149">
      <w:pPr>
        <w:ind w:firstLine="643"/>
        <w:rPr>
          <w:rFonts w:ascii="仿宋" w:hAnsi="仿宋" w:cs="仿宋"/>
          <w:color w:val="auto"/>
        </w:rPr>
      </w:pPr>
      <w:r>
        <w:rPr>
          <w:rFonts w:hint="eastAsia" w:ascii="仿宋" w:hAnsi="仿宋" w:cs="仿宋"/>
          <w:b/>
          <w:bCs/>
          <w:color w:val="auto"/>
        </w:rPr>
        <w:t>加快工业互联网创新应用。</w:t>
      </w:r>
      <w:r>
        <w:rPr>
          <w:rFonts w:hint="eastAsia" w:ascii="仿宋" w:hAnsi="仿宋" w:cs="仿宋"/>
          <w:color w:val="auto"/>
        </w:rPr>
        <w:t>抢抓“双区”建设机遇，主动参与湾区都市圈跨行业跨领域跨区域工业互联网平台建设，重点推动仁化企业级平台、工业APP应用系统建设，完善工业互联网平台体系。</w:t>
      </w:r>
      <w:r>
        <w:rPr>
          <w:rFonts w:hint="eastAsia" w:ascii="仿宋" w:hAnsi="仿宋" w:cs="仿宋"/>
          <w:color w:val="auto"/>
          <w:szCs w:val="32"/>
        </w:rPr>
        <w:t>推进工业企业“上云上平台”，打造工业互联网平台体系，鼓励企业开展数字化改造，打造数字车间。</w:t>
      </w:r>
      <w:r>
        <w:rPr>
          <w:rFonts w:hint="eastAsia" w:ascii="仿宋" w:hAnsi="仿宋" w:cs="仿宋"/>
          <w:color w:val="auto"/>
        </w:rPr>
        <w:t>励企业充分利用云上平台探索共享制造新模式，充分分享资源富集企业向社会开放的产品开发、制造、物流配送等资源，积极采用云端研发设计、优化控制、设备管理、质量监控等服务，实现资源高效利用和价值共享。推动湾区安全技术研发成果在仁化应用，强化工业互联网等安全保障。</w:t>
      </w:r>
    </w:p>
    <w:p w14:paraId="5EDFEEA7">
      <w:pPr>
        <w:ind w:firstLine="643"/>
        <w:rPr>
          <w:rFonts w:ascii="仿宋" w:hAnsi="仿宋" w:cs="仿宋"/>
          <w:color w:val="auto"/>
        </w:rPr>
      </w:pPr>
      <w:r>
        <w:rPr>
          <w:rFonts w:hint="eastAsia" w:ascii="仿宋" w:hAnsi="仿宋" w:cs="仿宋"/>
          <w:b/>
          <w:bCs/>
          <w:color w:val="auto"/>
        </w:rPr>
        <w:t>培育“5G+融合应用”产业</w:t>
      </w:r>
      <w:r>
        <w:rPr>
          <w:rFonts w:hint="eastAsia" w:ascii="仿宋" w:hAnsi="仿宋" w:cs="仿宋"/>
          <w:color w:val="auto"/>
        </w:rPr>
        <w:t>。主动对接参与湾区未来产业集聚地建设，积极培育5G+工业互联网、5G+生态环保、5G+智慧农业、5G+智慧旅游等“5G+”融合应用新业态，谋划发展基于5G技术的未来产业，推动区块链和人工智能、大数据、物联网等前沿信息技术的融合应用。</w:t>
      </w:r>
    </w:p>
    <w:p w14:paraId="629B3688">
      <w:pPr>
        <w:ind w:firstLine="643"/>
        <w:rPr>
          <w:rFonts w:ascii="仿宋" w:hAnsi="仿宋" w:cs="仿宋"/>
          <w:color w:val="auto"/>
        </w:rPr>
      </w:pPr>
      <w:r>
        <w:rPr>
          <w:rFonts w:hint="eastAsia" w:ascii="仿宋" w:hAnsi="仿宋" w:cs="仿宋"/>
          <w:b/>
          <w:bCs/>
          <w:color w:val="auto"/>
        </w:rPr>
        <w:t>拓展服务衍生制造</w:t>
      </w:r>
      <w:r>
        <w:rPr>
          <w:rFonts w:hint="eastAsia" w:ascii="仿宋" w:hAnsi="仿宋" w:cs="仿宋"/>
          <w:color w:val="auto"/>
        </w:rPr>
        <w:t>。发展基于互联网的个性化定制、众包设计、云制造等新型制造模式，推动形成基于消费需求动态感知的研发、制造和产业组织方式。引导和支持农产品加工等企业拓展线上经济等业务，建设大数据农业物联网基地，结合智慧城市建设，谋划建设旅游大数据应用平台，力争实现旅游、文化、公安、交通等部门数据共享，加快培育数据要素市场。</w:t>
      </w:r>
    </w:p>
    <w:p w14:paraId="4D55BBFE">
      <w:pPr>
        <w:pStyle w:val="4"/>
        <w:spacing w:before="654" w:after="654"/>
        <w:rPr>
          <w:color w:val="auto"/>
        </w:rPr>
      </w:pPr>
      <w:bookmarkStart w:id="672" w:name="_Toc30642"/>
      <w:bookmarkStart w:id="673" w:name="_Toc22798"/>
      <w:bookmarkStart w:id="674" w:name="_Toc3915"/>
      <w:bookmarkStart w:id="675" w:name="_Toc30921"/>
      <w:bookmarkStart w:id="676" w:name="_Toc3901"/>
      <w:bookmarkStart w:id="677" w:name="_Toc15403"/>
      <w:bookmarkStart w:id="678" w:name="_Toc4421"/>
      <w:bookmarkStart w:id="679" w:name="_Toc21505"/>
      <w:bookmarkStart w:id="680" w:name="_Toc31864"/>
      <w:bookmarkStart w:id="681" w:name="_Toc13650"/>
      <w:bookmarkStart w:id="682" w:name="_Toc10384"/>
      <w:bookmarkStart w:id="683" w:name="_Toc9559"/>
      <w:bookmarkStart w:id="684" w:name="_Toc319"/>
      <w:bookmarkStart w:id="685" w:name="_Toc13176"/>
      <w:bookmarkStart w:id="686" w:name="_Toc2584"/>
      <w:bookmarkStart w:id="687" w:name="_Toc6282"/>
      <w:r>
        <w:rPr>
          <w:rFonts w:hint="eastAsia"/>
          <w:color w:val="auto"/>
        </w:rPr>
        <w:t>加快数字社会建设步伐</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7003D2DB">
      <w:pPr>
        <w:rPr>
          <w:rFonts w:ascii="仿宋" w:hAnsi="仿宋" w:cs="仿宋"/>
          <w:color w:val="auto"/>
        </w:rPr>
      </w:pPr>
      <w:r>
        <w:rPr>
          <w:rFonts w:hint="eastAsia" w:ascii="仿宋" w:hAnsi="仿宋" w:cs="仿宋"/>
          <w:color w:val="auto"/>
        </w:rPr>
        <w:t>充分发挥数字技术对生产生活方式和社会运作模式的重塑作用，深入推进数字技术在公共服务、城市治理、乡村振兴等方面的广泛应用，提升人民群众的获得感。</w:t>
      </w:r>
    </w:p>
    <w:p w14:paraId="5FBD1281">
      <w:pPr>
        <w:ind w:firstLine="643"/>
        <w:rPr>
          <w:rFonts w:ascii="仿宋" w:hAnsi="仿宋" w:cs="仿宋"/>
          <w:color w:val="auto"/>
        </w:rPr>
      </w:pPr>
      <w:r>
        <w:rPr>
          <w:rFonts w:hint="eastAsia" w:ascii="仿宋" w:hAnsi="仿宋" w:cs="仿宋"/>
          <w:b/>
          <w:bCs/>
          <w:color w:val="auto"/>
        </w:rPr>
        <w:t>拓展数字化公共服务。</w:t>
      </w:r>
      <w:r>
        <w:rPr>
          <w:rFonts w:hint="eastAsia" w:ascii="仿宋" w:hAnsi="仿宋" w:cs="仿宋"/>
          <w:color w:val="auto"/>
          <w:szCs w:val="32"/>
        </w:rPr>
        <w:t>加快公共服务领域“5G+”数字化改造，加强数字社会、数字政府建设，深化大数据在旅游、物流、医疗健康等服务业领域应用，不断提升公共服务、社会治理等数字化智能化水平。</w:t>
      </w:r>
      <w:r>
        <w:rPr>
          <w:rFonts w:hint="eastAsia" w:ascii="仿宋" w:hAnsi="仿宋" w:cs="仿宋"/>
          <w:color w:val="auto"/>
        </w:rPr>
        <w:t>突出发展智慧医疗，深入推进“互联网+医疗健康”示范行动，提升公共卫生管理和医疗机构数字化、智能化水平，加快人工智能诊疗设备等智慧医疗设施的推广和应用。大力发展智慧教育，构建“互联网+教育”大资源服务体系，建设智慧校园、智慧课堂，探索发展人工智能、大数据、VR/AR等信息技术融合的新型教学模式，支持多终端在线教育。推动公共文化数字化建设，推动5G+超高清+VR等新技术在公共文化设施的普及应用，建设在线院线、数字博物馆、数字图书馆等应用示范项目。加强数字技能普及培训，提升全民数字素养，积极营造数字文化氛围。</w:t>
      </w:r>
    </w:p>
    <w:p w14:paraId="32091936">
      <w:pPr>
        <w:ind w:firstLine="643"/>
        <w:rPr>
          <w:rFonts w:ascii="仿宋" w:hAnsi="仿宋" w:cs="仿宋"/>
          <w:color w:val="auto"/>
        </w:rPr>
      </w:pPr>
      <w:r>
        <w:rPr>
          <w:rFonts w:hint="eastAsia" w:ascii="仿宋" w:hAnsi="仿宋" w:cs="仿宋"/>
          <w:b/>
          <w:bCs/>
          <w:color w:val="auto"/>
        </w:rPr>
        <w:t>稳步推进新型智慧城市建设</w:t>
      </w:r>
      <w:r>
        <w:rPr>
          <w:rFonts w:hint="eastAsia" w:ascii="仿宋" w:hAnsi="仿宋" w:cs="仿宋"/>
          <w:color w:val="auto"/>
        </w:rPr>
        <w:t>。统筹城市规划设计，推进城市公共设施与5G网络、物联网、传感技术融合建设，系统化部署城市数据采集智慧感知节点网络。借鉴深圳、杭州等地区“城市大脑”建设经验，探索建立“仁化城市大脑”，汇聚整合政府数据和社会公共数据，提升数字化城市治理能力。构建数字孪生城市，推进实体城市向数字空间的全息投影，增强城市治理灵敏感知、快速分析、迅捷处置能力。推进智能交通灯、智能潮汐车道、智能停车引导、智慧立体停车场等智慧治堵措施广泛应用。</w:t>
      </w:r>
    </w:p>
    <w:p w14:paraId="1AB9AFA8">
      <w:pPr>
        <w:ind w:firstLine="643"/>
        <w:rPr>
          <w:rFonts w:ascii="仿宋" w:hAnsi="仿宋" w:cs="仿宋"/>
          <w:color w:val="auto"/>
        </w:rPr>
      </w:pPr>
      <w:r>
        <w:rPr>
          <w:rFonts w:hint="eastAsia" w:ascii="仿宋" w:hAnsi="仿宋" w:cs="仿宋"/>
          <w:b/>
          <w:bCs/>
          <w:color w:val="auto"/>
        </w:rPr>
        <w:t>推动数字乡村建设。</w:t>
      </w:r>
      <w:r>
        <w:rPr>
          <w:rFonts w:hint="eastAsia" w:ascii="仿宋" w:hAnsi="仿宋" w:cs="仿宋"/>
          <w:color w:val="auto"/>
          <w:szCs w:val="32"/>
        </w:rPr>
        <w:t>推动大数据与农业深度融合，建设大数据农业物联网基地。推动农业农村数字化建设，建设农村基础数据资源体系，加快农业农村生产经营、管理服务数字化改造。</w:t>
      </w:r>
      <w:r>
        <w:rPr>
          <w:rFonts w:hint="eastAsia" w:ascii="仿宋" w:hAnsi="仿宋" w:cs="仿宋"/>
          <w:color w:val="auto"/>
        </w:rPr>
        <w:t>积极推进农村信息基础设施建设，加快农村宽带通信网、数字电视网建设，推进全县行政村5G网络建设和4G网络深度覆盖，提升农村光纤入户比例，建设宽带乡村。加快农村管理服务、基层治理数字化进程，建设农村社会事业数字化、农村集体资产数字化、农村宅基地数字化等数字化工程，构建涉农信息普惠服务机制，提升农民生活数字化服务水平。</w:t>
      </w:r>
    </w:p>
    <w:p w14:paraId="16F0DCE8">
      <w:pPr>
        <w:pStyle w:val="4"/>
        <w:spacing w:before="654" w:after="654"/>
        <w:rPr>
          <w:color w:val="auto"/>
        </w:rPr>
      </w:pPr>
      <w:bookmarkStart w:id="688" w:name="_Toc6429"/>
      <w:bookmarkStart w:id="689" w:name="_Toc30734"/>
      <w:bookmarkStart w:id="690" w:name="_Toc8602"/>
      <w:bookmarkStart w:id="691" w:name="_Toc12369"/>
      <w:bookmarkStart w:id="692" w:name="_Toc28448"/>
      <w:bookmarkStart w:id="693" w:name="_Toc29769"/>
      <w:bookmarkStart w:id="694" w:name="_Toc1749"/>
      <w:bookmarkStart w:id="695" w:name="_Toc5030"/>
      <w:bookmarkStart w:id="696" w:name="_Toc11225"/>
      <w:bookmarkStart w:id="697" w:name="_Toc848"/>
      <w:bookmarkStart w:id="698" w:name="_Toc11702"/>
      <w:bookmarkStart w:id="699" w:name="_Toc18963"/>
      <w:bookmarkStart w:id="700" w:name="_Toc8893"/>
      <w:bookmarkStart w:id="701" w:name="_Toc20062"/>
      <w:bookmarkStart w:id="702" w:name="_Toc150"/>
      <w:bookmarkStart w:id="703" w:name="_Toc16667"/>
      <w:r>
        <w:rPr>
          <w:rFonts w:hint="eastAsia"/>
          <w:color w:val="auto"/>
        </w:rPr>
        <w:t>提升数字政府建设水平</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69E36038">
      <w:pPr>
        <w:rPr>
          <w:rFonts w:ascii="仿宋" w:hAnsi="仿宋" w:cs="仿宋"/>
          <w:color w:val="auto"/>
        </w:rPr>
      </w:pPr>
      <w:r>
        <w:rPr>
          <w:rFonts w:hint="eastAsia" w:ascii="仿宋" w:hAnsi="仿宋" w:cs="仿宋"/>
          <w:color w:val="auto"/>
        </w:rPr>
        <w:t>深入推进数字政府改革，提升数字化治理能力，以数字化公共服务提升治理体系和治理能力现代化水平。</w:t>
      </w:r>
    </w:p>
    <w:p w14:paraId="1EB84883">
      <w:pPr>
        <w:ind w:firstLine="643"/>
        <w:rPr>
          <w:rFonts w:ascii="仿宋" w:hAnsi="仿宋" w:cs="仿宋"/>
          <w:color w:val="auto"/>
        </w:rPr>
      </w:pPr>
      <w:r>
        <w:rPr>
          <w:rFonts w:hint="eastAsia" w:ascii="仿宋" w:hAnsi="仿宋" w:cs="仿宋"/>
          <w:b/>
          <w:bCs/>
          <w:color w:val="auto"/>
        </w:rPr>
        <w:t>深入推进数字政府改革建设。</w:t>
      </w:r>
      <w:r>
        <w:rPr>
          <w:rFonts w:hint="eastAsia" w:ascii="仿宋" w:hAnsi="仿宋" w:cs="仿宋"/>
          <w:color w:val="auto"/>
        </w:rPr>
        <w:t>全面提升数字政府基础设施支撑能力，进一步夯实电子政务云、电子政务网络、大数据资源三大基础支撑平台，推动建立云网一体的数字政府智慧网络，推动“数据上云、服务下沉”。</w:t>
      </w:r>
    </w:p>
    <w:p w14:paraId="31238B8A">
      <w:pPr>
        <w:rPr>
          <w:rFonts w:ascii="仿宋" w:hAnsi="仿宋" w:cs="仿宋"/>
          <w:color w:val="auto"/>
        </w:rPr>
      </w:pPr>
      <w:r>
        <w:rPr>
          <w:rFonts w:hint="eastAsia" w:ascii="仿宋" w:hAnsi="仿宋" w:cs="仿宋"/>
          <w:color w:val="auto"/>
        </w:rPr>
        <w:t>加快电子政务外网集约化改造，构建至简网络，减少网络层级，实现管理架构扁平化。扩大政务外网覆盖范围。推进国有企业、教育机构、医疗机构等与政务相关的业务需求纳入政务外网统一承载，实现各类业务数据充分汇聚，提升网络应用的规模效益。持续扩大政务外网覆盖广度，县、镇、村三级实现政务外网100%全覆盖，网络带宽按需接入，原则上不低于1000兆到县各部门及镇街、100兆到村居。提升业务专网向电子政务网络迁移，整合非涉密业务专网，遵循省市统一规范要求，将县直各部门各类分散隔离的非涉密业务专网，通过业务系统迁移，网络割接、线路合并等方式整合到统一的电子政务外网。</w:t>
      </w:r>
    </w:p>
    <w:p w14:paraId="01A67E2A">
      <w:pPr>
        <w:rPr>
          <w:rFonts w:ascii="仿宋" w:hAnsi="仿宋" w:cs="仿宋"/>
          <w:color w:val="auto"/>
        </w:rPr>
      </w:pPr>
      <w:r>
        <w:rPr>
          <w:rFonts w:hint="eastAsia" w:ascii="仿宋" w:hAnsi="仿宋" w:cs="仿宋"/>
          <w:color w:val="auto"/>
        </w:rPr>
        <w:t>打破信息壁垒，利用完整的、系统的、多层次的云计算平台，使各部门的数据资源能快速汇聚、集中分析处理，更好地为社会民生、企业、市场服务。建立健全数据安全保护机制，减少数据整合存在的风险隐患，把涉及数据资源流动和交换的环节作为重点保护领域。加强信息系统资源整合共享力度，针对各部门已建、在建非涉密政务信息系统，按照应上尽上原则迁移到市政务云平台，通过集约管理降低运维成本和保障基础资源应用最大化。</w:t>
      </w:r>
    </w:p>
    <w:p w14:paraId="235B6475">
      <w:pPr>
        <w:ind w:firstLine="643"/>
        <w:rPr>
          <w:rFonts w:ascii="仿宋" w:hAnsi="仿宋" w:cs="仿宋"/>
          <w:color w:val="auto"/>
        </w:rPr>
      </w:pPr>
      <w:r>
        <w:rPr>
          <w:rFonts w:hint="eastAsia" w:ascii="仿宋" w:hAnsi="仿宋" w:cs="仿宋"/>
          <w:b/>
          <w:bCs/>
          <w:color w:val="auto"/>
        </w:rPr>
        <w:t>大力提升政务服务水平</w:t>
      </w:r>
      <w:r>
        <w:rPr>
          <w:rFonts w:hint="eastAsia" w:ascii="仿宋" w:hAnsi="仿宋" w:cs="仿宋"/>
          <w:color w:val="auto"/>
        </w:rPr>
        <w:t>。依托“数字政府”政务服务一体化平台，梳理企业、群众常办高频服务政务服务事项，优化在线服务流程、精简办事材料，充分利用电子证照、电子印章、内部数据共享，办事材料和办事结果双向邮政快递等方式，推进更多政务服务事项在线办理和不见面审批；推动“粤省事”“粤商通”“粤政易”粤监管”等“粤系列”移动终端应用，推进政务服务事项指尖办、智能办、马上办、全县通办，提高办事便利化水平，推进镇（街）、村（居）基层填表报数、综合服务窗口建设、政务服务事项标准化、OA办公系统延伸等工作，提升政务服务能力。持续推进办事要件和流程标准化，科学细化量化审批服务标准，深化个性化网上办事和精准化服务，完善适用规则，推进政务服务事项全流程、全天候、全地域办理。提升政务服务大厅服务能力，推进广东政务服务网与实体政务大厅融合，整合网上统一申办受理平台和实体综合服务窗口，实现后台业务系统之间无缝对接，构建线上线下一体化的政务服务体系。</w:t>
      </w:r>
    </w:p>
    <w:p w14:paraId="710F0A94">
      <w:pPr>
        <w:ind w:firstLine="643"/>
        <w:rPr>
          <w:rFonts w:ascii="仿宋" w:hAnsi="仿宋" w:cs="仿宋"/>
          <w:color w:val="auto"/>
        </w:rPr>
      </w:pPr>
      <w:r>
        <w:rPr>
          <w:rFonts w:hint="eastAsia" w:ascii="仿宋" w:hAnsi="仿宋" w:cs="仿宋"/>
          <w:b/>
          <w:bCs/>
          <w:color w:val="auto"/>
        </w:rPr>
        <w:t>提升数字化治理能力。</w:t>
      </w:r>
      <w:r>
        <w:rPr>
          <w:rFonts w:hint="eastAsia" w:ascii="仿宋" w:hAnsi="仿宋" w:cs="仿宋"/>
          <w:color w:val="auto"/>
        </w:rPr>
        <w:t>依托数字政府平台，重点推动经济调节、民生服务、城市精细管理、社会治理四大业务领域数字化应用，提升协税护税、经济运行、市场监管、治安管理、应急管理等治理能力。探索构建政府、平台企业、行业协会等多方参与、高效联动、信息共享的数字经济多元协同治理机制，完善对数字经济发展更具弹性的行业监管体制，提升政务监督管理能力，根据国家和省市的部署，全面推行政务服务“好差评”服务机制。发挥“12345”一号牵头，多线联动，24小时受理，一站式公共热线服务体系功能，群众和企业投诉热点、办事难点，能及时反馈到相关部门跟踪处理。通过多渠道评价数据综合分析，总结发现政务服务存在的问题，形成评价、反馈、整改、监督全流程闭环，推动政务服务质量持续提升。建立基于社会信用信息的分级分类监管制度。推进一站式企业开办和智能审批平台应用，通过粤商通、政务服务网等方式，为全县商事主体提供服务智能审批平台。</w:t>
      </w:r>
    </w:p>
    <w:p w14:paraId="0A12C0CB">
      <w:pPr>
        <w:pStyle w:val="3"/>
        <w:numPr>
          <w:ilvl w:val="0"/>
          <w:numId w:val="3"/>
        </w:numPr>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p>
    <w:p w14:paraId="7AA1E235">
      <w:pPr>
        <w:pStyle w:val="3"/>
        <w:spacing w:before="218" w:after="218"/>
        <w:rPr>
          <w:color w:val="auto"/>
        </w:rPr>
      </w:pPr>
      <w:bookmarkStart w:id="704" w:name="_Toc18875"/>
      <w:bookmarkStart w:id="705" w:name="_Toc18462"/>
      <w:bookmarkStart w:id="706" w:name="_Toc14749"/>
      <w:bookmarkStart w:id="707" w:name="_Toc3063"/>
      <w:bookmarkStart w:id="708" w:name="_Toc8274"/>
      <w:bookmarkStart w:id="709" w:name="_Toc13366"/>
      <w:bookmarkStart w:id="710" w:name="_Toc2058"/>
      <w:bookmarkStart w:id="711" w:name="_Toc15341"/>
      <w:bookmarkStart w:id="712" w:name="_Toc12490"/>
      <w:bookmarkStart w:id="713" w:name="_Toc30846"/>
      <w:bookmarkStart w:id="714" w:name="_Toc20184"/>
      <w:bookmarkStart w:id="715" w:name="_Toc21328"/>
      <w:bookmarkStart w:id="716" w:name="_Toc13118"/>
      <w:bookmarkStart w:id="717" w:name="_Toc22032"/>
      <w:bookmarkStart w:id="718" w:name="_Toc6450"/>
      <w:bookmarkStart w:id="719" w:name="_Toc10542"/>
      <w:r>
        <w:rPr>
          <w:rFonts w:hint="eastAsia"/>
          <w:color w:val="auto"/>
        </w:rPr>
        <w:t>全面深化改革，释放高质量发展新活力</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0EB332EC">
      <w:pPr>
        <w:rPr>
          <w:rFonts w:ascii="仿宋" w:hAnsi="仿宋" w:cs="仿宋"/>
          <w:color w:val="auto"/>
        </w:rPr>
      </w:pPr>
      <w:r>
        <w:rPr>
          <w:rFonts w:hint="eastAsia" w:ascii="仿宋" w:hAnsi="仿宋" w:cs="仿宋"/>
          <w:color w:val="auto"/>
        </w:rPr>
        <w:t>紧抓“双区”建设重大机遇，深入推进重点领域和关键环节改革，促进各类生产要素自由便利流动，不断释放推进高质量发展强大动力。</w:t>
      </w:r>
    </w:p>
    <w:p w14:paraId="08B98EC9">
      <w:pPr>
        <w:pStyle w:val="4"/>
        <w:spacing w:before="654" w:after="654"/>
        <w:rPr>
          <w:color w:val="auto"/>
        </w:rPr>
      </w:pPr>
      <w:bookmarkStart w:id="720" w:name="_Toc24184"/>
      <w:bookmarkStart w:id="721" w:name="_Toc31927"/>
      <w:bookmarkStart w:id="722" w:name="_Toc169"/>
      <w:bookmarkStart w:id="723" w:name="_Toc10494"/>
      <w:bookmarkStart w:id="724" w:name="_Toc13966"/>
      <w:bookmarkStart w:id="725" w:name="_Toc23036"/>
      <w:bookmarkStart w:id="726" w:name="_Toc8126"/>
      <w:bookmarkStart w:id="727" w:name="_Toc2582"/>
      <w:bookmarkStart w:id="728" w:name="_Toc21800"/>
      <w:bookmarkStart w:id="729" w:name="_Toc30698"/>
      <w:bookmarkStart w:id="730" w:name="_Toc17254"/>
      <w:r>
        <w:rPr>
          <w:rFonts w:hint="eastAsia"/>
          <w:color w:val="auto"/>
        </w:rPr>
        <w:t>着力激发市场活力</w:t>
      </w:r>
      <w:bookmarkEnd w:id="720"/>
      <w:bookmarkEnd w:id="721"/>
      <w:bookmarkEnd w:id="722"/>
      <w:bookmarkEnd w:id="723"/>
      <w:bookmarkEnd w:id="724"/>
      <w:bookmarkEnd w:id="725"/>
      <w:bookmarkEnd w:id="726"/>
      <w:bookmarkEnd w:id="727"/>
      <w:bookmarkEnd w:id="728"/>
      <w:bookmarkEnd w:id="729"/>
      <w:bookmarkEnd w:id="730"/>
    </w:p>
    <w:p w14:paraId="65AC7208">
      <w:pPr>
        <w:rPr>
          <w:rFonts w:ascii="仿宋" w:hAnsi="仿宋" w:cs="仿宋"/>
          <w:color w:val="auto"/>
        </w:rPr>
      </w:pPr>
      <w:r>
        <w:rPr>
          <w:rFonts w:hint="eastAsia" w:ascii="仿宋" w:hAnsi="仿宋" w:cs="仿宋"/>
          <w:color w:val="auto"/>
        </w:rPr>
        <w:t>要加强党对经济工作的领导，充分发挥财经委员会职能作用,推动全县经济高质量发展。要建立和完善经济运行摸查、分析、解决机制，对经济发展的突出问题进行全面梳理分析，找准问题症台，提出解决问题的措施；要建立比学赶超机制，通过召开产业园区建设、重点项目建设、精致农业发展等经济工作系列现场会，营造浓厚的发展氛围。</w:t>
      </w:r>
    </w:p>
    <w:p w14:paraId="7A841474">
      <w:pPr>
        <w:ind w:firstLine="643"/>
        <w:rPr>
          <w:rFonts w:ascii="仿宋" w:hAnsi="仿宋" w:cs="仿宋"/>
          <w:color w:val="auto"/>
        </w:rPr>
      </w:pPr>
      <w:bookmarkStart w:id="731" w:name="_Toc8245"/>
      <w:bookmarkStart w:id="732" w:name="_Toc3960"/>
      <w:r>
        <w:rPr>
          <w:rFonts w:hint="eastAsia" w:ascii="仿宋" w:hAnsi="仿宋" w:cs="仿宋"/>
          <w:b/>
          <w:bCs/>
          <w:color w:val="auto"/>
        </w:rPr>
        <w:t>深化国资国企改革</w:t>
      </w:r>
      <w:bookmarkEnd w:id="731"/>
      <w:bookmarkEnd w:id="732"/>
      <w:r>
        <w:rPr>
          <w:rFonts w:hint="eastAsia" w:ascii="仿宋" w:hAnsi="仿宋" w:cs="仿宋"/>
          <w:b/>
          <w:bCs/>
          <w:color w:val="auto"/>
        </w:rPr>
        <w:t>。</w:t>
      </w:r>
      <w:r>
        <w:rPr>
          <w:rFonts w:hint="eastAsia" w:ascii="仿宋" w:hAnsi="仿宋" w:cs="仿宋"/>
          <w:color w:val="auto"/>
        </w:rPr>
        <w:t>以管资本为主加强国有资产监管，推动国有资产优化重组和国有企业改革。健全以管资本为主的国有资产监管体制，盘活国有资产资源，促进国有资产保值增值。深化国有资产管理体制改革和调整优化国资监管职能，以国有资产管理体制改革促进国有企业改革进入实质性启动的新阶段。完善国有资产管理体制，以管资本为主加强国有资产监管，改革国有资本授权经营体制。不断提升国资国企精准精细管理水平。围绕县重点产业布局，推动国有资本在供水、公交、供气等基础设施、公共服务领域带动力更加突出。加强国有企业资产评估、产权流转等方面的管理，完善投资融资、股权运作、资本整合等运作模式。</w:t>
      </w:r>
    </w:p>
    <w:p w14:paraId="7ED121BA">
      <w:pPr>
        <w:rPr>
          <w:rFonts w:ascii="仿宋" w:hAnsi="仿宋" w:cs="仿宋"/>
          <w:color w:val="auto"/>
        </w:rPr>
      </w:pPr>
      <w:r>
        <w:rPr>
          <w:rFonts w:hint="eastAsia" w:ascii="仿宋" w:hAnsi="仿宋" w:cs="仿宋"/>
          <w:color w:val="auto"/>
        </w:rPr>
        <w:t>进一步完善考核评价体系、指标，并将考核依据与国有企业班子绩效考核、年资薪金挂钩，通过奖优罚劣，激发干事创业的热情。进一步健全完善国有资产监督工作制度，改进监管方式，注重事前规范制度、事中加强监控、事后强化问责，形成全面覆盖、分工明确、协同配合、制约有力的国有资产监督体系。理顺“三会一层”关系。健全以公司章程为核心的企业制度体系，充分发挥公司章程在企业治理中的基础作用，依照法律法规和公司章程，严格规范履行出资人职责的机构、董事会、经理层、监事会、党组织的权责，强化权利责任对等，保障有效履职。推进供销社</w:t>
      </w:r>
      <w:r>
        <w:rPr>
          <w:rFonts w:hint="eastAsia" w:ascii="仿宋" w:hAnsi="仿宋" w:cs="仿宋"/>
          <w:color w:val="auto"/>
          <w:lang w:val="en-US" w:eastAsia="zh-CN"/>
        </w:rPr>
        <w:t>现</w:t>
      </w:r>
      <w:r>
        <w:rPr>
          <w:rFonts w:hint="eastAsia" w:ascii="仿宋" w:hAnsi="仿宋" w:cs="仿宋"/>
          <w:color w:val="auto"/>
        </w:rPr>
        <w:t>有企业改革重组，探索打通县属国有资产和供销社集体资产之间管理体制机制障碍。积极推动国有企业混合所有制改革，深化国有企业工资决定机制改革，做强做优国有资本和国有企业。</w:t>
      </w:r>
    </w:p>
    <w:p w14:paraId="45D6C9E4">
      <w:pPr>
        <w:ind w:firstLine="643"/>
        <w:rPr>
          <w:rFonts w:ascii="仿宋" w:hAnsi="仿宋" w:cs="仿宋"/>
          <w:color w:val="auto"/>
        </w:rPr>
      </w:pPr>
      <w:bookmarkStart w:id="733" w:name="_Toc28986"/>
      <w:bookmarkStart w:id="734" w:name="_Toc15805"/>
      <w:r>
        <w:rPr>
          <w:rFonts w:hint="eastAsia" w:ascii="仿宋" w:hAnsi="仿宋" w:cs="仿宋"/>
          <w:b/>
          <w:bCs/>
          <w:color w:val="auto"/>
        </w:rPr>
        <w:t>大力发展民营经济</w:t>
      </w:r>
      <w:bookmarkEnd w:id="733"/>
      <w:bookmarkEnd w:id="734"/>
      <w:r>
        <w:rPr>
          <w:rFonts w:hint="eastAsia" w:ascii="仿宋" w:hAnsi="仿宋" w:cs="仿宋"/>
          <w:b/>
          <w:bCs/>
          <w:color w:val="auto"/>
        </w:rPr>
        <w:t>。</w:t>
      </w:r>
      <w:r>
        <w:rPr>
          <w:rFonts w:hint="eastAsia" w:ascii="仿宋" w:hAnsi="仿宋" w:cs="仿宋"/>
          <w:color w:val="auto"/>
        </w:rPr>
        <w:t>进一步放宽市场准入，对民营经济和国有经济一视同仁，对大中小企业平等对待。鼓励引导民营资金参与市政基础设施、社会事业领域、油电气设施等重大规划、重大项目、重大工程、重大活动，不以任何形式增设民营企业准入条件。继续贯彻落实广东省“民营经济十条”，营造良好的民营企业发展环境。实施市场准入负面清单制度，推动“非禁即入”普遍落实，消除要素使用、经济运行、招投标等隐性壁垒。完善民营企业直接融资支持制度，进一步降低民营企业生产经营成本。落实民营经济上台阶行动计划，建立完善企业全生命周期培育体系，保障民营企业平等使用资源要素，推动民营企业改革创新、转型升级、健康发展。弘扬新时代企业家精神，依法保护民营企业和企业家合法权益，促进正向激励，营造支持民营企业、尊重民营企业家的良好社会环境。完善支持中小微企业和个体工商户发展政策，全面落实纾困惠企政策，完善“一企一策”点对点服务机制。激发和保护企业家精神，优化完善市场主体诉求反映和权益维护机制，依法保障各类市场主体合法权益。</w:t>
      </w:r>
    </w:p>
    <w:p w14:paraId="17249682">
      <w:pPr>
        <w:pStyle w:val="4"/>
        <w:spacing w:before="654" w:after="654"/>
        <w:rPr>
          <w:color w:val="auto"/>
        </w:rPr>
      </w:pPr>
      <w:bookmarkStart w:id="735" w:name="_Toc4520"/>
      <w:bookmarkStart w:id="736" w:name="_Toc25213"/>
      <w:bookmarkStart w:id="737" w:name="_Toc18024"/>
      <w:bookmarkStart w:id="738" w:name="_Toc11686"/>
      <w:bookmarkStart w:id="739" w:name="_Toc11075"/>
      <w:bookmarkStart w:id="740" w:name="_Toc25752"/>
      <w:bookmarkStart w:id="741" w:name="_Toc6403"/>
      <w:bookmarkStart w:id="742" w:name="_Toc5760"/>
      <w:bookmarkStart w:id="743" w:name="_Toc14551"/>
      <w:bookmarkStart w:id="744" w:name="_Toc27244"/>
      <w:bookmarkStart w:id="745" w:name="_Toc31712"/>
      <w:bookmarkStart w:id="746" w:name="_Toc28270"/>
      <w:bookmarkStart w:id="747" w:name="_Toc22015"/>
      <w:bookmarkStart w:id="748" w:name="_Toc22228"/>
      <w:bookmarkStart w:id="749" w:name="_Toc15940"/>
      <w:bookmarkStart w:id="750" w:name="_Toc12137"/>
      <w:r>
        <w:rPr>
          <w:rFonts w:hint="eastAsia"/>
          <w:color w:val="auto"/>
        </w:rPr>
        <w:t>深化要素市场化配置改革</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17CDE93F">
      <w:pPr>
        <w:rPr>
          <w:rFonts w:ascii="仿宋" w:hAnsi="仿宋" w:cs="仿宋"/>
          <w:color w:val="auto"/>
        </w:rPr>
      </w:pPr>
      <w:r>
        <w:rPr>
          <w:rFonts w:hint="eastAsia" w:ascii="仿宋" w:hAnsi="仿宋" w:cs="仿宋"/>
          <w:color w:val="auto"/>
        </w:rPr>
        <w:t>探索“资源变资产、资产变资金”的发展模式，推动资源资产化、资本化、价值化。推进土地要素市场化配置工作，持续抓好城乡建设用地增减挂钩工作，加快构建城乡统一建设用地市场。深化产业用地市场化配置改革，鼓励盘活存量建设用地，完善土地管理体制。健全工业用地市场供应体系，实行全域旅游、乡村振兴“点状供地”机制，盘活处置闲置用地和低效用地。加强中小微企业资本市场融资服务供给，完善多层次资本市场体系。加快发展技术要素市场，深化科技成果使用权、处置权和收益权，建立健全科技成果、知识产权归属和利益分享机制。培育发展数据要素市场，挖掘提升数据资源价值，推动横向纵向数据互联互通、共建共享。完善要素市场运行机制，健全守信激励和失信惩戒机制，加快推进社会信用体系建设，构建以信用为基础的新型监管体系。深化农村综合改革，激发乡村发展活力。</w:t>
      </w:r>
    </w:p>
    <w:p w14:paraId="1AFC567B">
      <w:pPr>
        <w:pStyle w:val="4"/>
        <w:spacing w:before="654" w:after="654"/>
        <w:rPr>
          <w:color w:val="auto"/>
        </w:rPr>
      </w:pPr>
      <w:bookmarkStart w:id="751" w:name="_Toc29739"/>
      <w:bookmarkStart w:id="752" w:name="_Toc24212"/>
      <w:bookmarkStart w:id="753" w:name="_Toc20606"/>
      <w:bookmarkStart w:id="754" w:name="_Toc8886"/>
      <w:bookmarkStart w:id="755" w:name="_Toc27302"/>
      <w:bookmarkStart w:id="756" w:name="_Toc31093"/>
      <w:bookmarkStart w:id="757" w:name="_Toc329"/>
      <w:bookmarkStart w:id="758" w:name="_Toc26960"/>
      <w:bookmarkStart w:id="759" w:name="_Toc6545"/>
      <w:bookmarkStart w:id="760" w:name="_Toc25867"/>
      <w:bookmarkStart w:id="761" w:name="_Toc4498"/>
      <w:bookmarkStart w:id="762" w:name="_Toc19029"/>
      <w:bookmarkStart w:id="763" w:name="_Toc25047"/>
      <w:bookmarkStart w:id="764" w:name="_Toc29856"/>
      <w:bookmarkStart w:id="765" w:name="_Toc20219"/>
      <w:bookmarkStart w:id="766" w:name="_Toc21928"/>
      <w:r>
        <w:rPr>
          <w:rFonts w:hint="eastAsia"/>
          <w:color w:val="auto"/>
        </w:rPr>
        <w:t>打造法治化市场化营商环境</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76005B6C">
      <w:pPr>
        <w:rPr>
          <w:rFonts w:ascii="仿宋" w:hAnsi="仿宋" w:cs="仿宋"/>
          <w:color w:val="auto"/>
        </w:rPr>
      </w:pPr>
      <w:r>
        <w:rPr>
          <w:rFonts w:hint="eastAsia" w:ascii="仿宋" w:hAnsi="仿宋" w:cs="仿宋"/>
          <w:color w:val="auto"/>
        </w:rPr>
        <w:t>把持续优化营商环境作为转变政府职能、稳定市场预期和吸引企业投资的重要抓手，以数字政府改革建设为先导推进营商环境综合改革。</w:t>
      </w:r>
    </w:p>
    <w:p w14:paraId="52E2153E">
      <w:pPr>
        <w:ind w:firstLine="643"/>
        <w:rPr>
          <w:rFonts w:ascii="仿宋" w:hAnsi="仿宋" w:cs="仿宋"/>
          <w:color w:val="auto"/>
        </w:rPr>
      </w:pPr>
      <w:bookmarkStart w:id="767" w:name="_Toc22150"/>
      <w:bookmarkStart w:id="768" w:name="_Toc25533"/>
      <w:r>
        <w:rPr>
          <w:rFonts w:hint="eastAsia" w:ascii="仿宋" w:hAnsi="仿宋" w:cs="仿宋"/>
          <w:b/>
          <w:bCs/>
          <w:color w:val="auto"/>
        </w:rPr>
        <w:t>深化行政管理体制改革</w:t>
      </w:r>
      <w:bookmarkEnd w:id="767"/>
      <w:bookmarkEnd w:id="768"/>
      <w:r>
        <w:rPr>
          <w:rFonts w:hint="eastAsia" w:ascii="仿宋" w:hAnsi="仿宋" w:cs="仿宋"/>
          <w:b/>
          <w:bCs/>
          <w:color w:val="auto"/>
        </w:rPr>
        <w:t>。</w:t>
      </w:r>
      <w:r>
        <w:rPr>
          <w:rFonts w:hint="eastAsia" w:ascii="仿宋" w:hAnsi="仿宋" w:cs="仿宋"/>
          <w:color w:val="auto"/>
        </w:rPr>
        <w:t>全面推行告知承诺制审批和容缺受理制度，改造升级一体化在线政务服务平台。加快推进“一门式一网式”政务服务改革，推广使用“粤省事”平台，建设“数字政府”，实现“马上办”“一次办”，探索“管运分离”建设运营模式，加强“数字政府”管理规划和业务统筹。加快转变政府职能，深化简政放权、放管结合、优化服务改革，全面实行政府权责清单制度，推进政务服务标准化、规范化、便利化。推进乡镇街道体制改革，推动权力下放基层。有序推进事业单位分类改革，健全党的全面领导制度，进一步理顺职责边界关系，优化机构设置，健全运行机制。完善运行保障体系，充实乡镇街道编制资源，创新基层选人制度，加强财政保障，强化数字政府技术支撑。</w:t>
      </w:r>
    </w:p>
    <w:p w14:paraId="15B31CBD">
      <w:pPr>
        <w:pStyle w:val="2"/>
        <w:ind w:firstLine="643"/>
        <w:rPr>
          <w:rFonts w:ascii="仿宋" w:hAnsi="仿宋" w:cs="仿宋"/>
          <w:color w:val="auto"/>
        </w:rPr>
      </w:pPr>
      <w:r>
        <w:rPr>
          <w:rFonts w:hint="eastAsia" w:ascii="仿宋" w:hAnsi="仿宋" w:cs="仿宋"/>
          <w:b/>
          <w:bCs/>
          <w:color w:val="auto"/>
        </w:rPr>
        <w:t>强化竞争政策基础地位。</w:t>
      </w:r>
      <w:r>
        <w:rPr>
          <w:rFonts w:hint="eastAsia" w:ascii="仿宋" w:hAnsi="仿宋" w:cs="仿宋"/>
          <w:color w:val="auto"/>
        </w:rPr>
        <w:t>加强重点时段市场价格监管，加大对猪肉、粮油、蛋菜等重点民生商品价格的监测和监管力度，严厉查处哄抬价格等违法行为，配合有关部门做好保供稳价工作。加强民生领域收费监管。密切关注教育、殡葬、养老 等民生领域的收费热点问题，严厉查处投诉举报案件，及时回应群众关切。聚焦群众关心、社会关注的热点焦点问题，突出重点领域、突点行业、重点行为，加强反不正当竞争执法，组织开展反不正当竞争执法能力提升行动。组织查处不正当竞争违法行为。加强和改进反垄断执法，密切关注原料药、公用事业、机动车检测、二手车等民生领域，发现垄断协议和滥用市场支配地位行为线索及时报告。加强广告和网络市场监管，进一步加强整治虚假违法广告力度，规范各类涉网经营行为，维护公平竞争的市场秩序，规范直销经营活动，加强行政指导，引导企业合规经营。开展传销专项整治。</w:t>
      </w:r>
    </w:p>
    <w:p w14:paraId="0EA1473F">
      <w:pPr>
        <w:ind w:firstLine="643"/>
        <w:rPr>
          <w:rFonts w:ascii="仿宋" w:hAnsi="仿宋" w:cs="仿宋"/>
          <w:color w:val="auto"/>
        </w:rPr>
      </w:pPr>
      <w:bookmarkStart w:id="769" w:name="_Toc32328"/>
      <w:bookmarkStart w:id="770" w:name="_Toc18281"/>
      <w:r>
        <w:rPr>
          <w:rFonts w:hint="eastAsia" w:ascii="仿宋" w:hAnsi="仿宋" w:cs="仿宋"/>
          <w:b/>
          <w:bCs/>
          <w:color w:val="auto"/>
        </w:rPr>
        <w:t>持续优化营商环境</w:t>
      </w:r>
      <w:bookmarkEnd w:id="769"/>
      <w:bookmarkEnd w:id="770"/>
      <w:r>
        <w:rPr>
          <w:rFonts w:hint="eastAsia" w:ascii="仿宋" w:hAnsi="仿宋" w:cs="仿宋"/>
          <w:b/>
          <w:bCs/>
          <w:color w:val="auto"/>
        </w:rPr>
        <w:t>。</w:t>
      </w:r>
      <w:r>
        <w:rPr>
          <w:rFonts w:hint="eastAsia" w:ascii="仿宋" w:hAnsi="仿宋" w:cs="仿宋"/>
          <w:color w:val="auto"/>
        </w:rPr>
        <w:t>认真贯彻执行《优化营商环境条例》,全面落实国家和省、市支持民营经济发展政策。深化商事制度改革，创优营商环境，构建亲清新型政商关系。依托“粤省事”平台建设，实现与珠三角“一网通办”平台的衔接贯通。加快推进“互联网+政务服务”，建设“数字政府”，深化企业开办便利化改革，进一步简化审批流程、优化审批方式，下放审批权限，实现全程“网上办”、领证“零跑动”。深化“证照分离”全覆盖试点改革，推动简化审批。加快工程建设项目审批制度改革，推动行政审批与技术审查相分离，进一步压缩审批时限。全面推行告知承诺制审批和容缺受理制度。健全重大决策事前评估和事后评价制度，畅通参与政策制定渠道，提高决策科学化、民主化、法治化水平，建设职责明确、依法行政的政府治理体系。牢固树立法治是最好的营商环境理念，完善营商环境法治体系建设，努力构建亲清新型政商关系，着力打造办事方便、法治良好、成本竞争力强、生态宜居的营商环境。</w:t>
      </w:r>
    </w:p>
    <w:p w14:paraId="157764D2">
      <w:pPr>
        <w:rPr>
          <w:rFonts w:ascii="仿宋" w:hAnsi="仿宋" w:cs="仿宋"/>
          <w:color w:val="auto"/>
        </w:rPr>
      </w:pPr>
    </w:p>
    <w:p w14:paraId="0DCCACFD">
      <w:pPr>
        <w:pStyle w:val="2"/>
        <w:rPr>
          <w:rFonts w:ascii="仿宋" w:hAnsi="仿宋" w:cs="仿宋"/>
          <w:color w:val="auto"/>
        </w:rPr>
      </w:pPr>
    </w:p>
    <w:p w14:paraId="74E511D6">
      <w:pPr>
        <w:pStyle w:val="3"/>
        <w:numPr>
          <w:ilvl w:val="0"/>
          <w:numId w:val="3"/>
        </w:numPr>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p>
    <w:p w14:paraId="6E8E424B">
      <w:pPr>
        <w:pStyle w:val="3"/>
        <w:spacing w:before="218" w:after="218"/>
        <w:rPr>
          <w:color w:val="auto"/>
        </w:rPr>
      </w:pPr>
      <w:bookmarkStart w:id="771" w:name="_Toc22098"/>
      <w:bookmarkStart w:id="772" w:name="_Toc6120"/>
      <w:bookmarkStart w:id="773" w:name="_Toc3021"/>
      <w:bookmarkStart w:id="774" w:name="_Toc26926"/>
      <w:bookmarkStart w:id="775" w:name="_Toc2471"/>
      <w:bookmarkStart w:id="776" w:name="_Toc17335"/>
      <w:bookmarkStart w:id="777" w:name="_Toc22655"/>
      <w:bookmarkStart w:id="778" w:name="_Toc5236"/>
      <w:bookmarkStart w:id="779" w:name="_Toc7740"/>
      <w:bookmarkStart w:id="780" w:name="_Toc21582"/>
      <w:bookmarkStart w:id="781" w:name="_Toc18439"/>
      <w:bookmarkStart w:id="782" w:name="_Toc27201"/>
      <w:bookmarkStart w:id="783" w:name="_Toc36"/>
      <w:bookmarkStart w:id="784" w:name="_Toc24742"/>
      <w:bookmarkStart w:id="785" w:name="_Toc12192"/>
      <w:bookmarkStart w:id="786" w:name="_Toc13023"/>
      <w:r>
        <w:rPr>
          <w:rFonts w:hint="eastAsia"/>
          <w:color w:val="auto"/>
        </w:rPr>
        <w:t>协同推进新型城镇化和乡村振兴，加快促进城乡协调发展</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2EBDED3D">
      <w:pPr>
        <w:rPr>
          <w:rFonts w:ascii="仿宋" w:hAnsi="仿宋" w:cs="仿宋"/>
          <w:color w:val="auto"/>
        </w:rPr>
      </w:pPr>
      <w:r>
        <w:rPr>
          <w:rFonts w:hint="eastAsia" w:ascii="仿宋" w:hAnsi="仿宋" w:cs="仿宋"/>
          <w:color w:val="auto"/>
        </w:rPr>
        <w:t>大力推进以人为核心的新型城镇化，全面实施乡村振兴战略，充分发挥县城和中心镇联结城乡的关键作用，带动城乡融合发展。</w:t>
      </w:r>
    </w:p>
    <w:p w14:paraId="48537B90">
      <w:pPr>
        <w:pStyle w:val="4"/>
        <w:spacing w:before="654" w:after="654"/>
        <w:rPr>
          <w:color w:val="auto"/>
        </w:rPr>
      </w:pPr>
      <w:bookmarkStart w:id="787" w:name="_Toc8673"/>
      <w:bookmarkStart w:id="788" w:name="_Toc13666"/>
      <w:bookmarkStart w:id="789" w:name="_Toc14682"/>
      <w:bookmarkStart w:id="790" w:name="_Toc22602"/>
      <w:bookmarkStart w:id="791" w:name="_Toc15003"/>
      <w:bookmarkStart w:id="792" w:name="_Toc23994"/>
      <w:bookmarkStart w:id="793" w:name="_Toc15810"/>
      <w:bookmarkStart w:id="794" w:name="_Toc29651"/>
      <w:bookmarkStart w:id="795" w:name="_Toc4589"/>
      <w:bookmarkStart w:id="796" w:name="_Toc5034"/>
      <w:bookmarkStart w:id="797" w:name="_Toc7269"/>
      <w:bookmarkStart w:id="798" w:name="_Toc11674"/>
      <w:bookmarkStart w:id="799" w:name="_Toc6356"/>
      <w:bookmarkStart w:id="800" w:name="_Toc3074"/>
      <w:bookmarkStart w:id="801" w:name="_Toc289"/>
      <w:bookmarkStart w:id="802" w:name="_Toc123"/>
      <w:bookmarkStart w:id="803" w:name="_Toc29466"/>
      <w:r>
        <w:rPr>
          <w:rFonts w:hint="eastAsia"/>
          <w:color w:val="auto"/>
        </w:rPr>
        <w:t>优化县域功能分区，加快推进城镇提升</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1FC48C64">
      <w:pPr>
        <w:rPr>
          <w:rFonts w:ascii="仿宋" w:hAnsi="仿宋" w:cs="仿宋"/>
          <w:color w:val="auto"/>
        </w:rPr>
      </w:pPr>
      <w:r>
        <w:rPr>
          <w:rFonts w:hint="eastAsia" w:ascii="仿宋" w:hAnsi="仿宋" w:cs="仿宋"/>
          <w:color w:val="auto"/>
        </w:rPr>
        <w:t>聚焦以人为核心的新型城镇化，优化国土空间布局，强化提升中心县城综合能效，发挥小城镇联结城乡的重要作用，加快构建县城和小城镇协调发展的城镇化空间格局。</w:t>
      </w:r>
    </w:p>
    <w:p w14:paraId="14570386">
      <w:pPr>
        <w:ind w:firstLine="643"/>
        <w:rPr>
          <w:rFonts w:ascii="仿宋" w:hAnsi="仿宋" w:cs="仿宋"/>
          <w:color w:val="auto"/>
        </w:rPr>
      </w:pPr>
      <w:bookmarkStart w:id="804" w:name="_Toc22521"/>
      <w:bookmarkStart w:id="805" w:name="_Toc21764"/>
      <w:r>
        <w:rPr>
          <w:rFonts w:hint="eastAsia" w:ascii="仿宋" w:hAnsi="仿宋" w:cs="仿宋"/>
          <w:b/>
          <w:bCs/>
          <w:color w:val="auto"/>
        </w:rPr>
        <w:t>优化县域功能分区</w:t>
      </w:r>
      <w:bookmarkEnd w:id="804"/>
      <w:bookmarkEnd w:id="805"/>
      <w:r>
        <w:rPr>
          <w:rFonts w:hint="eastAsia" w:ascii="仿宋" w:hAnsi="仿宋" w:cs="仿宋"/>
          <w:b/>
          <w:bCs/>
          <w:color w:val="auto"/>
        </w:rPr>
        <w:t>。</w:t>
      </w:r>
      <w:r>
        <w:rPr>
          <w:rFonts w:hint="eastAsia" w:ascii="仿宋" w:hAnsi="仿宋" w:cs="仿宋"/>
          <w:color w:val="auto"/>
        </w:rPr>
        <w:t>以国土空间规划编制为契机，完善和落实主体功能区战略，科学划定县域生产生活生态空间。以打造绿色发展仁化样板为目标，突出功能定位，坚持宜农则农、宜工则工、宜游则游原则，深入推进县委“一线两带两区”战略布局，围绕产业生态化、生态产业化发展方向，加快构建生态农业、绿色工业和生态旅游为主的富民强县生态产业体系，在“一镇一业、一村一品”产业体系基础上，明确各镇功能定位和经济发展方向。支持丹霞街道以生态工业、宜居县城、旅游服务为龙头，着力打造南岭国家公园丹霞山片区的门户要镇，建成全县政治、经济和文化发展中心。董塘镇、长江镇、周田镇等3个中心镇重点发展生态工业和绿色工业，当好绿色工业高质量发展排头兵。城口镇、石塘镇等2个旅游节点镇依托红色文化资源，打造红色文化旅游示范镇；黄坑镇、大桥镇、红山镇、扶溪镇、闻韶镇等其余山区镇发展现代农业、农旅融合产业，打造生态农业示范镇，切实筑牢生态屏障。围绕打造1个门户要镇、3个中心镇和2个区域节点镇，构建“132+N”发展布局。持续推进139+美丽圩镇建设，盘活低效闲置土地，引导产业向园区集中集聚集约发展，提升中心镇的聚集、辐射和带动功能，全面增强经济发展优势区域承载能力，推动形成特色鲜明、功能互补的差异化联动发展的县域发展功能区域空间格局。</w:t>
      </w:r>
    </w:p>
    <w:p w14:paraId="46801E5F">
      <w:pPr>
        <w:ind w:firstLine="643"/>
        <w:rPr>
          <w:rFonts w:ascii="仿宋" w:hAnsi="仿宋" w:cs="仿宋"/>
          <w:color w:val="auto"/>
        </w:rPr>
      </w:pPr>
      <w:bookmarkStart w:id="806" w:name="_Toc599"/>
      <w:bookmarkStart w:id="807" w:name="_Toc14868"/>
      <w:bookmarkStart w:id="808" w:name="_Toc11321"/>
      <w:r>
        <w:rPr>
          <w:rFonts w:hint="eastAsia" w:ascii="仿宋" w:hAnsi="仿宋" w:cs="仿宋"/>
          <w:b/>
          <w:bCs/>
          <w:color w:val="auto"/>
        </w:rPr>
        <w:t>加快新型城镇化建设</w:t>
      </w:r>
      <w:bookmarkEnd w:id="806"/>
      <w:bookmarkEnd w:id="807"/>
      <w:bookmarkEnd w:id="808"/>
      <w:r>
        <w:rPr>
          <w:rFonts w:hint="eastAsia" w:ascii="仿宋" w:hAnsi="仿宋" w:cs="仿宋"/>
          <w:b/>
          <w:bCs/>
          <w:color w:val="auto"/>
        </w:rPr>
        <w:t>。</w:t>
      </w:r>
      <w:r>
        <w:rPr>
          <w:rFonts w:hint="eastAsia" w:ascii="仿宋" w:hAnsi="仿宋" w:cs="仿宋"/>
          <w:color w:val="auto"/>
        </w:rPr>
        <w:t>强化提升中心县城综合能效。持续推进县城品质提升“439”行动计划，提升县城品质，改善人居环境。巩固“国家卫生县城”、“全国文明城市”和创建“国家森林城市”、“国家园林城市”，统筹推进老旧城区更新提质，不断完善城镇基础设施及公共服务体系，全面提升城镇综合承载能力，提升经济密度，强化核心功能，发挥对全县发展的集聚和辐射带动作用。</w:t>
      </w:r>
    </w:p>
    <w:p w14:paraId="117822EC">
      <w:pPr>
        <w:rPr>
          <w:rFonts w:ascii="仿宋" w:hAnsi="仿宋" w:cs="仿宋"/>
          <w:color w:val="auto"/>
        </w:rPr>
      </w:pPr>
      <w:r>
        <w:rPr>
          <w:rFonts w:hint="eastAsia" w:ascii="仿宋" w:hAnsi="仿宋" w:cs="仿宋"/>
          <w:color w:val="auto"/>
        </w:rPr>
        <w:t>推动中心城区功能升级。实施“北优西调南拓育山美江”的城区发展战略，形成城市功能分工合作、产业结构互相补充、基础设施共建共享的良好格局。</w:t>
      </w:r>
    </w:p>
    <w:p w14:paraId="303D42AC">
      <w:pPr>
        <w:rPr>
          <w:rFonts w:ascii="仿宋" w:hAnsi="仿宋" w:cs="仿宋"/>
          <w:color w:val="auto"/>
        </w:rPr>
      </w:pPr>
      <w:r>
        <w:rPr>
          <w:rFonts w:hint="eastAsia" w:ascii="仿宋" w:hAnsi="仿宋" w:cs="仿宋"/>
          <w:color w:val="auto"/>
        </w:rPr>
        <w:t>北优：主要对老旧城区进行优化改造，增加配套公共设施、道路梳理和环境美化；</w:t>
      </w:r>
    </w:p>
    <w:p w14:paraId="62EC89C4">
      <w:pPr>
        <w:rPr>
          <w:rFonts w:ascii="仿宋" w:hAnsi="仿宋" w:cs="仿宋"/>
          <w:color w:val="auto"/>
        </w:rPr>
      </w:pPr>
      <w:r>
        <w:rPr>
          <w:rFonts w:hint="eastAsia" w:ascii="仿宋" w:hAnsi="仿宋" w:cs="仿宋"/>
          <w:color w:val="auto"/>
        </w:rPr>
        <w:t>西调：对城区西部原有工业园区进行产业升级，严控环境污染，发展无污染产业；</w:t>
      </w:r>
    </w:p>
    <w:p w14:paraId="145FA410">
      <w:pPr>
        <w:rPr>
          <w:rFonts w:ascii="仿宋" w:hAnsi="仿宋" w:cs="仿宋"/>
          <w:color w:val="auto"/>
        </w:rPr>
      </w:pPr>
      <w:r>
        <w:rPr>
          <w:rFonts w:hint="eastAsia" w:ascii="仿宋" w:hAnsi="仿宋" w:cs="仿宋"/>
          <w:color w:val="auto"/>
        </w:rPr>
        <w:t>南拓：城区拓展向南部发展，长远与总体规划相衔接，以便与丹霞山旅游景区形成互补互动双赢优势；</w:t>
      </w:r>
    </w:p>
    <w:p w14:paraId="6748F7A1">
      <w:pPr>
        <w:rPr>
          <w:rFonts w:ascii="仿宋" w:hAnsi="仿宋" w:cs="仿宋"/>
          <w:color w:val="auto"/>
        </w:rPr>
      </w:pPr>
      <w:r>
        <w:rPr>
          <w:rFonts w:hint="eastAsia" w:ascii="仿宋" w:hAnsi="仿宋" w:cs="仿宋"/>
          <w:color w:val="auto"/>
        </w:rPr>
        <w:t>育山：丹霞山是广东省面积最大、景色最美的风景区。是国家风景名胜区、国家级地质地貌自然保护区、国家AAAAA级旅游区、国家地质公园、世界地质公园和世界自然遗产地，城区发展首先要保育得天独厚的自然生态景观；</w:t>
      </w:r>
    </w:p>
    <w:p w14:paraId="6EC4F032">
      <w:pPr>
        <w:rPr>
          <w:rFonts w:ascii="仿宋" w:hAnsi="仿宋" w:cs="仿宋"/>
          <w:color w:val="auto"/>
        </w:rPr>
      </w:pPr>
      <w:r>
        <w:rPr>
          <w:rFonts w:hint="eastAsia" w:ascii="仿宋" w:hAnsi="仿宋" w:cs="仿宋"/>
          <w:color w:val="auto"/>
        </w:rPr>
        <w:t>美江：穿城而过依伴丹霞山脚的锦江，在防洪和沿江景观建设时要注重江岸的美化建设，开展水上观光项目，利用好风光旖丽、山奇水秀的自然江景。</w:t>
      </w:r>
    </w:p>
    <w:p w14:paraId="2663C57B">
      <w:pPr>
        <w:widowControl/>
        <w:shd w:val="clear" w:color="auto" w:fill="FFFFFF"/>
        <w:ind w:firstLine="0" w:firstLineChars="0"/>
        <w:jc w:val="center"/>
        <w:rPr>
          <w:rFonts w:ascii="仿宋" w:hAnsi="仿宋" w:cs="仿宋"/>
          <w:color w:val="auto"/>
        </w:rPr>
      </w:pPr>
      <w:r>
        <w:rPr>
          <w:rFonts w:hint="eastAsia" w:ascii="仿宋" w:hAnsi="仿宋" w:cs="仿宋"/>
          <w:color w:val="auto"/>
        </w:rPr>
        <w:drawing>
          <wp:inline distT="0" distB="0" distL="114300" distR="114300">
            <wp:extent cx="5272405" cy="4772660"/>
            <wp:effectExtent l="0" t="0" r="4445"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8" cstate="print"/>
                    <a:stretch>
                      <a:fillRect/>
                    </a:stretch>
                  </pic:blipFill>
                  <pic:spPr>
                    <a:xfrm>
                      <a:off x="0" y="0"/>
                      <a:ext cx="5272405" cy="4772660"/>
                    </a:xfrm>
                    <a:prstGeom prst="rect">
                      <a:avLst/>
                    </a:prstGeom>
                    <a:noFill/>
                    <a:ln>
                      <a:noFill/>
                    </a:ln>
                  </pic:spPr>
                </pic:pic>
              </a:graphicData>
            </a:graphic>
          </wp:inline>
        </w:drawing>
      </w:r>
    </w:p>
    <w:p w14:paraId="32553028">
      <w:pPr>
        <w:pStyle w:val="74"/>
        <w:ind w:firstLine="562"/>
        <w:rPr>
          <w:rFonts w:ascii="仿宋" w:hAnsi="仿宋" w:cs="仿宋"/>
          <w:color w:val="auto"/>
        </w:rPr>
      </w:pPr>
      <w:r>
        <w:rPr>
          <w:rFonts w:hint="eastAsia" w:ascii="仿宋" w:hAnsi="仿宋" w:cs="仿宋"/>
          <w:color w:val="auto"/>
        </w:rPr>
        <w:t>图10-1 县城区空间布局</w:t>
      </w:r>
    </w:p>
    <w:p w14:paraId="586CDC1C">
      <w:pPr>
        <w:rPr>
          <w:rFonts w:ascii="仿宋" w:hAnsi="仿宋" w:cs="仿宋"/>
          <w:color w:val="auto"/>
        </w:rPr>
      </w:pPr>
      <w:r>
        <w:rPr>
          <w:rFonts w:hint="eastAsia" w:ascii="仿宋" w:hAnsi="仿宋" w:cs="仿宋"/>
          <w:color w:val="auto"/>
        </w:rPr>
        <w:t>推进北环线项目建设，打通县城“断头路”，优化城市空间布局。大力发展城市经济，推动城市发展与产业经济形成良性互动，加快县城与丹霞山融合发展，推进产城融合、山城融合。树立全周期管理理念，统筹城市规划、建设、管理，让县城更健康、更安全、更宜居。制定推动县域高质量发展的政策，实施强县行动。持续推进县城品质提升行动，提高县城规划建设、服务管理水平，推动基础设施和公共服务提档升级，加快补齐公共卫生、人居环境、公共服务、市政设施、产业配套短板。以优质公共服务设施供给切实增强对返乡人员和农村人口的吸引力和承载力，加快农村人口向县城和中心集聚。</w:t>
      </w:r>
    </w:p>
    <w:p w14:paraId="5EF8F3AB">
      <w:pPr>
        <w:rPr>
          <w:rFonts w:ascii="仿宋" w:hAnsi="仿宋" w:cs="仿宋"/>
          <w:color w:val="auto"/>
        </w:rPr>
      </w:pPr>
      <w:r>
        <w:rPr>
          <w:rFonts w:hint="eastAsia" w:ascii="仿宋" w:hAnsi="仿宋" w:cs="仿宋"/>
          <w:color w:val="auto"/>
        </w:rPr>
        <w:t>稳步开展老旧城区改造。加强老旧小区和背街小巷微改造，强力推进城市风貌提升，加快完成甫仁路、教育路等一批新建市政道路，围绕县城北环路，通过打通沿江路、新东大街等现有市政道路与北环路的连接线，建设形成更多城市路网微循环，缓解现有主干道交通压力。因地制宜完善停车场、农贸市场、社区服务站、电动车充电桩等基础设施建设，畅通消防通道。扎实开展数字化城管建设工作，学习市辖三区城市管理的经验，不断提高仁化县城市管理水平及“六乱”巡查管控力度，以“绣花”功夫提升城市管理科学化精细化智能化水平。</w:t>
      </w:r>
    </w:p>
    <w:p w14:paraId="4E0A45E4">
      <w:pPr>
        <w:rPr>
          <w:rFonts w:ascii="仿宋" w:hAnsi="仿宋" w:cs="仿宋"/>
          <w:color w:val="auto"/>
        </w:rPr>
      </w:pPr>
      <w:r>
        <w:rPr>
          <w:rFonts w:hint="eastAsia" w:ascii="仿宋" w:hAnsi="仿宋" w:cs="仿宋"/>
          <w:color w:val="auto"/>
        </w:rPr>
        <w:t>促进公共服务设施共建共享。推动多点分散布局的公共服务设施进行合址建设，提高设施综合利用效率，实现用地集约化、建设标准化、配套集成化、管理一体化的多重优点。创新探索公共服务设施空间配建模式，推动与城市其他空间及功能有机融合，充分利用城市公共服务设施、闲置存量用地、边角地等空间，通过合并、改建、置换、租赁等方式，以创新高效的空间配建模式快速补齐公共服务设施缺口。</w:t>
      </w:r>
    </w:p>
    <w:p w14:paraId="06C6FE1C">
      <w:pPr>
        <w:rPr>
          <w:rFonts w:ascii="仿宋" w:hAnsi="仿宋" w:cs="仿宋"/>
          <w:color w:val="auto"/>
        </w:rPr>
      </w:pPr>
      <w:r>
        <w:rPr>
          <w:rFonts w:hint="eastAsia" w:ascii="仿宋" w:hAnsi="仿宋" w:cs="仿宋"/>
          <w:color w:val="auto"/>
        </w:rPr>
        <w:t>提升小城镇建设能级。持续实施乡镇（镇街）“139”整治提升行动，依托特色产业，推动“以产聚镇”“一镇一业”，提升农业转移人口落户城镇的便利性、归属感、放心感，打造集聚特色产业的创新创业生态生活圈。推动小城镇发展融入全县格局，突出本地资源优势，差异定位、错位发展。加强集镇规划建设，完善集镇服务功能，打造董塘镇、周田镇、长江镇三个县域副中心，壮大特色产业规模、完善产业链、提升配套支撑能力，增强对周边乡村人口的集聚能力和服务辐射水平。一般乡镇强化基础设施和公共服务设施建设，加快发展特色农业、生态旅游，做好生态保护，增强区域教育、医疗、文体等镇区服务功能。按照“产业特而强、形态小而美”发展理念，推动产业、文化、旅游、社区“四位一体”和生产、生活、生态融合发展，重点打造城口历史文化特色小镇。</w:t>
      </w:r>
    </w:p>
    <w:p w14:paraId="5EAC398D">
      <w:pPr>
        <w:pStyle w:val="4"/>
        <w:spacing w:before="654" w:after="654"/>
        <w:rPr>
          <w:color w:val="auto"/>
        </w:rPr>
      </w:pPr>
      <w:bookmarkStart w:id="809" w:name="_Toc24157"/>
      <w:bookmarkStart w:id="810" w:name="_Toc801"/>
      <w:bookmarkStart w:id="811" w:name="_Toc23598"/>
      <w:bookmarkStart w:id="812" w:name="_Toc14945"/>
      <w:bookmarkStart w:id="813" w:name="_Toc10375"/>
      <w:bookmarkStart w:id="814" w:name="_Toc14436"/>
      <w:bookmarkStart w:id="815" w:name="_Toc19635"/>
      <w:bookmarkStart w:id="816" w:name="_Toc12228"/>
      <w:bookmarkStart w:id="817" w:name="_Toc17532"/>
      <w:bookmarkStart w:id="818" w:name="_Toc8226"/>
      <w:bookmarkStart w:id="819" w:name="_Toc30047"/>
      <w:bookmarkStart w:id="820" w:name="_Toc24496"/>
      <w:bookmarkStart w:id="821" w:name="_Toc21114"/>
      <w:bookmarkStart w:id="822" w:name="_Toc24039"/>
      <w:bookmarkStart w:id="823" w:name="_Toc21954"/>
      <w:bookmarkStart w:id="824" w:name="_Toc8184"/>
      <w:bookmarkStart w:id="825" w:name="_Toc3932"/>
      <w:r>
        <w:rPr>
          <w:rFonts w:hint="eastAsia"/>
          <w:color w:val="auto"/>
        </w:rPr>
        <w:t>加快建设美丽乡村，全面推进乡村振兴</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2493E6BF">
      <w:pPr>
        <w:rPr>
          <w:rFonts w:ascii="仿宋" w:hAnsi="仿宋" w:cs="仿宋"/>
          <w:color w:val="auto"/>
        </w:rPr>
      </w:pPr>
      <w:r>
        <w:rPr>
          <w:rFonts w:hint="eastAsia" w:ascii="仿宋" w:hAnsi="仿宋" w:cs="仿宋"/>
          <w:color w:val="auto"/>
        </w:rPr>
        <w:t>坚决把解决好“三农”问题作为工作重中之重，深入实施乡村振兴战略，强化以工补农、以城带乡，实现产业兴旺、生态宜居、乡风文明、治理有效、生活富裕。</w:t>
      </w:r>
    </w:p>
    <w:p w14:paraId="4C222057">
      <w:pPr>
        <w:ind w:firstLine="643"/>
        <w:rPr>
          <w:rFonts w:ascii="仿宋" w:hAnsi="仿宋" w:cs="仿宋"/>
          <w:color w:val="auto"/>
        </w:rPr>
      </w:pPr>
      <w:bookmarkStart w:id="826" w:name="_Toc597"/>
      <w:bookmarkStart w:id="827" w:name="_Toc29727"/>
      <w:r>
        <w:rPr>
          <w:rFonts w:hint="eastAsia" w:ascii="仿宋" w:hAnsi="仿宋" w:cs="仿宋"/>
          <w:b/>
          <w:bCs/>
          <w:color w:val="auto"/>
        </w:rPr>
        <w:t>巩固拓展脱贫攻坚成果</w:t>
      </w:r>
      <w:bookmarkEnd w:id="826"/>
      <w:bookmarkEnd w:id="827"/>
      <w:r>
        <w:rPr>
          <w:rFonts w:hint="eastAsia" w:ascii="仿宋" w:hAnsi="仿宋" w:cs="仿宋"/>
          <w:b/>
          <w:bCs/>
          <w:color w:val="auto"/>
        </w:rPr>
        <w:t>。</w:t>
      </w:r>
      <w:r>
        <w:rPr>
          <w:rFonts w:hint="eastAsia" w:ascii="仿宋" w:hAnsi="仿宋" w:cs="仿宋"/>
          <w:color w:val="auto"/>
          <w:lang w:val="en-US" w:eastAsia="zh-CN"/>
        </w:rPr>
        <w:t>建立健全巩固拓展脱贫攻坚成果长效机制，推动脱贫攻坚体系全面转向乡村振兴，健立农村低收入人口常态化帮扶机制。严格落实“四个不摘”要求，切实保持主要帮扶政策总体稳定。</w:t>
      </w:r>
      <w:r>
        <w:rPr>
          <w:rFonts w:hint="eastAsia" w:ascii="仿宋" w:hAnsi="仿宋" w:cs="仿宋"/>
          <w:color w:val="auto"/>
        </w:rPr>
        <w:t>用好用活产业扶贫、金融扶持、资产收益、消费扶贫等帮扶手段，强化扶贫项目资金资产管理和监督，巩固提升脱贫的成色质量。强化涉农资金统筹整合，促使更多要素资源下乡进村，为富民兴村持续注入动力。</w:t>
      </w:r>
    </w:p>
    <w:p w14:paraId="5294BC72">
      <w:pPr>
        <w:ind w:firstLine="643"/>
        <w:rPr>
          <w:rFonts w:ascii="仿宋" w:hAnsi="仿宋" w:cs="仿宋"/>
          <w:color w:val="auto"/>
        </w:rPr>
      </w:pPr>
      <w:bookmarkStart w:id="828" w:name="_Toc14358"/>
      <w:bookmarkStart w:id="829" w:name="_Toc8061"/>
      <w:r>
        <w:rPr>
          <w:rFonts w:hint="eastAsia" w:ascii="仿宋" w:hAnsi="仿宋" w:cs="仿宋"/>
          <w:b/>
          <w:bCs/>
          <w:color w:val="auto"/>
        </w:rPr>
        <w:t>促进农民增收致富</w:t>
      </w:r>
      <w:bookmarkEnd w:id="828"/>
      <w:bookmarkEnd w:id="829"/>
      <w:r>
        <w:rPr>
          <w:rFonts w:hint="eastAsia" w:ascii="仿宋" w:hAnsi="仿宋" w:cs="仿宋"/>
          <w:b/>
          <w:bCs/>
          <w:color w:val="auto"/>
        </w:rPr>
        <w:t>。</w:t>
      </w:r>
      <w:r>
        <w:rPr>
          <w:rFonts w:hint="eastAsia" w:ascii="仿宋" w:hAnsi="仿宋" w:cs="仿宋"/>
          <w:color w:val="auto"/>
        </w:rPr>
        <w:t>优化农村产业结构。以示范区为主引擎推进产业振兴，整合专项资金和各镇（街）现有资源，精准定位区域农业功能，实施特色产业培育工程，发展一村一品、一镇一业，做强富民兴村产业。开展农村一二三产业融合发展试点镇先行先试工作。延长种养业产业链条，构建现代农业产业体系，大力发展扶溪生态米、长江毛竹、长坝沙田柚、石塘堆花酒、仁化白毛茶、丹霞贡柑、丹霞铁皮石斛、丹霞山楂等特色产业。扶持发展现代种业、生物技术等战略产业，做大农产品加工、农村电商、休闲农业、田园综合体、乡村旅游、森林康养、文化创意、乡村共享经济等新产业新业态。</w:t>
      </w:r>
    </w:p>
    <w:p w14:paraId="2DC00EB8">
      <w:pPr>
        <w:rPr>
          <w:rFonts w:ascii="仿宋" w:hAnsi="仿宋" w:cs="仿宋"/>
          <w:color w:val="auto"/>
        </w:rPr>
      </w:pPr>
      <w:r>
        <w:rPr>
          <w:rFonts w:hint="eastAsia" w:ascii="仿宋" w:hAnsi="仿宋" w:cs="仿宋"/>
          <w:color w:val="auto"/>
        </w:rPr>
        <w:t>完善农村劳动力信息数据库和企业用工需求信息数据库，推进就业信息网络覆盖全部行政村，实现信息两头入库、自动匹配、实时对接，促进乡村劳动力与市场需求精准匹配。定期组织农村劳动力供需见面会、专场招聘会，促进农村劳动力实现更加充分就业。鼓励自发性劳务输出与有组织性劳务输出相结合，引导就地就近转移，促进劳动人口、资源和环境协调。</w:t>
      </w:r>
    </w:p>
    <w:p w14:paraId="5B4B8CCB">
      <w:pPr>
        <w:ind w:firstLine="643"/>
        <w:rPr>
          <w:rFonts w:ascii="仿宋" w:hAnsi="仿宋" w:cs="仿宋"/>
          <w:color w:val="auto"/>
        </w:rPr>
      </w:pPr>
      <w:bookmarkStart w:id="830" w:name="_Toc3703"/>
      <w:bookmarkStart w:id="831" w:name="_Toc22820"/>
      <w:r>
        <w:rPr>
          <w:rFonts w:hint="eastAsia" w:ascii="仿宋" w:hAnsi="仿宋" w:cs="仿宋"/>
          <w:b/>
          <w:bCs/>
          <w:color w:val="auto"/>
        </w:rPr>
        <w:t>建设美丽乡村</w:t>
      </w:r>
      <w:bookmarkEnd w:id="830"/>
      <w:bookmarkEnd w:id="831"/>
      <w:r>
        <w:rPr>
          <w:rFonts w:hint="eastAsia" w:ascii="仿宋" w:hAnsi="仿宋" w:cs="仿宋"/>
          <w:b/>
          <w:bCs/>
          <w:color w:val="auto"/>
        </w:rPr>
        <w:t>。</w:t>
      </w:r>
      <w:bookmarkStart w:id="832" w:name="_Toc12953"/>
      <w:r>
        <w:rPr>
          <w:rFonts w:hint="eastAsia" w:ascii="仿宋" w:hAnsi="仿宋" w:cs="仿宋"/>
          <w:color w:val="auto"/>
        </w:rPr>
        <w:t>实施乡村建设行动，把乡村建设摆在社会主义现代化建设的重要位置，统筹优化乡村规划、建设和发展，全面推进农房管控和风貌提升。推进农村宅基地制度改革，坚决遏制侵占耕地建房行为。倡导适于本地特色的规划设计标准，妥善保护并活化利用好古村落、古民居、古树等历史文化景观保护，构建优美的农村生态环境体系，结合乡村旅游发展，打造特色鲜明的美丽乡村。</w:t>
      </w:r>
    </w:p>
    <w:p w14:paraId="0FE4BB42">
      <w:pPr>
        <w:rPr>
          <w:rFonts w:ascii="仿宋" w:hAnsi="仿宋" w:cs="仿宋"/>
          <w:color w:val="auto"/>
        </w:rPr>
      </w:pPr>
      <w:r>
        <w:rPr>
          <w:rFonts w:hint="eastAsia" w:ascii="仿宋" w:hAnsi="仿宋" w:cs="仿宋"/>
          <w:color w:val="auto"/>
        </w:rPr>
        <w:t>持续深入开展农村人居环境整治，以自然村为基本单元，组织发动村民整治环境脏乱差，持续抓好“四沿”区域美丽乡村示范带建设，推动全县村庄逐级打造“干净整洁村”“美丽宜居村”“特色精品村”。优先整治重要饮用水水源地周边和水质需要改善控制单元内村庄的生活垃圾污水。到2025年，基本实现农村住房外观整洁、建设有序、管理规范，80%以上行政村达到美丽宜居村标准。建立和完善长效管护机制。加快推进农村“厕所革命”，保持农村无害化卫生户厕普及率达100%，厕所粪污基本得到有效处理或资源化利用。农村生活垃圾和生活污水处理设施建设。基本实现设施完善、运维常态、高效畅通。</w:t>
      </w:r>
    </w:p>
    <w:p w14:paraId="677C66DB">
      <w:pPr>
        <w:ind w:firstLine="643"/>
        <w:rPr>
          <w:rFonts w:ascii="仿宋" w:hAnsi="仿宋" w:cs="仿宋"/>
          <w:color w:val="auto"/>
        </w:rPr>
      </w:pPr>
      <w:bookmarkStart w:id="833" w:name="_Toc31450"/>
      <w:r>
        <w:rPr>
          <w:rFonts w:hint="eastAsia" w:ascii="仿宋" w:hAnsi="仿宋" w:cs="仿宋"/>
          <w:b/>
          <w:bCs/>
          <w:color w:val="auto"/>
        </w:rPr>
        <w:t>推动农村基础设施提档升级</w:t>
      </w:r>
      <w:bookmarkEnd w:id="832"/>
      <w:bookmarkEnd w:id="833"/>
      <w:r>
        <w:rPr>
          <w:rFonts w:hint="eastAsia" w:ascii="仿宋" w:hAnsi="仿宋" w:cs="仿宋"/>
          <w:color w:val="auto"/>
        </w:rPr>
        <w:t>。补齐农村及少数民族地区基础设施短板。加快补齐农村供水、供电、道路、信息网络、农田水利、冷链物流等基础设施短板，适当增加旅游、休闲等服务设施，建立健全长效管护机制，努力满足乡村发展需要。积极推进乡村生活圈的建设，以不同生活圈的服务半径、服务规模为依据，配套完善乡村菜市场、配送站等大众化服务网点，推进建设乡村电子商务服务体系，充分满足农民休闲、娱乐、消费等多方面需求。适应老龄化发展态势，加快老年活动室、养老院等老年设施建设，提升人性化发展水平。</w:t>
      </w:r>
    </w:p>
    <w:p w14:paraId="2D7FDFAD">
      <w:pPr>
        <w:rPr>
          <w:rFonts w:ascii="仿宋" w:hAnsi="仿宋" w:cs="仿宋"/>
          <w:color w:val="auto"/>
        </w:rPr>
      </w:pPr>
      <w:r>
        <w:rPr>
          <w:rFonts w:hint="eastAsia" w:ascii="仿宋" w:hAnsi="仿宋" w:cs="仿宋"/>
          <w:color w:val="auto"/>
        </w:rPr>
        <w:t>提档升级农村公路。加强“四好农村公路”建设，进一步完善农村路网，升级改造现有农村公路，扩大路面宽度，将水泥路由入村变到入户，基本消除村道危桥，提升农村公路整体通行能力。加强道路亮化、绿化、景观化建设，完善农村公路绿道、步道和自行车专用道等慢行交通体系。</w:t>
      </w:r>
    </w:p>
    <w:p w14:paraId="0CC58526">
      <w:pPr>
        <w:rPr>
          <w:rFonts w:ascii="仿宋" w:hAnsi="仿宋" w:cs="仿宋"/>
          <w:color w:val="auto"/>
        </w:rPr>
      </w:pPr>
      <w:r>
        <w:rPr>
          <w:rFonts w:hint="eastAsia" w:ascii="仿宋" w:hAnsi="仿宋" w:cs="仿宋"/>
          <w:color w:val="auto"/>
        </w:rPr>
        <w:t>完善城乡一体交通运输体系。积极发展“城乡公交”“镇村公交”等城乡道路客运一体化模式，开辟新的城乡公交线路，调整优化延伸现有城乡公交线路，推动城乡公交线路盲区全覆盖，努力实现城乡道路基本公共服务均等化。加快建设县、乡、村三级农村物流网络节点体系、培育龙头骨干物流企业、推广先进运营模式和信息技术，构建资源共享、服务同网、信息互通、便利高效的农村物流发展新格局。</w:t>
      </w:r>
    </w:p>
    <w:p w14:paraId="5FFFB7A7">
      <w:pPr>
        <w:ind w:firstLine="643"/>
        <w:rPr>
          <w:rFonts w:ascii="仿宋" w:hAnsi="仿宋" w:cs="仿宋"/>
          <w:color w:val="auto"/>
        </w:rPr>
      </w:pPr>
      <w:bookmarkStart w:id="834" w:name="_Toc9163"/>
      <w:bookmarkStart w:id="835" w:name="_Toc9712"/>
      <w:r>
        <w:rPr>
          <w:rFonts w:hint="eastAsia" w:ascii="仿宋" w:hAnsi="仿宋" w:cs="仿宋"/>
          <w:b/>
          <w:bCs/>
          <w:color w:val="auto"/>
        </w:rPr>
        <w:t>提升乡村基本公共服务水平</w:t>
      </w:r>
      <w:bookmarkEnd w:id="834"/>
      <w:bookmarkEnd w:id="835"/>
      <w:r>
        <w:rPr>
          <w:rFonts w:hint="eastAsia" w:ascii="仿宋" w:hAnsi="仿宋" w:cs="仿宋"/>
          <w:b/>
          <w:bCs/>
          <w:color w:val="auto"/>
        </w:rPr>
        <w:t>。</w:t>
      </w:r>
      <w:r>
        <w:rPr>
          <w:rFonts w:hint="eastAsia" w:ascii="仿宋" w:hAnsi="仿宋" w:cs="仿宋"/>
          <w:color w:val="auto"/>
        </w:rPr>
        <w:t>加快补齐农村民生短板，逐步建立健全全面覆盖、普惠共享、城乡一体的基本公共服务体系，让农民群众有更多实实在在的获得感、幸福感、安全感。</w:t>
      </w:r>
    </w:p>
    <w:p w14:paraId="35AEA299">
      <w:pPr>
        <w:rPr>
          <w:rFonts w:ascii="仿宋" w:hAnsi="仿宋" w:cs="仿宋"/>
          <w:color w:val="auto"/>
        </w:rPr>
      </w:pPr>
      <w:r>
        <w:rPr>
          <w:rFonts w:hint="eastAsia" w:ascii="仿宋" w:hAnsi="仿宋" w:cs="仿宋"/>
          <w:color w:val="auto"/>
        </w:rPr>
        <w:t>统筹配置教育、医疗、商业等公共服务设施，促进城乡基本公共服务均等化。按照省市工作部署，落实以城带乡、城乡一体、均衡发展的义务教育发展机制。大力完善公办幼儿园建设，提高公办民办幼儿园办置条件，规范公民办幼儿园办学行为，全面满足乡村学前教育学位需求，高质量高水平普及学前教育。鼓励和扶持集体举办公办幼儿园。完善民办幼儿园准入制度，实行分类管理。实施乡村教育资源的优化工程，持续加大乡村教育投入，全面改善农村义务教育薄弱学校基本办学条件，加强乡村小规模学校和乡镇寄宿制学校建设，完成长江中学综合楼建设和扶溪学校高段校区运动场建设。深入实施乡村教师支持计划，精准补充乡村学校紧缺学科教师，统筹配置城乡教师资源，落实乡村教师待遇。</w:t>
      </w:r>
    </w:p>
    <w:p w14:paraId="6A9492DE">
      <w:pPr>
        <w:rPr>
          <w:rFonts w:ascii="仿宋" w:hAnsi="仿宋" w:cs="仿宋"/>
          <w:color w:val="auto"/>
        </w:rPr>
      </w:pPr>
      <w:r>
        <w:rPr>
          <w:rFonts w:hint="eastAsia" w:ascii="仿宋" w:hAnsi="仿宋" w:cs="仿宋"/>
          <w:color w:val="auto"/>
        </w:rPr>
        <w:t>完成所有行政村卫生服务站规范化建设、综合性文化服务设施建设，完善公共服务中心（站）。依托村公共服务中心（站），提升行政服务、金融保险、卫生、供销、农技推广、法律、旅游咨询服务水平，加快物流快递、光纤信息网络向自然村延伸。完善统一的城乡居民基本医疗保险制度，医保结算延伸到村卫生站，全县公建规范化建设卫生站100%实现城乡居民医疗保险普通门诊统筹医保即时结算。巩固城乡居民基本养老保险全覆盖成果，抓好持续缴费工作，落实城乡居民基本养老保险待遇确定和基础养老金标准正常调整机制，逐步提高保障水平。落实优先保障水库移民振兴发展的实施意见，将水库移民纳入当地乡村振兴规划和基本公共服务保障范围。</w:t>
      </w:r>
    </w:p>
    <w:p w14:paraId="5455C3E5">
      <w:pPr>
        <w:ind w:firstLine="643"/>
        <w:rPr>
          <w:rFonts w:ascii="仿宋" w:hAnsi="仿宋" w:cs="仿宋"/>
          <w:color w:val="auto"/>
        </w:rPr>
      </w:pPr>
      <w:bookmarkStart w:id="836" w:name="_Toc26779"/>
      <w:bookmarkStart w:id="837" w:name="_Toc21490"/>
      <w:r>
        <w:rPr>
          <w:rFonts w:hint="eastAsia" w:ascii="仿宋" w:hAnsi="仿宋" w:cs="仿宋"/>
          <w:b/>
          <w:bCs/>
          <w:color w:val="auto"/>
        </w:rPr>
        <w:t>提升乡村文化建设水平</w:t>
      </w:r>
      <w:bookmarkEnd w:id="836"/>
      <w:bookmarkEnd w:id="837"/>
      <w:r>
        <w:rPr>
          <w:rFonts w:hint="eastAsia" w:ascii="仿宋" w:hAnsi="仿宋" w:cs="仿宋"/>
          <w:color w:val="auto"/>
        </w:rPr>
        <w:t>。以社会主义核心价值观为引领，坚持物质文明和精神文明一起抓，以乡村公共文化服务体系建设为载体，传承发展岭南优秀传统文化，推进移风易俗，积极培育文明乡风、良好家风、淳朴民风，提升农民文明素质和农村文明程度，提振农村精气神。健全乡村公共文化体育服务体系。因地制宜建设乡村综合文化中心、文化小广场、小公园。推动“仁爱仁化”特色文化品牌建设，鼓励镇村基层组织和群众自办节目、自创形式，传承民间戏曲、民俗活动、民间音乐、传统手工等乡土文化，办好民间“村晚”、民俗文化、传统体育活动，持续深入开展“我们的节日”民俗文化和现代节庆文体活动，丰富广大群众的文化生活。</w:t>
      </w:r>
    </w:p>
    <w:p w14:paraId="68802728">
      <w:pPr>
        <w:pStyle w:val="4"/>
        <w:spacing w:before="654" w:after="654"/>
        <w:rPr>
          <w:color w:val="auto"/>
        </w:rPr>
      </w:pPr>
      <w:bookmarkStart w:id="838" w:name="_Toc23521"/>
      <w:bookmarkStart w:id="839" w:name="_Toc23514"/>
      <w:bookmarkStart w:id="840" w:name="_Toc3629"/>
      <w:bookmarkStart w:id="841" w:name="_Toc27979"/>
      <w:bookmarkStart w:id="842" w:name="_Toc27398"/>
      <w:bookmarkStart w:id="843" w:name="_Toc23922"/>
      <w:bookmarkStart w:id="844" w:name="_Toc29063"/>
      <w:bookmarkStart w:id="845" w:name="_Toc16443"/>
      <w:bookmarkStart w:id="846" w:name="_Toc7595"/>
      <w:bookmarkStart w:id="847" w:name="_Toc23209"/>
      <w:bookmarkStart w:id="848" w:name="_Toc7656"/>
      <w:bookmarkStart w:id="849" w:name="_Toc21918"/>
      <w:bookmarkStart w:id="850" w:name="_Toc25694"/>
      <w:bookmarkStart w:id="851" w:name="_Toc27806"/>
      <w:bookmarkStart w:id="852" w:name="_Toc10474"/>
      <w:bookmarkStart w:id="853" w:name="_Toc16569"/>
      <w:r>
        <w:rPr>
          <w:rFonts w:hint="eastAsia"/>
          <w:color w:val="auto"/>
        </w:rPr>
        <w:t>建立健全城乡融合发展体制机制</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14:paraId="6C8F8653">
      <w:pPr>
        <w:rPr>
          <w:rFonts w:ascii="仿宋" w:hAnsi="仿宋" w:cs="仿宋"/>
          <w:color w:val="auto"/>
        </w:rPr>
      </w:pPr>
      <w:r>
        <w:rPr>
          <w:rFonts w:hint="eastAsia" w:ascii="仿宋" w:hAnsi="仿宋" w:cs="仿宋"/>
          <w:color w:val="auto"/>
        </w:rPr>
        <w:t>坚决破除体制机制弊端，促进城乡要素自由流动、平等交换，加快形成工农互促、城乡互补、全面融合、共同繁荣的新型工农城乡关系。</w:t>
      </w:r>
    </w:p>
    <w:p w14:paraId="02DA80C6">
      <w:pPr>
        <w:ind w:firstLine="643"/>
        <w:rPr>
          <w:rFonts w:ascii="仿宋" w:hAnsi="仿宋" w:cs="仿宋"/>
          <w:color w:val="auto"/>
        </w:rPr>
      </w:pPr>
      <w:bookmarkStart w:id="854" w:name="_Toc339"/>
      <w:bookmarkStart w:id="855" w:name="_Toc21079"/>
      <w:r>
        <w:rPr>
          <w:rFonts w:hint="eastAsia" w:ascii="仿宋" w:hAnsi="仿宋" w:cs="仿宋"/>
          <w:b/>
          <w:bCs/>
          <w:color w:val="auto"/>
        </w:rPr>
        <w:t>健全农业转移人口市民化机制</w:t>
      </w:r>
      <w:bookmarkEnd w:id="854"/>
      <w:bookmarkEnd w:id="855"/>
      <w:r>
        <w:rPr>
          <w:rFonts w:hint="eastAsia" w:ascii="仿宋" w:hAnsi="仿宋" w:cs="仿宋"/>
          <w:b/>
          <w:bCs/>
          <w:color w:val="auto"/>
        </w:rPr>
        <w:t>。</w:t>
      </w:r>
      <w:r>
        <w:rPr>
          <w:rFonts w:hint="eastAsia" w:ascii="仿宋" w:hAnsi="仿宋" w:cs="仿宋"/>
          <w:color w:val="auto"/>
        </w:rPr>
        <w:t>全面放开落户限制，简化户籍迁移手续，加强落户政策宣传，开通线上申请审核系统，大幅提高落户便利性。推动未落户常住人口逐步享有与户籍人口同等的城镇基本公共服务，增加学位供给，健全以居住证为主要依据的随迁子女入学入园政策。维护进城落户农民土地承包权、宅基地使用权、集体收益分配权，支持引导其依法自愿有偿转让上述权益。大力提升农业转移人口就业能力，加强对新生代农民工等农业转移人口的职业技能培训，支持吸纳农民工较多企业开展岗前培训、新型学徒制培训和岗位技能提升培训，并按规定给予培训补贴。</w:t>
      </w:r>
    </w:p>
    <w:p w14:paraId="2526CBA6">
      <w:pPr>
        <w:ind w:firstLine="643"/>
        <w:rPr>
          <w:rFonts w:ascii="仿宋" w:hAnsi="仿宋" w:cs="仿宋"/>
          <w:color w:val="auto"/>
        </w:rPr>
      </w:pPr>
      <w:bookmarkStart w:id="856" w:name="_Toc27762"/>
      <w:bookmarkStart w:id="857" w:name="_Toc29361"/>
      <w:r>
        <w:rPr>
          <w:rFonts w:hint="eastAsia" w:ascii="仿宋" w:hAnsi="仿宋" w:cs="仿宋"/>
          <w:b/>
          <w:bCs/>
          <w:color w:val="auto"/>
        </w:rPr>
        <w:t>建立城市人才入乡激励机制</w:t>
      </w:r>
      <w:bookmarkEnd w:id="856"/>
      <w:bookmarkEnd w:id="857"/>
      <w:r>
        <w:rPr>
          <w:rFonts w:hint="eastAsia" w:ascii="仿宋" w:hAnsi="仿宋" w:cs="仿宋"/>
          <w:b/>
          <w:bCs/>
          <w:color w:val="auto"/>
        </w:rPr>
        <w:t>。</w:t>
      </w:r>
      <w:r>
        <w:rPr>
          <w:rFonts w:hint="eastAsia" w:ascii="仿宋" w:hAnsi="仿宋" w:cs="仿宋"/>
          <w:color w:val="auto"/>
        </w:rPr>
        <w:t>落实财政、金融、社会保障等激励政策，吸引各类人才返乡入乡创业。鼓励原籍普通高校和职业院校毕业生、外出农民工及经商人员回乡创业兴业。鼓励引导高校毕业生扎根基层、发挥作用。建立选派第一书记工作长效机制。建立城乡人才合作交流机制，探索通过岗编适度分离等多种方式，推进城市教科文卫体等工作人员定期服务乡村。推动职称评定、工资待遇等向乡村教师、医生倾斜，优化乡村教师、医生中高级岗位结构比例。引导规划、建筑、园林等设计人员入乡。允许农村集体经济组织探索人才加入机制，吸引人才、留住人才。</w:t>
      </w:r>
    </w:p>
    <w:p w14:paraId="645C95B0">
      <w:pPr>
        <w:ind w:firstLine="643"/>
        <w:rPr>
          <w:rFonts w:ascii="仿宋" w:hAnsi="仿宋" w:cs="仿宋"/>
          <w:color w:val="auto"/>
        </w:rPr>
      </w:pPr>
      <w:bookmarkStart w:id="858" w:name="_Toc32293"/>
      <w:bookmarkStart w:id="859" w:name="_Toc27724"/>
      <w:r>
        <w:rPr>
          <w:rFonts w:hint="eastAsia" w:ascii="仿宋" w:hAnsi="仿宋" w:cs="仿宋"/>
          <w:b/>
          <w:bCs/>
          <w:color w:val="auto"/>
        </w:rPr>
        <w:t>稳慎推进农村“三块地”改革</w:t>
      </w:r>
      <w:bookmarkEnd w:id="858"/>
      <w:bookmarkEnd w:id="859"/>
      <w:r>
        <w:rPr>
          <w:rFonts w:hint="eastAsia" w:ascii="仿宋" w:hAnsi="仿宋" w:cs="仿宋"/>
          <w:color w:val="auto"/>
        </w:rPr>
        <w:t>。加快完成农村承包地确权登记颁证。完善农村承包地“三权分置”制度，在依法保护集体所有权和农户承包权前提下，平等保护并进一步放活土地经营权。健全土地流转规范管理制度，强化规模经营管理服务，允许土地经营权入股从事农业产业化经营。稳慎改革农村宅基地制度。加快完成房地一体的宅基地使用权确权登记颁证。探索宅基地所有权、资格权、使用权“三权分置”。鼓励农村集体经济组织及其成员盘活利用闲置宅基地和闲置房屋。优化村庄用地布局，有效利用乡村零星分散存量建设用地。加快完成农村集体建设用地使用权确权登记颁证。建立集体经营性建设用地入市制度。</w:t>
      </w:r>
    </w:p>
    <w:p w14:paraId="59BC3491">
      <w:pPr>
        <w:ind w:firstLine="643"/>
        <w:rPr>
          <w:rFonts w:ascii="仿宋" w:hAnsi="仿宋" w:cs="仿宋"/>
          <w:color w:val="auto"/>
        </w:rPr>
      </w:pPr>
      <w:bookmarkStart w:id="860" w:name="_Toc971"/>
      <w:bookmarkStart w:id="861" w:name="_Toc28468"/>
      <w:r>
        <w:rPr>
          <w:rFonts w:hint="eastAsia" w:ascii="仿宋" w:hAnsi="仿宋" w:cs="仿宋"/>
          <w:b/>
          <w:bCs/>
          <w:color w:val="auto"/>
        </w:rPr>
        <w:t>完善资金投入机制</w:t>
      </w:r>
      <w:bookmarkEnd w:id="860"/>
      <w:bookmarkEnd w:id="861"/>
      <w:r>
        <w:rPr>
          <w:rFonts w:hint="eastAsia" w:ascii="仿宋" w:hAnsi="仿宋" w:cs="仿宋"/>
          <w:b/>
          <w:bCs/>
          <w:color w:val="auto"/>
        </w:rPr>
        <w:t>。</w:t>
      </w:r>
      <w:r>
        <w:rPr>
          <w:rFonts w:hint="eastAsia" w:ascii="仿宋" w:hAnsi="仿宋" w:cs="仿宋"/>
          <w:color w:val="auto"/>
        </w:rPr>
        <w:t>建立涉农资金统筹整合长效机制，提高资金配置效率。调整土地出让收入使用范围，提高农业农村投入比例。建立健全农业信贷担保体系，鼓励有条件有需求的地区按市场化方式设立担保机构。加快完善农业保险制度，推动政策性保险扩面、增品、提标，降低农户生产经营风险。建立工商资本入乡促进机制，引导工商资本为城乡融合发展提供资金、产业、技术等支持，鼓励工商资本投资适合产业化规模化集约化经营的农业领域，支持城市搭建城中村改造合作平台，探索在政府引导下工商资本与村集体合作共赢模式，发展壮大村级集体经济。</w:t>
      </w:r>
    </w:p>
    <w:p w14:paraId="7C755FA0">
      <w:pPr>
        <w:rPr>
          <w:rFonts w:ascii="仿宋" w:hAnsi="仿宋" w:cs="仿宋"/>
          <w:color w:val="auto"/>
          <w:kern w:val="0"/>
          <w:szCs w:val="32"/>
          <w:shd w:val="clear" w:color="auto" w:fill="FFFFFF"/>
        </w:rPr>
      </w:pPr>
    </w:p>
    <w:p w14:paraId="39326E26">
      <w:pPr>
        <w:pStyle w:val="3"/>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bookmarkStart w:id="862" w:name="_Toc9344"/>
    </w:p>
    <w:p w14:paraId="675DCAA2">
      <w:pPr>
        <w:pStyle w:val="3"/>
        <w:spacing w:before="218" w:after="218"/>
        <w:rPr>
          <w:color w:val="auto"/>
        </w:rPr>
      </w:pPr>
      <w:bookmarkStart w:id="863" w:name="_Toc18906"/>
      <w:bookmarkStart w:id="864" w:name="_Toc24240"/>
      <w:bookmarkStart w:id="865" w:name="_Toc17431"/>
      <w:bookmarkStart w:id="866" w:name="_Toc16386"/>
      <w:bookmarkStart w:id="867" w:name="_Toc26012"/>
      <w:bookmarkStart w:id="868" w:name="_Toc8825"/>
      <w:bookmarkStart w:id="869" w:name="_Toc17736"/>
      <w:bookmarkStart w:id="870" w:name="_Toc17554"/>
      <w:bookmarkStart w:id="871" w:name="_Toc7470"/>
      <w:bookmarkStart w:id="872" w:name="_Toc31191"/>
      <w:bookmarkStart w:id="873" w:name="_Toc1838"/>
      <w:bookmarkStart w:id="874" w:name="_Toc7136"/>
      <w:bookmarkStart w:id="875" w:name="_Toc20320"/>
      <w:bookmarkStart w:id="876" w:name="_Toc3304"/>
      <w:bookmarkStart w:id="877" w:name="_Toc10989"/>
      <w:bookmarkStart w:id="878" w:name="_Toc8560"/>
      <w:r>
        <w:rPr>
          <w:rFonts w:hint="eastAsia"/>
          <w:color w:val="auto"/>
        </w:rPr>
        <w:t>持续加强精神文明建设，全面繁荣发展文化事业和文化产业</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840A2EC">
      <w:pPr>
        <w:rPr>
          <w:rFonts w:ascii="仿宋" w:hAnsi="仿宋" w:cs="仿宋"/>
          <w:color w:val="auto"/>
        </w:rPr>
      </w:pPr>
      <w:r>
        <w:rPr>
          <w:rFonts w:hint="eastAsia" w:ascii="仿宋" w:hAnsi="仿宋" w:cs="仿宋"/>
          <w:color w:val="auto"/>
        </w:rPr>
        <w:t>坚定文化自信，坚持以社会主义核心价值观为引领，围绕举旗帜、聚民心、育新人、兴文化、展形象的使命任务，以文化事业带动文化产业不断发展壮大，促进满足人民文化需求和增强人民精神力量相统一。</w:t>
      </w:r>
    </w:p>
    <w:p w14:paraId="2CAEF11F">
      <w:pPr>
        <w:pStyle w:val="4"/>
        <w:spacing w:before="654" w:after="654"/>
        <w:rPr>
          <w:color w:val="auto"/>
        </w:rPr>
      </w:pPr>
      <w:bookmarkStart w:id="879" w:name="_Toc26245"/>
      <w:bookmarkStart w:id="880" w:name="_Toc17944"/>
      <w:bookmarkStart w:id="881" w:name="_Toc20162"/>
      <w:bookmarkStart w:id="882" w:name="_Toc17975"/>
      <w:bookmarkStart w:id="883" w:name="_Toc423"/>
      <w:bookmarkStart w:id="884" w:name="_Toc8563"/>
      <w:bookmarkStart w:id="885" w:name="_Toc31352"/>
      <w:bookmarkStart w:id="886" w:name="_Toc29511"/>
      <w:bookmarkStart w:id="887" w:name="_Toc16265"/>
      <w:bookmarkStart w:id="888" w:name="_Toc23109"/>
      <w:bookmarkStart w:id="889" w:name="_Toc1742"/>
      <w:bookmarkStart w:id="890" w:name="_Toc27578"/>
      <w:bookmarkStart w:id="891" w:name="_Toc668"/>
      <w:bookmarkStart w:id="892" w:name="_Toc18155"/>
      <w:bookmarkStart w:id="893" w:name="_Toc30159"/>
      <w:bookmarkStart w:id="894" w:name="_Toc6153"/>
      <w:r>
        <w:rPr>
          <w:rFonts w:hint="eastAsia"/>
          <w:color w:val="auto"/>
        </w:rPr>
        <w:t>全面提高社会文明程度</w:t>
      </w:r>
      <w:bookmarkEnd w:id="862"/>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14:paraId="2A587A02">
      <w:pPr>
        <w:rPr>
          <w:rFonts w:ascii="仿宋" w:hAnsi="仿宋" w:cs="仿宋"/>
          <w:color w:val="auto"/>
        </w:rPr>
      </w:pPr>
      <w:r>
        <w:rPr>
          <w:rFonts w:hint="eastAsia" w:ascii="仿宋" w:hAnsi="仿宋" w:cs="仿宋"/>
          <w:color w:val="auto"/>
        </w:rPr>
        <w:t>坚持宣传教育、示范引导，大力培育和践行社会主义核心价值观，弘扬优秀传统文化和时代精神，提高公民思想道德文化素养。</w:t>
      </w:r>
    </w:p>
    <w:p w14:paraId="003B6281">
      <w:pPr>
        <w:ind w:firstLine="643"/>
        <w:rPr>
          <w:rFonts w:ascii="仿宋" w:hAnsi="仿宋" w:cs="仿宋"/>
          <w:color w:val="auto"/>
        </w:rPr>
      </w:pPr>
      <w:bookmarkStart w:id="895" w:name="_Toc14153"/>
      <w:bookmarkStart w:id="896" w:name="_Toc3291"/>
      <w:r>
        <w:rPr>
          <w:rFonts w:hint="eastAsia" w:ascii="仿宋" w:hAnsi="仿宋" w:cs="仿宋"/>
          <w:b/>
          <w:bCs/>
          <w:color w:val="auto"/>
        </w:rPr>
        <w:t>巩固拓展文明建设成果</w:t>
      </w:r>
      <w:bookmarkEnd w:id="895"/>
      <w:bookmarkEnd w:id="896"/>
      <w:r>
        <w:rPr>
          <w:rFonts w:hint="eastAsia" w:ascii="仿宋" w:hAnsi="仿宋" w:cs="仿宋"/>
          <w:color w:val="auto"/>
        </w:rPr>
        <w:t>。深入开展习近平新时代中国特色社会主义思想学习教育，推动理想信念教育常态化制度化。积极培育和践行社会主义核心价值观，加强爱国主义、集体主义、社会主义教育，弘扬党和人民在各个历史时期奋斗中形成的伟大精神，推进公民道德建设。巩固拓展全国文明城市成果，持续提高社会文明程度，确保2023年成功通过复审，蝉联全国文明城市荣誉称号。高标准推进新时代文明实践中心建设，整合现有基层公共服务阵地资源，推动基层文明实践活动提档升级，构建覆盖县镇村三级的新时代文明实践体系。按照社会主义核心价值观的基本要求，健全各行各业规章制度，完善市民公约、乡规民约、行业准则等行为规范</w:t>
      </w:r>
      <w:r>
        <w:rPr>
          <w:rFonts w:hint="eastAsia" w:ascii="仿宋" w:hAnsi="仿宋" w:cs="仿宋"/>
          <w:color w:val="auto"/>
          <w:sz w:val="28"/>
          <w:szCs w:val="28"/>
        </w:rPr>
        <w:t>。</w:t>
      </w:r>
      <w:r>
        <w:rPr>
          <w:rFonts w:hint="eastAsia" w:ascii="仿宋" w:hAnsi="仿宋" w:cs="仿宋"/>
          <w:color w:val="auto"/>
        </w:rPr>
        <w:t>完善志愿服务体系，推动志愿者行动指导中心建成，广泛开展志愿服务关爱行动，打响仁化志愿服务活动品牌。</w:t>
      </w:r>
    </w:p>
    <w:p w14:paraId="5EEC3B43">
      <w:pPr>
        <w:ind w:firstLine="643"/>
        <w:rPr>
          <w:rFonts w:ascii="仿宋" w:hAnsi="仿宋" w:cs="仿宋"/>
          <w:color w:val="auto"/>
        </w:rPr>
      </w:pPr>
      <w:bookmarkStart w:id="897" w:name="_Toc10421"/>
      <w:bookmarkStart w:id="898" w:name="_Toc25892"/>
      <w:r>
        <w:rPr>
          <w:rFonts w:hint="eastAsia" w:ascii="仿宋" w:hAnsi="仿宋" w:cs="仿宋"/>
          <w:b/>
          <w:color w:val="auto"/>
        </w:rPr>
        <w:t>全面提升公民思想道德文化素养</w:t>
      </w:r>
      <w:bookmarkEnd w:id="897"/>
      <w:bookmarkEnd w:id="898"/>
      <w:r>
        <w:rPr>
          <w:rFonts w:hint="eastAsia" w:ascii="仿宋" w:hAnsi="仿宋" w:cs="仿宋"/>
          <w:b/>
          <w:color w:val="auto"/>
        </w:rPr>
        <w:t>。</w:t>
      </w:r>
      <w:r>
        <w:rPr>
          <w:rFonts w:hint="eastAsia" w:ascii="仿宋" w:hAnsi="仿宋" w:cs="仿宋"/>
          <w:color w:val="auto"/>
        </w:rPr>
        <w:t>广泛开展思想道德建设活动，提升公民的人文精神素养、思想道德素质、科学法律素质、文化体育素质、文明礼仪素质。以环境优美、秩序优良、服务优质、言行优雅为重点，倡导公共文明行为规范，持续提升公民文明素质和城市文明程度。加强网络文明建设，倡导正确的网络观、荣辱观，规范网上行为，提高群众网络道德素养。加强和改进未成年人思想道德建设，引导未成年人增强爱国情感、确立远大志向、树立和培育正确的理想信念、规范行为习惯、提高基本素质。实施人文素养提升行动，深化全民阅读。实施诚信建设行动，弘扬诚信文化，推动形成适应新时代要求的思想观念、精神面貌、文明风尚、行为规范。加强“仁爱仁化”文化品牌建设，深入挖掘并活化利用红色文化。实施诚信建设行动，弘扬诚信文化，加强家庭、家教、家风建设，推动形成适应新时代要求的思想观念、精神面貌、文明风尚、行为规范。</w:t>
      </w:r>
    </w:p>
    <w:p w14:paraId="0B8CB49E">
      <w:pPr>
        <w:pStyle w:val="4"/>
        <w:spacing w:before="654" w:after="654"/>
        <w:rPr>
          <w:color w:val="auto"/>
        </w:rPr>
      </w:pPr>
      <w:bookmarkStart w:id="899" w:name="_Toc28156"/>
      <w:bookmarkStart w:id="900" w:name="_Toc2223"/>
      <w:bookmarkStart w:id="901" w:name="_Toc897"/>
      <w:bookmarkStart w:id="902" w:name="_Toc23259"/>
      <w:bookmarkStart w:id="903" w:name="_Toc14054"/>
      <w:bookmarkStart w:id="904" w:name="_Toc1810"/>
      <w:bookmarkStart w:id="905" w:name="_Toc8"/>
      <w:bookmarkStart w:id="906" w:name="_Toc13928"/>
      <w:bookmarkStart w:id="907" w:name="_Toc13756"/>
      <w:bookmarkStart w:id="908" w:name="_Toc16400"/>
      <w:bookmarkStart w:id="909" w:name="_Toc16106"/>
      <w:bookmarkStart w:id="910" w:name="_Toc30291"/>
      <w:bookmarkStart w:id="911" w:name="_Toc5183"/>
      <w:bookmarkStart w:id="912" w:name="_Toc20381"/>
      <w:bookmarkStart w:id="913" w:name="_Toc30737"/>
      <w:bookmarkStart w:id="914" w:name="_Toc4250"/>
      <w:bookmarkStart w:id="915" w:name="_Toc1874"/>
      <w:r>
        <w:rPr>
          <w:rFonts w:hint="eastAsia"/>
          <w:color w:val="auto"/>
        </w:rPr>
        <w:t>提升公共文化体育服务水平</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790D158E">
      <w:pPr>
        <w:rPr>
          <w:rFonts w:ascii="仿宋" w:hAnsi="仿宋" w:cs="仿宋"/>
          <w:color w:val="auto"/>
        </w:rPr>
      </w:pPr>
      <w:r>
        <w:rPr>
          <w:rFonts w:hint="eastAsia" w:ascii="仿宋" w:hAnsi="仿宋" w:cs="仿宋"/>
          <w:color w:val="auto"/>
        </w:rPr>
        <w:t>完善公共文化体育设施，加强非遗文化保护和传承，构建与仁化经济社会发展水平、人口状况、民众需求相匹配的现代公共文化服务体系，大力推进文化强县和体育强县建设。</w:t>
      </w:r>
    </w:p>
    <w:p w14:paraId="6C0F8786">
      <w:pPr>
        <w:ind w:firstLine="643"/>
        <w:rPr>
          <w:rFonts w:ascii="仿宋" w:hAnsi="仿宋" w:cs="仿宋"/>
          <w:color w:val="auto"/>
        </w:rPr>
      </w:pPr>
      <w:bookmarkStart w:id="916" w:name="_Toc14004"/>
      <w:bookmarkStart w:id="917" w:name="_Toc7556"/>
      <w:r>
        <w:rPr>
          <w:rFonts w:hint="eastAsia" w:ascii="仿宋" w:hAnsi="仿宋" w:cs="仿宋"/>
          <w:b/>
          <w:bCs/>
          <w:color w:val="auto"/>
        </w:rPr>
        <w:t>完善公共文化设施建设</w:t>
      </w:r>
      <w:bookmarkEnd w:id="916"/>
      <w:bookmarkEnd w:id="917"/>
      <w:r>
        <w:rPr>
          <w:rFonts w:hint="eastAsia" w:ascii="仿宋" w:hAnsi="仿宋" w:cs="仿宋"/>
          <w:color w:val="auto"/>
        </w:rPr>
        <w:t>。完善城乡文化设施，推动城乡文化设施达标提升，推进数字平台建设。完善城乡文化设施，推动城乡文化设施达标提升，推进数字平台建设。深入推进文化惠民工程，加强文化阵地建设，加快形成覆盖城乡、惠及全民的公共文化服务设施网络体系，推进公共文化服务标准化、均等化。深入挖掘并活化利用好优秀历史文化资源，建立健全历史文化保护传承体系，加强老区红色历史和革命文化研究，推进红色文化遗产保护利用，规划建设县党史方志馆、新文化馆、独立的影剧院、国家三级以上的博物馆，配合省市建成长征国家文化公园，擦亮仁化公共文化服务和活动品牌。加大文化普惠力度，引导文化资源向农村基层倾斜，持续加强村综合性文化服务中心建设，不断健全县、镇、村三级公共文化设施网络。推进乡镇志名村志修编。加强文化产品、惠民服务与群众文化需求对接，切实提升广大群众满意度。</w:t>
      </w:r>
    </w:p>
    <w:p w14:paraId="40312626">
      <w:pPr>
        <w:ind w:firstLine="643"/>
        <w:rPr>
          <w:rFonts w:ascii="仿宋" w:hAnsi="仿宋" w:cs="仿宋"/>
          <w:color w:val="auto"/>
        </w:rPr>
      </w:pPr>
      <w:bookmarkStart w:id="918" w:name="_Toc22210"/>
      <w:bookmarkStart w:id="919" w:name="_Toc4668"/>
      <w:r>
        <w:rPr>
          <w:rFonts w:hint="eastAsia" w:ascii="仿宋" w:hAnsi="仿宋" w:cs="仿宋"/>
          <w:b/>
          <w:bCs/>
          <w:color w:val="auto"/>
        </w:rPr>
        <w:t>加强非遗文化保护和传承</w:t>
      </w:r>
      <w:bookmarkEnd w:id="918"/>
      <w:bookmarkEnd w:id="919"/>
      <w:r>
        <w:rPr>
          <w:rFonts w:hint="eastAsia" w:ascii="仿宋" w:hAnsi="仿宋" w:cs="仿宋"/>
          <w:b/>
          <w:bCs/>
          <w:color w:val="auto"/>
        </w:rPr>
        <w:t>。</w:t>
      </w:r>
      <w:r>
        <w:rPr>
          <w:rFonts w:hint="eastAsia" w:ascii="仿宋" w:hAnsi="仿宋" w:cs="仿宋"/>
          <w:color w:val="auto"/>
        </w:rPr>
        <w:t>健全非物质文化遗产保护工作机构，加强对非物质文化遗产项目代表性传承人的保护和扶持。加大对仁化县民间绝技、绝艺、绝活的抢救保护力度。促进非物质文化遗产的整体性保护。抢救珍贵古籍文献，支持开展古籍保护和数字化建设。广泛开展宣传展示活动，鼓励社会力量参与非物质文化遗产保护。加强对古山寨、古村落、古驿道、石刻等文化遗产保护利用，力争将丹霞山古山寨、古驿道列入省级文物保护单位。</w:t>
      </w:r>
    </w:p>
    <w:p w14:paraId="790E2FE7">
      <w:pPr>
        <w:ind w:firstLine="643"/>
        <w:rPr>
          <w:rFonts w:ascii="仿宋" w:hAnsi="仿宋" w:cs="仿宋"/>
          <w:color w:val="auto"/>
        </w:rPr>
      </w:pPr>
      <w:bookmarkStart w:id="920" w:name="_Toc16843"/>
      <w:bookmarkStart w:id="921" w:name="_Toc78"/>
      <w:r>
        <w:rPr>
          <w:rFonts w:hint="eastAsia" w:ascii="仿宋" w:hAnsi="仿宋" w:cs="仿宋"/>
          <w:b/>
          <w:bCs/>
          <w:color w:val="auto"/>
        </w:rPr>
        <w:t>推进体育项目建设</w:t>
      </w:r>
      <w:bookmarkEnd w:id="920"/>
      <w:bookmarkEnd w:id="921"/>
      <w:r>
        <w:rPr>
          <w:rFonts w:hint="eastAsia" w:ascii="仿宋" w:hAnsi="仿宋" w:cs="仿宋"/>
          <w:b/>
          <w:bCs/>
          <w:color w:val="auto"/>
        </w:rPr>
        <w:t>。</w:t>
      </w:r>
      <w:r>
        <w:rPr>
          <w:rFonts w:hint="eastAsia" w:ascii="仿宋" w:hAnsi="仿宋" w:cs="仿宋"/>
          <w:color w:val="auto"/>
        </w:rPr>
        <w:t>不断完善公共体育服务体系，推进体育与健身公共设施及场地建设，规划建设仁化县全民健身中心，打造村级体育路径，参照健身模范县标准，开展有创新特点、地方特色、可复制、易推广的项目建设。推动综合性公园、公立学校体育设施各类公共体育设施免费或低收费开放，建成城市社区15分钟健身圈，实现乡镇、行政村公共体育设施全覆盖。鼓励康复体育产业发展，培育更新型的体育业态、更繁荣的体育市场，推动体育和医疗深度融合。共同实施国民体质监测、共同培养能开运动处方的医生、共同服务群众的健身、共同发展健身康复产业，推动体育、养老、医疗等产业深度融合，齐心协力抓好体医融合各项工作落实，推动实施全民健身国家战略，增强人民群众身体素质，建设健康仁化。</w:t>
      </w:r>
    </w:p>
    <w:p w14:paraId="555AFAB3">
      <w:pPr>
        <w:pStyle w:val="4"/>
        <w:spacing w:before="654" w:after="654"/>
        <w:rPr>
          <w:color w:val="auto"/>
        </w:rPr>
      </w:pPr>
      <w:bookmarkStart w:id="922" w:name="_Toc30658"/>
      <w:bookmarkStart w:id="923" w:name="_Toc23841"/>
      <w:bookmarkStart w:id="924" w:name="_Toc16510"/>
      <w:bookmarkStart w:id="925" w:name="_Toc14525"/>
      <w:bookmarkStart w:id="926" w:name="_Toc22183"/>
      <w:bookmarkStart w:id="927" w:name="_Toc28073"/>
      <w:bookmarkStart w:id="928" w:name="_Toc15470"/>
      <w:bookmarkStart w:id="929" w:name="_Toc5876"/>
      <w:bookmarkStart w:id="930" w:name="_Toc12873"/>
      <w:bookmarkStart w:id="931" w:name="_Toc19114"/>
      <w:bookmarkStart w:id="932" w:name="_Toc27431"/>
      <w:bookmarkStart w:id="933" w:name="_Toc3705"/>
      <w:bookmarkStart w:id="934" w:name="_Toc671"/>
      <w:bookmarkStart w:id="935" w:name="_Toc30860"/>
      <w:bookmarkStart w:id="936" w:name="_Toc14772"/>
      <w:bookmarkStart w:id="937" w:name="_Toc4822"/>
      <w:bookmarkStart w:id="938" w:name="_Toc2423"/>
      <w:r>
        <w:rPr>
          <w:rFonts w:hint="eastAsia"/>
          <w:color w:val="auto"/>
        </w:rPr>
        <w:t>大力发展文化体育产业</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19683CC6">
      <w:pPr>
        <w:rPr>
          <w:rFonts w:ascii="仿宋" w:hAnsi="仿宋" w:cs="仿宋"/>
          <w:color w:val="auto"/>
        </w:rPr>
      </w:pPr>
      <w:r>
        <w:rPr>
          <w:rFonts w:hint="eastAsia" w:ascii="仿宋" w:hAnsi="仿宋" w:cs="仿宋"/>
          <w:color w:val="auto"/>
        </w:rPr>
        <w:t>坚持保护为主、抢救第一、合理利用、传承发展，做好文庙旧址、红军长征纪念馆等文化名胜和非物质遗产的整理、保护和开发工作，持续开展“非遗进校园”活动。依托城口等地密集的红色文化遗迹遗址，打造一批具有地方特色的文化街区、特色小镇。强化革命历史情景设计，着力营造红色文化氛围，努力提升红色文化感召力和感染力。</w:t>
      </w:r>
    </w:p>
    <w:p w14:paraId="3E87930A">
      <w:pPr>
        <w:ind w:firstLine="643"/>
        <w:rPr>
          <w:rFonts w:ascii="仿宋" w:hAnsi="仿宋" w:cs="仿宋"/>
          <w:color w:val="auto"/>
        </w:rPr>
      </w:pPr>
      <w:bookmarkStart w:id="939" w:name="_Toc27954"/>
      <w:bookmarkStart w:id="940" w:name="_Toc25572"/>
      <w:r>
        <w:rPr>
          <w:rFonts w:hint="eastAsia" w:ascii="仿宋" w:hAnsi="仿宋" w:cs="仿宋"/>
          <w:b/>
          <w:bCs/>
          <w:color w:val="auto"/>
        </w:rPr>
        <w:t>聚力发展现代文化产业</w:t>
      </w:r>
      <w:bookmarkEnd w:id="939"/>
      <w:bookmarkEnd w:id="940"/>
      <w:r>
        <w:rPr>
          <w:rFonts w:hint="eastAsia" w:ascii="仿宋" w:hAnsi="仿宋" w:cs="仿宋"/>
          <w:color w:val="auto"/>
        </w:rPr>
        <w:t>。全力支持文化产业聚集发展，做大做强文化市场主体，培育扶持一批龙头骨干文化企业，着力构建现代化文化产业发展体系。扩大优质文化产品供给，大力发展“文化+”产业，促进文化与旅游、体育、农业等产业深度融合发展。培育壮大文化创意产业，积极发展新型文化企业、文化业态、文化消费模式，激发文化产业发展新动能。围绕红色文化旅游经济带建设，高水平推进红色资源的保护和开发利用。依托城口镇、石塘镇和董塘镇红色资源以及“历史文化小镇”建设，积极引进社会资本，规划打造微长征研学旅游区、红色培训基地、一山红文化世界等红色文化精品项目。以红色文化旅游经济带建设为抓手，深入挖掘客家文化、丹霞文化，大力发展文化旅游，推动文化资源优势转化为产业优势和经济优势。</w:t>
      </w:r>
    </w:p>
    <w:p w14:paraId="7F4FEAA9">
      <w:pPr>
        <w:ind w:firstLine="643"/>
        <w:rPr>
          <w:rFonts w:ascii="仿宋" w:hAnsi="仿宋" w:cs="仿宋"/>
          <w:color w:val="auto"/>
        </w:rPr>
      </w:pPr>
      <w:bookmarkStart w:id="941" w:name="_Toc14748"/>
      <w:bookmarkStart w:id="942" w:name="_Toc26225"/>
      <w:r>
        <w:rPr>
          <w:rFonts w:hint="eastAsia" w:ascii="仿宋" w:hAnsi="仿宋" w:cs="仿宋"/>
          <w:b/>
          <w:bCs/>
          <w:color w:val="auto"/>
        </w:rPr>
        <w:t>建设农耕、矿山文化体验区</w:t>
      </w:r>
      <w:bookmarkEnd w:id="941"/>
      <w:bookmarkEnd w:id="942"/>
      <w:r>
        <w:rPr>
          <w:rFonts w:hint="eastAsia" w:ascii="仿宋" w:hAnsi="仿宋" w:cs="仿宋"/>
          <w:color w:val="auto"/>
        </w:rPr>
        <w:t>。利用石塘古村、双峰寨、丹霞夏富古村等资源及文化底蕴，重点开发农耕文化、田园风光、乡村风情等农事生活体验和休闲生活相结合产业项目，打造文化体验区。以石塘古村、双峰寨、龙母庙为核心，以堆花米酒、月姐歌为支撑，打造石塘酒香文化区。以凡口国家矿山公园为核心，融入新兴科技展示、虚拟体验、创意产业、主题游憩等新型业态，增设矿产主题景观元素及主题化公共服务配套设施，打造矿山文化社区，实现矿山文化与旅游产业的有机融合。以丹霞山为核心，形成一个集阴阳文化、姻缘文化、体育文化、民俗文化、非遗文化等多元文化于一体的核心文化体验区。</w:t>
      </w:r>
    </w:p>
    <w:p w14:paraId="20DCB8E4">
      <w:pPr>
        <w:ind w:firstLine="643"/>
        <w:rPr>
          <w:rFonts w:ascii="仿宋" w:hAnsi="仿宋" w:cs="仿宋"/>
          <w:color w:val="auto"/>
        </w:rPr>
      </w:pPr>
      <w:bookmarkStart w:id="943" w:name="_Toc770"/>
      <w:bookmarkStart w:id="944" w:name="_Toc19928"/>
      <w:r>
        <w:rPr>
          <w:rFonts w:hint="eastAsia" w:ascii="仿宋" w:hAnsi="仿宋" w:cs="仿宋"/>
          <w:b/>
          <w:bCs/>
          <w:color w:val="auto"/>
        </w:rPr>
        <w:t>丰富体育赛事活动</w:t>
      </w:r>
      <w:bookmarkEnd w:id="943"/>
      <w:bookmarkEnd w:id="944"/>
      <w:r>
        <w:rPr>
          <w:rFonts w:hint="eastAsia" w:ascii="仿宋" w:hAnsi="仿宋" w:cs="仿宋"/>
          <w:b/>
          <w:bCs/>
          <w:color w:val="auto"/>
        </w:rPr>
        <w:t>。</w:t>
      </w:r>
      <w:r>
        <w:rPr>
          <w:rFonts w:hint="eastAsia" w:ascii="仿宋" w:hAnsi="仿宋" w:cs="仿宋"/>
          <w:color w:val="auto"/>
        </w:rPr>
        <w:t>大力支持体育、文化创意等服务产业发展，持续办好“重走长征路”、“南粤古驿道”定向大赛文化旅游节品牌赛事节庆活动，积极配合举办徒步穿越大丹霞大赛、丹霞山山地国际马拉松及环丹霞山自行车赛等秋冬户外赛事，谋划水上蹦床、漂流等春夏季户外活动赛事系列。打造具有国际影响力的户外运动系列品牌，把丹霞山系列户外运动赛事打造成广东省文化体育与旅游融合发展的典范。充分发挥全域旅游和丰富山地资源，延伸开发“南粤古驿道”定向大赛，探索利用农业园区、特色乡村等乡村体验旅游、红色旅游、素质拓展为主题的徒步定向、自行车定向、汽车定向等全域定向系列赛事活动，打造定向运动品牌。</w:t>
      </w:r>
    </w:p>
    <w:p w14:paraId="39808160">
      <w:pPr>
        <w:ind w:firstLine="643"/>
        <w:rPr>
          <w:rFonts w:ascii="仿宋" w:hAnsi="仿宋" w:cs="仿宋"/>
          <w:color w:val="auto"/>
        </w:rPr>
      </w:pPr>
      <w:bookmarkStart w:id="945" w:name="_Toc4585"/>
      <w:bookmarkStart w:id="946" w:name="_Toc29780"/>
      <w:r>
        <w:rPr>
          <w:rFonts w:hint="eastAsia" w:ascii="仿宋" w:hAnsi="仿宋" w:cs="仿宋"/>
          <w:b/>
          <w:bCs/>
          <w:color w:val="auto"/>
        </w:rPr>
        <w:t>深化文化体制改革</w:t>
      </w:r>
      <w:bookmarkEnd w:id="945"/>
      <w:bookmarkEnd w:id="946"/>
      <w:r>
        <w:rPr>
          <w:rFonts w:hint="eastAsia" w:ascii="仿宋" w:hAnsi="仿宋" w:cs="仿宋"/>
          <w:color w:val="auto"/>
        </w:rPr>
        <w:t>。推进文化管理体制机制创新，进一步理顺党政部门与文化企事业单位关系。推进媒体深度融合，加强县级融媒体中心建设，加快构建网上网下一体、内宣外宣联动的主流舆论格局。完善政府采购、服务外包、志愿者服务等公共文化服务方式，推动公共文化服务项目外包和设施委托管理。扶持非公有制文化企业发展，降低文化产业社会资本进入门槛。支持各种形式小微文化企业发展，激发全民创业热情和文化创造活力。</w:t>
      </w:r>
    </w:p>
    <w:p w14:paraId="3F6B7339">
      <w:pPr>
        <w:pStyle w:val="3"/>
        <w:numPr>
          <w:ilvl w:val="0"/>
          <w:numId w:val="3"/>
        </w:numPr>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bookmarkStart w:id="947" w:name="_Toc8575"/>
    </w:p>
    <w:p w14:paraId="524CBEF9">
      <w:pPr>
        <w:pStyle w:val="3"/>
        <w:spacing w:before="218" w:after="218"/>
        <w:rPr>
          <w:color w:val="auto"/>
        </w:rPr>
      </w:pPr>
      <w:bookmarkStart w:id="948" w:name="_Toc23607"/>
      <w:bookmarkStart w:id="949" w:name="_Toc13169"/>
      <w:bookmarkStart w:id="950" w:name="_Toc9087"/>
      <w:bookmarkStart w:id="951" w:name="_Toc12157"/>
      <w:bookmarkStart w:id="952" w:name="_Toc25985"/>
      <w:bookmarkStart w:id="953" w:name="_Toc32380"/>
      <w:bookmarkStart w:id="954" w:name="_Toc2469"/>
      <w:bookmarkStart w:id="955" w:name="_Toc12869"/>
      <w:bookmarkStart w:id="956" w:name="_Toc20397"/>
      <w:bookmarkStart w:id="957" w:name="_Toc31573"/>
      <w:bookmarkStart w:id="958" w:name="_Toc17806"/>
      <w:bookmarkStart w:id="959" w:name="_Toc24071"/>
      <w:bookmarkStart w:id="960" w:name="_Toc8989"/>
      <w:bookmarkStart w:id="961" w:name="_Toc393"/>
      <w:bookmarkStart w:id="962" w:name="_Toc12494"/>
      <w:bookmarkStart w:id="963" w:name="_Toc477"/>
      <w:r>
        <w:rPr>
          <w:rFonts w:hint="eastAsia"/>
          <w:color w:val="auto"/>
        </w:rPr>
        <w:t>着力保障和改善民生，提高人民生活品质</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1736B004">
      <w:pPr>
        <w:rPr>
          <w:rFonts w:ascii="仿宋" w:hAnsi="仿宋" w:cs="仿宋"/>
          <w:color w:val="auto"/>
        </w:rPr>
      </w:pPr>
      <w:r>
        <w:rPr>
          <w:rFonts w:hint="eastAsia" w:ascii="仿宋" w:hAnsi="仿宋" w:cs="仿宋"/>
          <w:color w:val="auto"/>
        </w:rPr>
        <w:t>坚持把实现好、维护好、发展好最广大人民根本利益作为发展的出发点和落脚点，尽力而为、量力而行，不断增进民生福祉，让人民群众的获得感成色更足、幸福感更可持续、安全感更有保障。</w:t>
      </w:r>
    </w:p>
    <w:p w14:paraId="4E7775AD">
      <w:pPr>
        <w:pStyle w:val="4"/>
        <w:spacing w:before="654" w:after="654"/>
        <w:rPr>
          <w:color w:val="auto"/>
        </w:rPr>
      </w:pPr>
      <w:bookmarkStart w:id="964" w:name="_Toc26276"/>
      <w:bookmarkStart w:id="965" w:name="_Toc11834"/>
      <w:bookmarkStart w:id="966" w:name="_Toc12665"/>
      <w:bookmarkStart w:id="967" w:name="_Toc21768"/>
      <w:bookmarkStart w:id="968" w:name="_Toc22473"/>
      <w:bookmarkStart w:id="969" w:name="_Toc26770"/>
      <w:bookmarkStart w:id="970" w:name="_Toc15493"/>
      <w:bookmarkStart w:id="971" w:name="_Toc16172"/>
      <w:bookmarkStart w:id="972" w:name="_Toc28109"/>
      <w:bookmarkStart w:id="973" w:name="_Toc4190"/>
      <w:bookmarkStart w:id="974" w:name="_Toc12769"/>
      <w:bookmarkStart w:id="975" w:name="_Toc1769"/>
      <w:bookmarkStart w:id="976" w:name="_Toc30139"/>
      <w:bookmarkStart w:id="977" w:name="_Toc20456"/>
      <w:bookmarkStart w:id="978" w:name="_Toc11690"/>
      <w:bookmarkStart w:id="979" w:name="_Toc27394"/>
      <w:bookmarkStart w:id="980" w:name="_Toc15543"/>
      <w:r>
        <w:rPr>
          <w:rFonts w:hint="eastAsia"/>
          <w:color w:val="auto"/>
        </w:rPr>
        <w:t>积极扩大就业和稳定就业</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65CD9454">
      <w:pPr>
        <w:rPr>
          <w:rFonts w:ascii="仿宋" w:hAnsi="仿宋" w:cs="仿宋"/>
          <w:color w:val="auto"/>
        </w:rPr>
      </w:pPr>
      <w:r>
        <w:rPr>
          <w:rFonts w:hint="eastAsia" w:ascii="仿宋" w:hAnsi="仿宋" w:cs="仿宋"/>
          <w:color w:val="auto"/>
        </w:rPr>
        <w:t>进一步完善就业创业扶持政策，多渠道促进高校毕业生、农民工、就业困难人员三大重点群体稳定就业，开展职业技能培训，提高劳动者就业能力和转换岗位能力。</w:t>
      </w:r>
    </w:p>
    <w:p w14:paraId="3266585E">
      <w:pPr>
        <w:ind w:firstLine="643"/>
        <w:rPr>
          <w:rFonts w:ascii="仿宋" w:hAnsi="仿宋" w:cs="仿宋"/>
          <w:color w:val="auto"/>
        </w:rPr>
      </w:pPr>
      <w:bookmarkStart w:id="981" w:name="_Toc1079"/>
      <w:bookmarkStart w:id="982" w:name="_Toc10476"/>
      <w:r>
        <w:rPr>
          <w:rFonts w:hint="eastAsia" w:ascii="仿宋" w:hAnsi="仿宋" w:cs="仿宋"/>
          <w:b/>
          <w:bCs/>
          <w:color w:val="auto"/>
        </w:rPr>
        <w:t>大力实施就业优先政策</w:t>
      </w:r>
      <w:bookmarkEnd w:id="981"/>
      <w:bookmarkEnd w:id="982"/>
      <w:r>
        <w:rPr>
          <w:rFonts w:hint="eastAsia" w:ascii="仿宋" w:hAnsi="仿宋" w:cs="仿宋"/>
          <w:color w:val="auto"/>
        </w:rPr>
        <w:t>。千方百计稳定和扩大就业，实施就业优先战略和积极就业政策，注重解决结构性就业矛盾，发挥企业吸纳就业主渠道和政府岗位引导作用，大力支持创业带动就业，实现更加充分更高质量就业，明确重要产业规划带动就业目标，优先投资就业带动能力强、有利于农村劳动力就地就近就业和高校毕业生就业的产业。积极开发公益性岗位，开发城乡社区等基层公共管理和社会服务岗位。优先支持贫困劳动力就业，加强对就业困难人员重点帮扶。拓宽高校毕业生就业渠道，大力帮扶退役士兵就业创业。注重引导，鼓励农特产品文创工作，推动招商，延长产业链，增加就业机会和岗位。支持企业、政府投资项目、科研项目设立见习岗位，扩大就业见习规模。强化困难人员就业援助，扩大公益性岗位安置，帮扶就业困难人员就业。加强县级、街道（乡镇）、社区（行政村）三级公共就业服务中心（站）建设，加快建设标准化人力资源市场、信息化人才档案管理中心，切实增强公共就业服务能力。做强创业园、孵化器等创业服务载体，支持建设一批农民返乡创业示范园、大学生和留学归国人员创业园。加大职业技能培训力度，落实“粤菜师傅”“广东技工”“南粤家政”培训工程和基地建设，提高劳动者就业能力和转换岗位能力。结合全域旅游发展，大力培育电商从业人员、服务员、导游、护林员等多功能一体的新农人，拓宽农村就业渠道。</w:t>
      </w:r>
    </w:p>
    <w:p w14:paraId="58FA1689">
      <w:pPr>
        <w:ind w:firstLine="643"/>
        <w:rPr>
          <w:rFonts w:ascii="仿宋" w:hAnsi="仿宋" w:cs="仿宋"/>
          <w:color w:val="auto"/>
        </w:rPr>
      </w:pPr>
      <w:bookmarkStart w:id="983" w:name="_Toc16999"/>
      <w:bookmarkStart w:id="984" w:name="_Toc26632"/>
      <w:r>
        <w:rPr>
          <w:rFonts w:hint="eastAsia" w:ascii="仿宋" w:hAnsi="仿宋" w:cs="仿宋"/>
          <w:b/>
          <w:bCs/>
          <w:color w:val="auto"/>
        </w:rPr>
        <w:t>健全人力资源市场体系</w:t>
      </w:r>
      <w:bookmarkEnd w:id="983"/>
      <w:bookmarkEnd w:id="984"/>
      <w:r>
        <w:rPr>
          <w:rFonts w:hint="eastAsia" w:ascii="仿宋" w:hAnsi="仿宋" w:cs="仿宋"/>
          <w:color w:val="auto"/>
        </w:rPr>
        <w:t>。加大人力资源服务行业“放管服”力度，进一步简政放权，强化宏观管理、公共服务、监督保障职能，进一步扩大人力资源市场开放，持续开展人力资源市场秩序整治专项行动。营造公平就业环境，依法纠正身份、性别等就业歧视现象，保障城乡劳动者享有平等就业权利。</w:t>
      </w:r>
    </w:p>
    <w:p w14:paraId="10403203">
      <w:pPr>
        <w:pStyle w:val="4"/>
        <w:spacing w:before="654" w:after="654"/>
        <w:rPr>
          <w:color w:val="auto"/>
        </w:rPr>
      </w:pPr>
      <w:bookmarkStart w:id="985" w:name="_Toc14804"/>
      <w:bookmarkStart w:id="986" w:name="_Toc19690"/>
      <w:bookmarkStart w:id="987" w:name="_Toc22380"/>
      <w:bookmarkStart w:id="988" w:name="_Toc17219"/>
      <w:bookmarkStart w:id="989" w:name="_Toc1435"/>
      <w:bookmarkStart w:id="990" w:name="_Toc1173"/>
      <w:bookmarkStart w:id="991" w:name="_Toc20147"/>
      <w:bookmarkStart w:id="992" w:name="_Toc28326"/>
      <w:bookmarkStart w:id="993" w:name="_Toc6709"/>
      <w:bookmarkStart w:id="994" w:name="_Toc16634"/>
      <w:bookmarkStart w:id="995" w:name="_Toc12778"/>
      <w:bookmarkStart w:id="996" w:name="_Toc11906"/>
      <w:bookmarkStart w:id="997" w:name="_Toc862"/>
      <w:bookmarkStart w:id="998" w:name="_Toc17745"/>
      <w:bookmarkStart w:id="999" w:name="_Toc13051"/>
      <w:bookmarkStart w:id="1000" w:name="_Toc9389"/>
      <w:r>
        <w:rPr>
          <w:rFonts w:hint="eastAsia"/>
          <w:color w:val="auto"/>
        </w:rPr>
        <w:t>推进教育优质均衡发展</w:t>
      </w:r>
      <w:bookmarkEnd w:id="980"/>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14:paraId="08D7AD0B">
      <w:pPr>
        <w:rPr>
          <w:rFonts w:ascii="仿宋" w:hAnsi="仿宋" w:cs="仿宋"/>
          <w:color w:val="auto"/>
        </w:rPr>
      </w:pPr>
      <w:r>
        <w:rPr>
          <w:rFonts w:hint="eastAsia" w:ascii="仿宋" w:hAnsi="仿宋" w:cs="仿宋"/>
          <w:color w:val="auto"/>
        </w:rPr>
        <w:t>坚持教育优先发展战略和教育公益性原则，全面优化教育资源布局，努力推动教育公平和质量提升。</w:t>
      </w:r>
    </w:p>
    <w:p w14:paraId="63237EC1">
      <w:pPr>
        <w:ind w:firstLine="643"/>
        <w:rPr>
          <w:rFonts w:ascii="仿宋" w:hAnsi="仿宋" w:cs="仿宋"/>
          <w:color w:val="auto"/>
        </w:rPr>
      </w:pPr>
      <w:bookmarkStart w:id="1001" w:name="_Toc5582"/>
      <w:bookmarkStart w:id="1002" w:name="_Toc4440"/>
      <w:r>
        <w:rPr>
          <w:rFonts w:hint="eastAsia" w:ascii="仿宋" w:hAnsi="仿宋" w:cs="仿宋"/>
          <w:b/>
          <w:bCs/>
          <w:color w:val="auto"/>
        </w:rPr>
        <w:t>推进基础教育高质量发展</w:t>
      </w:r>
      <w:bookmarkEnd w:id="1001"/>
      <w:bookmarkEnd w:id="1002"/>
      <w:r>
        <w:rPr>
          <w:rFonts w:hint="eastAsia" w:ascii="仿宋" w:hAnsi="仿宋" w:cs="仿宋"/>
          <w:b/>
          <w:bCs/>
          <w:color w:val="auto"/>
        </w:rPr>
        <w:t>。</w:t>
      </w:r>
      <w:r>
        <w:rPr>
          <w:rFonts w:hint="eastAsia" w:ascii="仿宋" w:hAnsi="仿宋" w:cs="仿宋"/>
          <w:color w:val="auto"/>
        </w:rPr>
        <w:t>坚持教育优先发展战略，全面优化教育资源布局，努力推动教育公平和质量提升。加强城乡幼儿园建设，不断提高学前教育质量。实施学前教育“5080”攻坚工程。大力发展公办园，积极扶持普惠性民办园，强化学前教育规划建设，积极稳妥推进城镇小区配套幼儿园专项治理工作，落实小区配套幼儿园同步建设。突出规范化公办乡镇中心幼儿园引领作用，加快推进村级规范性幼儿园建设。到2025年，学前三年毛入园率、公办园及普惠性幼儿园在园幼儿占比进一步巩固和提高。实施学前教育科学保教示范工程，申报培育1-2个省级幼儿园科学保教示范项目，优化幼儿教师培养课程体系，提高教师专业水平和保教能力。完善幼儿园质量评估标准，健全学前教育分级分类评估体系。</w:t>
      </w:r>
    </w:p>
    <w:p w14:paraId="15EB1127">
      <w:pPr>
        <w:rPr>
          <w:rFonts w:ascii="仿宋" w:hAnsi="仿宋" w:cs="仿宋"/>
          <w:color w:val="auto"/>
        </w:rPr>
      </w:pPr>
      <w:r>
        <w:rPr>
          <w:rFonts w:hint="eastAsia" w:ascii="仿宋" w:hAnsi="仿宋" w:cs="仿宋"/>
          <w:color w:val="auto"/>
        </w:rPr>
        <w:t>科学规划中小学整体布局，促进城乡义务教育优质均衡发展，成功创建全国义务教育优质均衡发展县，推进水南片区教学资源优化。加强农村教学点和寄宿制学校建设。推进新一轮中小学办学条件标准化、现代化建设，全面改善薄弱学校办学条件，努力扩大优质教育覆盖面，推进义务教育优质均衡发展。优化普通高中教育资源配置，全面改善办学教学条件，推进仁化中学恢复初中办学，建制完全中学。促进普通高中优质、多样化、差异化发展，争取在办学体制、培养模式、学校特色等方面取得新突破，2025年前，申报建成2所人文、数理、科技、艺术、体育等特色示范高中。推进义务教育学校校长、教师交流轮岗，实施乡村教师素质提升计划，加快解决农村地区中小学部分学科教师短缺问题。建议盘活丹霞学校的资源，探索实施集团办学。</w:t>
      </w:r>
    </w:p>
    <w:p w14:paraId="5F908E48">
      <w:pPr>
        <w:ind w:firstLine="643"/>
        <w:rPr>
          <w:rFonts w:ascii="仿宋" w:hAnsi="仿宋" w:cs="仿宋"/>
          <w:color w:val="auto"/>
          <w:szCs w:val="40"/>
        </w:rPr>
      </w:pPr>
      <w:bookmarkStart w:id="1003" w:name="_Toc24040"/>
      <w:bookmarkStart w:id="1004" w:name="_Toc6587"/>
      <w:r>
        <w:rPr>
          <w:rFonts w:hint="eastAsia" w:ascii="仿宋" w:hAnsi="仿宋" w:cs="仿宋"/>
          <w:b/>
          <w:bCs/>
          <w:color w:val="auto"/>
        </w:rPr>
        <w:t>加快发展职业教育</w:t>
      </w:r>
      <w:bookmarkEnd w:id="1003"/>
      <w:bookmarkEnd w:id="1004"/>
      <w:r>
        <w:rPr>
          <w:rFonts w:hint="eastAsia" w:ascii="仿宋" w:hAnsi="仿宋" w:cs="仿宋"/>
          <w:b/>
          <w:bCs/>
          <w:color w:val="auto"/>
        </w:rPr>
        <w:t>。</w:t>
      </w:r>
      <w:r>
        <w:rPr>
          <w:rFonts w:hint="eastAsia" w:ascii="仿宋" w:hAnsi="仿宋" w:cs="仿宋"/>
          <w:color w:val="auto"/>
        </w:rPr>
        <w:t>以仁化县中等职业学校为依托，结合本地产业实际，完善职业教育和培训体系，优化职业教育特色办学方向，深化产教融合，加强教育链、人才链与产业链的有效衔接。培养更多的“3+证书”考生，探索“企业办班”“企业冠名班”“教学工厂”“生产实训一体化车间”等多种形式的合作办学，提高职业院校毕业生留仁就业率</w:t>
      </w:r>
      <w:r>
        <w:rPr>
          <w:rFonts w:hint="eastAsia" w:ascii="仿宋" w:hAnsi="仿宋" w:cs="仿宋"/>
          <w:color w:val="auto"/>
          <w:sz w:val="28"/>
          <w:szCs w:val="28"/>
        </w:rPr>
        <w:t>。</w:t>
      </w:r>
      <w:r>
        <w:rPr>
          <w:rFonts w:hint="eastAsia" w:ascii="仿宋" w:hAnsi="仿宋" w:cs="仿宋"/>
          <w:color w:val="auto"/>
        </w:rPr>
        <w:t>办好地方特色专业品牌，落实“粤菜师傅”</w:t>
      </w:r>
      <w:r>
        <w:rPr>
          <w:rFonts w:hint="eastAsia" w:ascii="仿宋" w:hAnsi="仿宋" w:cs="仿宋"/>
          <w:color w:val="auto"/>
          <w:lang w:eastAsia="zh-CN"/>
        </w:rPr>
        <w:t>、</w:t>
      </w:r>
      <w:r>
        <w:rPr>
          <w:rFonts w:hint="eastAsia" w:ascii="仿宋" w:hAnsi="仿宋" w:cs="仿宋"/>
          <w:color w:val="auto"/>
        </w:rPr>
        <w:t>“广东技工”、“南粤家政”、“韶关保姆”培训工程，打造“丹霞月嫂”等品牌。</w:t>
      </w:r>
    </w:p>
    <w:p w14:paraId="0CFD180D">
      <w:pPr>
        <w:ind w:firstLine="643"/>
        <w:rPr>
          <w:rFonts w:ascii="仿宋" w:hAnsi="仿宋" w:cs="仿宋"/>
          <w:color w:val="auto"/>
        </w:rPr>
      </w:pPr>
      <w:bookmarkStart w:id="1005" w:name="_Toc25203"/>
      <w:bookmarkStart w:id="1006" w:name="_Toc6517"/>
      <w:r>
        <w:rPr>
          <w:rFonts w:hint="eastAsia" w:ascii="仿宋" w:hAnsi="仿宋" w:cs="仿宋"/>
          <w:b/>
          <w:bCs/>
          <w:color w:val="auto"/>
        </w:rPr>
        <w:t>深化教育综合改革</w:t>
      </w:r>
      <w:bookmarkEnd w:id="1005"/>
      <w:bookmarkEnd w:id="1006"/>
      <w:r>
        <w:rPr>
          <w:rFonts w:hint="eastAsia" w:ascii="仿宋" w:hAnsi="仿宋" w:cs="仿宋"/>
          <w:color w:val="auto"/>
        </w:rPr>
        <w:t>。深入实施教师教育振兴工程，提升教师教书育人能力素质。落实新时代立德树人工程，深化学校思想政治理论课建设，全面发展素质教育，促进学生德智体美劳全面发展。积极发展继续教育、特殊教育及专门教育，规范民办教育发展和校外培训机构。建议盘活丹霞学校等资源，探索学校联盟、名校办分校、教育集团等办学方式，吸引社会力量以多种方式参与办学。以教育云平台为依托、智慧学校建设为核心，推进基础教育信息化建设，增强教师队伍信息化应用能力。到2022年，建成3个省级智慧校园示范校，2025年培育一批省级信息化融合创新标杆项目。创新教育和学习方式，加快建设服务全民终身学习的现代教育体系。推进教师职称制度和中小学校长职级制改革，拓展校长职业发展空间。</w:t>
      </w:r>
    </w:p>
    <w:p w14:paraId="0B6D49F4">
      <w:pPr>
        <w:pStyle w:val="4"/>
        <w:spacing w:before="654" w:after="654"/>
        <w:rPr>
          <w:color w:val="auto"/>
        </w:rPr>
      </w:pPr>
      <w:bookmarkStart w:id="1007" w:name="_Toc29747"/>
      <w:bookmarkStart w:id="1008" w:name="_Toc4717"/>
      <w:bookmarkStart w:id="1009" w:name="_Toc5499"/>
      <w:bookmarkStart w:id="1010" w:name="_Toc11452"/>
      <w:bookmarkStart w:id="1011" w:name="_Toc25013"/>
      <w:bookmarkStart w:id="1012" w:name="_Toc29555"/>
      <w:bookmarkStart w:id="1013" w:name="_Toc31658"/>
      <w:bookmarkStart w:id="1014" w:name="_Toc12777"/>
      <w:bookmarkStart w:id="1015" w:name="_Toc9838"/>
      <w:bookmarkStart w:id="1016" w:name="_Toc11563"/>
      <w:bookmarkStart w:id="1017" w:name="_Toc17192"/>
      <w:bookmarkStart w:id="1018" w:name="_Toc32152"/>
      <w:bookmarkStart w:id="1019" w:name="_Toc9683"/>
      <w:bookmarkStart w:id="1020" w:name="_Toc1411"/>
      <w:bookmarkStart w:id="1021" w:name="_Toc30631"/>
      <w:bookmarkStart w:id="1022" w:name="_Toc3805"/>
      <w:r>
        <w:rPr>
          <w:rFonts w:hint="eastAsia"/>
          <w:color w:val="auto"/>
        </w:rPr>
        <w:t>全面推进卫生健康现代化</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14:paraId="4FDA8B84">
      <w:pPr>
        <w:spacing w:before="156" w:after="156"/>
        <w:rPr>
          <w:rFonts w:ascii="仿宋" w:hAnsi="仿宋" w:cs="仿宋"/>
          <w:color w:val="auto"/>
        </w:rPr>
      </w:pPr>
      <w:bookmarkStart w:id="1023" w:name="_Toc15039"/>
      <w:bookmarkStart w:id="1024" w:name="_Toc7654"/>
      <w:r>
        <w:rPr>
          <w:rFonts w:hint="eastAsia" w:ascii="仿宋" w:hAnsi="仿宋" w:cs="仿宋"/>
          <w:color w:val="auto"/>
        </w:rPr>
        <w:t>加强公共卫生服务，推动优质医疗资源下沉，全面提升医疗卫生服务质量和水平。把保障人民健康放在优先发展的战略位置，提高全方位全周期健康服务水平。</w:t>
      </w:r>
    </w:p>
    <w:bookmarkEnd w:id="1023"/>
    <w:bookmarkEnd w:id="1024"/>
    <w:p w14:paraId="42AD745B">
      <w:pPr>
        <w:ind w:firstLine="643"/>
        <w:rPr>
          <w:rFonts w:ascii="仿宋" w:hAnsi="仿宋" w:cs="仿宋"/>
          <w:b/>
          <w:bCs/>
          <w:color w:val="auto"/>
        </w:rPr>
      </w:pPr>
      <w:r>
        <w:rPr>
          <w:rFonts w:hint="eastAsia" w:ascii="仿宋" w:hAnsi="仿宋" w:cs="仿宋"/>
          <w:b/>
          <w:bCs/>
          <w:color w:val="auto"/>
        </w:rPr>
        <w:t>全面提升医疗卫生服务质量和水平。</w:t>
      </w:r>
      <w:r>
        <w:rPr>
          <w:rFonts w:hint="eastAsia" w:ascii="仿宋" w:hAnsi="仿宋" w:cs="仿宋"/>
          <w:color w:val="auto"/>
        </w:rPr>
        <w:t>加强公共卫生服务，加快重大传染病救治体系、建设，健全疾病预防控制网络，提升重大疾病防控、预防接种、传染病防治、慢性病管理、优生优育、妇幼保健等服务能力。完善传染病疫情和突发公共卫生事件监测系统，加强公共卫生防疫基础设施建设，加快补齐乡镇卫生院公共卫生服务设施短板。进一步完善医疗卫生基础设施，稳步推进县人民医院、县妇幼保健院建设，优化医疗资源配置，建设紧密型县域医共体。推动优质医疗资源下沉，提升基层医疗服务水平。加强公立医院传染病救治能力建设，提升应急医疗救治储备能力。鼓励民营和社会办医，发展医养结合、中医、康复、精神等短缺专科医疗机构。</w:t>
      </w:r>
    </w:p>
    <w:p w14:paraId="692CA459">
      <w:pPr>
        <w:ind w:firstLine="643"/>
        <w:rPr>
          <w:rFonts w:ascii="仿宋" w:hAnsi="仿宋" w:cs="仿宋"/>
          <w:color w:val="auto"/>
        </w:rPr>
      </w:pPr>
      <w:r>
        <w:rPr>
          <w:rFonts w:hint="eastAsia" w:ascii="仿宋" w:hAnsi="仿宋" w:cs="仿宋"/>
          <w:b/>
          <w:bCs/>
          <w:color w:val="auto"/>
        </w:rPr>
        <w:t>深化医药卫生体制综合改革。</w:t>
      </w:r>
      <w:r>
        <w:rPr>
          <w:rFonts w:hint="eastAsia" w:ascii="仿宋" w:hAnsi="仿宋" w:cs="仿宋"/>
          <w:color w:val="auto"/>
        </w:rPr>
        <w:t>加强公共卫生体系建设。完善疾病预防控制体系。健全和完善全县疾病预防控制体系和统一高效的应急指挥体系。健全疾病预防控制机构与城乡社区联动工作机制，完善医防协同机制，加强疾病预防控制中心公共卫生风险评估和卫生应急队伍建设，强化监测预警、风险研判、决策管理、检验检测、流行病学调查等现场调查处置能力。加强公共卫生应急物资保障和能力建设。</w:t>
      </w:r>
    </w:p>
    <w:p w14:paraId="7D8004E0">
      <w:pPr>
        <w:rPr>
          <w:rFonts w:ascii="仿宋" w:hAnsi="仿宋" w:cs="仿宋"/>
          <w:color w:val="auto"/>
        </w:rPr>
      </w:pPr>
      <w:r>
        <w:rPr>
          <w:rFonts w:hint="eastAsia" w:ascii="仿宋" w:hAnsi="仿宋" w:cs="仿宋"/>
          <w:color w:val="auto"/>
        </w:rPr>
        <w:t>推进紧密型县域内医共体建设，完善分级诊疗制度，建立覆盖城乡的基本医疗服务体系。完善县域内医共体组织架构，逐步推进县域内医共体内部统一管理，到2025年末，建成目标明确、权责清晰、分工协作、服务优质、有效运行的县域医共体，逐步实现“六统一”，县域内住院率达70%，基层就诊率达65%。进一步提升县域和基层医疗卫生服务能力，提高医保基金使用效率。加快推进医共体信息化建设，全面优化整合区域医疗卫生资源，完善区域医疗共享信息平台，逐步实现县域医疗信息互联互通、资源共享和技术共享。</w:t>
      </w:r>
    </w:p>
    <w:p w14:paraId="2B8D5A96">
      <w:pPr>
        <w:rPr>
          <w:rFonts w:ascii="仿宋" w:hAnsi="仿宋" w:cs="仿宋"/>
          <w:color w:val="auto"/>
        </w:rPr>
      </w:pPr>
      <w:r>
        <w:rPr>
          <w:rFonts w:hint="eastAsia" w:ascii="仿宋" w:hAnsi="仿宋" w:cs="仿宋"/>
          <w:color w:val="auto"/>
        </w:rPr>
        <w:t>加强医疗卫生人才队伍建设，建立合理的人才流动机制，推动人才资源在全县范围内的统一配置，促进县级优质卫生资源下沉，优化卫生技术人才梯队，进一步健全人才激励保障等制度和机制，探索多种形式用人机制或政府购买服务形式。</w:t>
      </w:r>
    </w:p>
    <w:p w14:paraId="2435BB5E">
      <w:pPr>
        <w:rPr>
          <w:rFonts w:ascii="仿宋" w:hAnsi="仿宋" w:cs="仿宋"/>
          <w:color w:val="auto"/>
        </w:rPr>
      </w:pPr>
      <w:r>
        <w:rPr>
          <w:rFonts w:hint="eastAsia" w:ascii="仿宋" w:hAnsi="仿宋" w:cs="仿宋"/>
          <w:color w:val="auto"/>
        </w:rPr>
        <w:t>到2025年，每千人口医疗卫生机构床位数5.4张,每千人口执业（助理）医师数2.5人；每千人口注册护士数3.5人；每千人口公共卫生人员数1.0人；每万人口全科医生数4.5人。主要卫生资源指标达到全省平均水平。</w:t>
      </w:r>
    </w:p>
    <w:p w14:paraId="4C3B2418">
      <w:pPr>
        <w:ind w:firstLine="643"/>
        <w:rPr>
          <w:rFonts w:ascii="仿宋" w:hAnsi="仿宋" w:cs="仿宋"/>
          <w:color w:val="auto"/>
        </w:rPr>
      </w:pPr>
      <w:r>
        <w:rPr>
          <w:rFonts w:hint="eastAsia" w:ascii="仿宋" w:hAnsi="仿宋" w:cs="仿宋"/>
          <w:b/>
          <w:bCs/>
          <w:color w:val="auto"/>
        </w:rPr>
        <w:t>加快信息化服务体系建设。</w:t>
      </w:r>
      <w:r>
        <w:rPr>
          <w:rFonts w:hint="eastAsia" w:ascii="仿宋" w:hAnsi="仿宋" w:cs="仿宋"/>
          <w:color w:val="auto"/>
          <w:szCs w:val="32"/>
        </w:rPr>
        <w:t>按照省、市的统一部署，</w:t>
      </w:r>
      <w:r>
        <w:rPr>
          <w:rFonts w:hint="eastAsia" w:ascii="仿宋" w:hAnsi="仿宋" w:cs="仿宋"/>
          <w:color w:val="auto"/>
          <w:szCs w:val="24"/>
          <w:lang w:val="zh-CN"/>
        </w:rPr>
        <w:t>坚持“全民健康信息平台“一体建设、一体</w:t>
      </w:r>
      <w:r>
        <w:rPr>
          <w:rFonts w:hint="eastAsia" w:ascii="仿宋" w:hAnsi="仿宋" w:cs="仿宋"/>
          <w:color w:val="auto"/>
          <w:szCs w:val="32"/>
          <w:lang w:val="zh-CN"/>
        </w:rPr>
        <w:t>部署、共用系统、</w:t>
      </w:r>
      <w:r>
        <w:rPr>
          <w:rFonts w:hint="eastAsia" w:ascii="仿宋" w:hAnsi="仿宋" w:cs="仿宋"/>
          <w:color w:val="auto"/>
          <w:szCs w:val="32"/>
        </w:rPr>
        <w:t>市</w:t>
      </w:r>
      <w:r>
        <w:rPr>
          <w:rFonts w:hint="eastAsia" w:ascii="仿宋" w:hAnsi="仿宋" w:cs="仿宋"/>
          <w:color w:val="auto"/>
          <w:szCs w:val="32"/>
          <w:lang w:val="zh-CN"/>
        </w:rPr>
        <w:t>建统用、平台建设与数据采集同步进行”原则，统筹建设统一权威、互通共享的全民健康信息平台</w:t>
      </w:r>
      <w:r>
        <w:rPr>
          <w:rFonts w:hint="eastAsia" w:ascii="仿宋" w:hAnsi="仿宋" w:cs="仿宋"/>
          <w:color w:val="auto"/>
          <w:szCs w:val="32"/>
        </w:rPr>
        <w:t>，</w:t>
      </w:r>
      <w:r>
        <w:rPr>
          <w:rFonts w:hint="eastAsia" w:ascii="仿宋" w:hAnsi="仿宋" w:cs="仿宋"/>
          <w:color w:val="auto"/>
          <w:szCs w:val="32"/>
          <w:lang w:val="zh-CN"/>
        </w:rPr>
        <w:t>充分发挥全民健康信息平台在构建整合型健康医疗服务体系、推进健康医疗事业科学协调持续发展上的支撑作用。大力推进新一代信息技术与医疗服务融合发展，再造优化医疗服务流程，为人民群众提供更多便捷、高效、智能的“互联网+医疗健康”服务。建设贯通县、镇</w:t>
      </w:r>
      <w:r>
        <w:rPr>
          <w:rFonts w:hint="eastAsia" w:ascii="仿宋" w:hAnsi="仿宋" w:cs="仿宋"/>
          <w:color w:val="auto"/>
          <w:szCs w:val="32"/>
        </w:rPr>
        <w:t>两</w:t>
      </w:r>
      <w:r>
        <w:rPr>
          <w:rFonts w:hint="eastAsia" w:ascii="仿宋" w:hAnsi="仿宋" w:cs="仿宋"/>
          <w:color w:val="auto"/>
          <w:szCs w:val="32"/>
          <w:lang w:val="zh-CN"/>
        </w:rPr>
        <w:t>级医疗卫生机构的远程医疗服务体系，使优质医疗服务随手可及。</w:t>
      </w:r>
      <w:r>
        <w:rPr>
          <w:rFonts w:hint="eastAsia" w:ascii="仿宋" w:hAnsi="仿宋" w:cs="仿宋"/>
          <w:color w:val="auto"/>
          <w:szCs w:val="32"/>
        </w:rPr>
        <w:t>探索</w:t>
      </w:r>
      <w:r>
        <w:rPr>
          <w:rFonts w:hint="eastAsia" w:ascii="仿宋" w:hAnsi="仿宋" w:cs="仿宋"/>
          <w:color w:val="auto"/>
          <w:szCs w:val="32"/>
          <w:lang w:val="zh-CN"/>
        </w:rPr>
        <w:t>推进电子健康码与医保卡、金融卡聚合使用，全面开展预约诊疗、健康信息推送，实现无卡就医、一站式支付、信用支付，大幅减少看病就医中的信息不对等、排队等待、跑动，使医疗服务更加便捷舒适。开展家庭医生网上签约服务，为居民在线提供健康咨询、慢性病随访、延伸处方、健康管理、健康教育等服务。四是</w:t>
      </w:r>
      <w:r>
        <w:rPr>
          <w:rFonts w:hint="eastAsia" w:ascii="仿宋" w:hAnsi="仿宋" w:cs="仿宋"/>
          <w:color w:val="auto"/>
          <w:szCs w:val="32"/>
        </w:rPr>
        <w:t>推行医院信息互联互通标准化成熟度测评和电子病历评级，促进二级以上医院普遍开展以数据为核心的智慧医院建设，发展智慧服务、智慧临床、智慧管理。</w:t>
      </w:r>
    </w:p>
    <w:p w14:paraId="0F68E2BE">
      <w:pPr>
        <w:pStyle w:val="4"/>
        <w:spacing w:before="654" w:after="654"/>
        <w:rPr>
          <w:color w:val="auto"/>
        </w:rPr>
      </w:pPr>
      <w:bookmarkStart w:id="1025" w:name="_Toc3388"/>
      <w:bookmarkStart w:id="1026" w:name="_Toc18391"/>
      <w:bookmarkStart w:id="1027" w:name="_Toc14434"/>
      <w:bookmarkStart w:id="1028" w:name="_Toc13605"/>
      <w:bookmarkStart w:id="1029" w:name="_Toc6136"/>
      <w:bookmarkStart w:id="1030" w:name="_Toc10878"/>
      <w:bookmarkStart w:id="1031" w:name="_Toc10560"/>
      <w:bookmarkStart w:id="1032" w:name="_Toc24931"/>
      <w:bookmarkStart w:id="1033" w:name="_Toc27619"/>
      <w:bookmarkStart w:id="1034" w:name="_Toc8645"/>
      <w:bookmarkStart w:id="1035" w:name="_Toc8824"/>
      <w:bookmarkStart w:id="1036" w:name="_Toc29341"/>
      <w:bookmarkStart w:id="1037" w:name="_Toc23483"/>
      <w:bookmarkStart w:id="1038" w:name="_Toc9607"/>
      <w:bookmarkStart w:id="1039" w:name="_Toc23081"/>
      <w:bookmarkStart w:id="1040" w:name="_Toc7655"/>
      <w:bookmarkStart w:id="1041" w:name="_Toc29520"/>
      <w:r>
        <w:rPr>
          <w:rFonts w:hint="eastAsia"/>
          <w:color w:val="auto"/>
        </w:rPr>
        <w:t>切实提高社会保障水平</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14:paraId="31FB2077">
      <w:pPr>
        <w:rPr>
          <w:rFonts w:ascii="仿宋" w:hAnsi="仿宋" w:cs="仿宋"/>
          <w:color w:val="auto"/>
        </w:rPr>
      </w:pPr>
      <w:r>
        <w:rPr>
          <w:rFonts w:hint="eastAsia" w:ascii="仿宋" w:hAnsi="仿宋" w:cs="仿宋"/>
          <w:color w:val="auto"/>
        </w:rPr>
        <w:t>推进社会保险法定人员全覆盖，大力实施全民参保计划，加强社保扩面征缴。发展社会救助和社会福利。重点保障好困难地区和困难群众。不断健全养老服务体系。</w:t>
      </w:r>
    </w:p>
    <w:p w14:paraId="70A96ABA">
      <w:pPr>
        <w:ind w:firstLine="643"/>
        <w:rPr>
          <w:rFonts w:ascii="仿宋" w:hAnsi="仿宋" w:cs="仿宋"/>
          <w:color w:val="auto"/>
        </w:rPr>
      </w:pPr>
      <w:bookmarkStart w:id="1042" w:name="_Toc10483"/>
      <w:bookmarkStart w:id="1043" w:name="_Toc14513"/>
      <w:r>
        <w:rPr>
          <w:rFonts w:hint="eastAsia" w:ascii="仿宋" w:hAnsi="仿宋" w:cs="仿宋"/>
          <w:b/>
          <w:bCs/>
          <w:color w:val="auto"/>
        </w:rPr>
        <w:t>健全多层次社会保障体系</w:t>
      </w:r>
      <w:bookmarkEnd w:id="1042"/>
      <w:bookmarkEnd w:id="1043"/>
      <w:r>
        <w:rPr>
          <w:rFonts w:hint="eastAsia" w:ascii="仿宋" w:hAnsi="仿宋" w:cs="仿宋"/>
          <w:b/>
          <w:bCs/>
          <w:color w:val="auto"/>
        </w:rPr>
        <w:t>。</w:t>
      </w:r>
      <w:r>
        <w:rPr>
          <w:rFonts w:hint="eastAsia" w:ascii="仿宋" w:hAnsi="仿宋" w:cs="仿宋"/>
          <w:color w:val="auto"/>
        </w:rPr>
        <w:t>坚持兜底线、织密网、建机制，有序推进基本公共服务均等化，推动建成覆盖全民、城乡统筹、权责清晰、保障适度、可持续的多层次社会保障体系。完善社会保险体系，加强社保扩面征缴，全面建立统一的城乡居民基本医疗保险、大病保险和基本养老保险制度，稳步提高保障水平。坚持应保尽保，继续实施全民参保计划，促进灵活就业人员、新业态人员自觉参保。进一步完善城乡居民养老保险制度，实现城镇职工基本养老保险、新型农村社会养老保险和城镇居民社会养老保险制度之间的有效衔接。提升乡镇、社区（村）的社保服务功能，建立健全基础养老金正常调整机制和个人缴费档次标准调整机制。深化医疗保障制度改革，提升医疗保障服务管理水平，推进“一站式”费用结算信息系统建设。充分发挥失业保险制度“社会稳定器”作用。积极落实珠三角地区社保转移接续、社保卡异地互认、异地就医结算制度。加强城乡低保、优抚、受灾群体等基本生活保障，启动实施特殊困难群体关爱保障工作，开展失能半失能特困供养人员集中养护试点。</w:t>
      </w:r>
    </w:p>
    <w:p w14:paraId="1F6CA2B5">
      <w:pPr>
        <w:ind w:firstLine="643"/>
        <w:rPr>
          <w:rFonts w:ascii="仿宋" w:hAnsi="仿宋" w:cs="仿宋"/>
          <w:color w:val="auto"/>
          <w:sz w:val="28"/>
          <w:szCs w:val="28"/>
        </w:rPr>
      </w:pPr>
      <w:bookmarkStart w:id="1044" w:name="_Toc24327"/>
      <w:bookmarkStart w:id="1045" w:name="_Toc24843"/>
      <w:r>
        <w:rPr>
          <w:rFonts w:hint="eastAsia" w:ascii="仿宋" w:hAnsi="仿宋" w:cs="仿宋"/>
          <w:b/>
          <w:bCs/>
          <w:color w:val="auto"/>
        </w:rPr>
        <w:t>完善社会福利服务体系</w:t>
      </w:r>
      <w:bookmarkEnd w:id="1044"/>
      <w:bookmarkEnd w:id="1045"/>
      <w:r>
        <w:rPr>
          <w:rFonts w:hint="eastAsia" w:ascii="仿宋" w:hAnsi="仿宋" w:cs="仿宋"/>
          <w:b/>
          <w:bCs/>
          <w:color w:val="auto"/>
        </w:rPr>
        <w:t>。</w:t>
      </w:r>
      <w:r>
        <w:rPr>
          <w:rFonts w:hint="eastAsia" w:ascii="仿宋" w:hAnsi="仿宋" w:cs="仿宋"/>
          <w:color w:val="auto"/>
        </w:rPr>
        <w:t>加快社会保障公共服务体系信息化建设和“一站式”服务平台建设。大力做好“双拥”优抚安置工作，提高优抚对象保障标准。合理提高待遇标准，推进城乡、区域、行业和人群间的标准水平衔接平衡。完善社会保障公共服务体系信息化建设和“一站式”服务平台。稳步发展多元化养老服务，进一步完善城乡福利院设施，继续提高福利事业的保障水平。建立综合预防严重精神障碍患者肇事肇祸行为和救治救助长效机制。积极培育和规范社会慈善组织，鼓励社会力量投入社会福利事业，拓展社会志愿服务，扶持发展社会慈善事业。</w:t>
      </w:r>
    </w:p>
    <w:p w14:paraId="119FC4D9">
      <w:pPr>
        <w:ind w:firstLine="643"/>
        <w:rPr>
          <w:rFonts w:ascii="仿宋" w:hAnsi="仿宋" w:cs="仿宋"/>
          <w:color w:val="auto"/>
        </w:rPr>
      </w:pPr>
      <w:bookmarkStart w:id="1046" w:name="_Toc7990"/>
      <w:bookmarkStart w:id="1047" w:name="_Toc5288"/>
      <w:r>
        <w:rPr>
          <w:rFonts w:hint="eastAsia" w:ascii="仿宋" w:hAnsi="仿宋" w:cs="仿宋"/>
          <w:b/>
          <w:bCs/>
          <w:color w:val="auto"/>
        </w:rPr>
        <w:t>完善住房保障政策体系</w:t>
      </w:r>
      <w:bookmarkEnd w:id="1046"/>
      <w:bookmarkEnd w:id="1047"/>
      <w:r>
        <w:rPr>
          <w:rFonts w:hint="eastAsia" w:ascii="仿宋" w:hAnsi="仿宋" w:cs="仿宋"/>
          <w:color w:val="auto"/>
        </w:rPr>
        <w:t>。强化各级政府的住房保障责任，落实土地、财政等政策。保障性住房建设用地纳入当地年度土地供应计划，确保优先供应。增加保障性住房供给，为中低收入阶层、住房困难群体及其他特殊社会群体提供适当住房。加大政府投入，鼓励引导社会资本参与保障性住房建设，加强保障性住房建设和管理。扩大保障性住房覆盖面，通过新建、改建、政府购置、租赁等方式增加保障性住房房源。加大棚户区改造项目建设力度，加快推进农村危旧房改造、渔民安居工程。进一步完善保障性住房分配、退出和社区管理等制度，规范保障性住房使用。</w:t>
      </w:r>
    </w:p>
    <w:p w14:paraId="777E97A7">
      <w:pPr>
        <w:ind w:firstLine="643"/>
        <w:rPr>
          <w:rFonts w:ascii="仿宋" w:hAnsi="仿宋" w:cs="仿宋"/>
          <w:color w:val="auto"/>
        </w:rPr>
      </w:pPr>
      <w:bookmarkStart w:id="1048" w:name="_Toc24215"/>
      <w:bookmarkStart w:id="1049" w:name="_Toc3334"/>
      <w:r>
        <w:rPr>
          <w:rFonts w:hint="eastAsia" w:ascii="仿宋" w:hAnsi="仿宋" w:cs="仿宋"/>
          <w:b/>
          <w:bCs/>
          <w:color w:val="auto"/>
        </w:rPr>
        <w:t>加强养老托育服务</w:t>
      </w:r>
      <w:bookmarkEnd w:id="1048"/>
      <w:bookmarkEnd w:id="1049"/>
      <w:r>
        <w:rPr>
          <w:rFonts w:hint="eastAsia" w:ascii="仿宋" w:hAnsi="仿宋" w:cs="仿宋"/>
          <w:color w:val="auto"/>
        </w:rPr>
        <w:t>。统筹解决“一老一小”问题，积极应对人口老龄化和婴幼儿照护服务需求，提升养老托育水平。加强基本养老服务兜底保障，推进实施农村特困供养机构改造提升工程，持续优化调整农村特困供养机构布局。完善农村留守老年人关爱服务工作机制，加快补齐农村养老服务短板。大力发展社区居家养老，扩大社区居家养老康养中心建设试点范围，加强社区养老基础设施建设，增加普惠性、护理型养老床位供给，持续完善居家为基础、社区为依托、机构为补充、医养相结合的养老服务体系。加快智慧养老发展，积极推进区级智慧养老服务指导中心试点建设。支持社会力量发展普惠托育、养老服务，规划建设示范性托育服务机构，逐步完善婴幼儿照护服务体系。落实国家生育政策，提高人口质量。</w:t>
      </w:r>
    </w:p>
    <w:p w14:paraId="4DE8291A">
      <w:pPr>
        <w:ind w:firstLine="643"/>
        <w:rPr>
          <w:rFonts w:ascii="仿宋" w:hAnsi="仿宋" w:cs="仿宋"/>
          <w:color w:val="auto"/>
        </w:rPr>
      </w:pPr>
      <w:bookmarkStart w:id="1050" w:name="_Toc10535"/>
      <w:bookmarkStart w:id="1051" w:name="_Toc8367"/>
      <w:r>
        <w:rPr>
          <w:rFonts w:hint="eastAsia" w:ascii="仿宋" w:hAnsi="仿宋" w:cs="仿宋"/>
          <w:b/>
          <w:bCs/>
          <w:color w:val="auto"/>
        </w:rPr>
        <w:t>全面加大社会救助力度</w:t>
      </w:r>
      <w:bookmarkEnd w:id="1050"/>
      <w:bookmarkEnd w:id="1051"/>
      <w:r>
        <w:rPr>
          <w:rFonts w:hint="eastAsia" w:ascii="仿宋" w:hAnsi="仿宋" w:cs="仿宋"/>
          <w:b/>
          <w:bCs/>
          <w:color w:val="auto"/>
        </w:rPr>
        <w:t>。</w:t>
      </w:r>
      <w:r>
        <w:rPr>
          <w:rFonts w:hint="eastAsia" w:ascii="仿宋" w:hAnsi="仿宋" w:cs="仿宋"/>
          <w:color w:val="auto"/>
        </w:rPr>
        <w:t>构建分层分类的社会救助体系。统筹运用急难社会救助、专项救助和低保等基本生活救助政策，以最低生活保障、特困人员救助供养为基础，专项救助为支撑，急难救助为辅助，社会力量参与为补充，健全分层分类的梯度救助体系。进一步完善最低生活保障、特困供养人员、低收入认定办法，依据困难类型和困难程度实施类别化、差异化救助，推动社会救助从单纯的物质救助向多维度保障转变、从简单的生活型救助向综合性服务救助延伸，形成“物质+服务”的救助方式，提升救助保障的针对性和精准度，全方位保障好困难群众基本生活。建立社会救助信息共享机制。运用现代信息技术，建设社会救助管理信息平台，建立困难群众数据库，强化部门协同联动，推进救助信息聚合、救助资源统筹、救助效率提升，有效实现救助制度、救助对象、救助需求、救助资源等互联共通、精准对接。加强基层救助服务能力建设，建立健全社会救助主动发现机制，探索社会力量参与社会救助事业发展的政策举措。深化“放管服”改革，强化县、镇（街）在社会救助申请受理审核审批中的主体责任，推进全流程的规范化、标准化。规范社会救助工作窗口服务和管理，加快建设镇（街）社会救助综合服务平台，全面推行“一门受理、协同办理”机制，推进异地受理社会救助申请。到“十四五”期末，在实现镇（街）社会救助服务窗口100%全覆盖的基础上，不断完善服务功能，丰富服务内容。</w:t>
      </w:r>
    </w:p>
    <w:p w14:paraId="5EE62DF7">
      <w:pPr>
        <w:ind w:firstLine="643"/>
        <w:rPr>
          <w:rFonts w:ascii="仿宋" w:hAnsi="仿宋" w:cs="仿宋"/>
          <w:color w:val="auto"/>
        </w:rPr>
      </w:pPr>
      <w:r>
        <w:rPr>
          <w:rFonts w:hint="eastAsia" w:ascii="仿宋" w:hAnsi="仿宋" w:cs="仿宋"/>
          <w:b/>
          <w:bCs/>
          <w:color w:val="auto"/>
        </w:rPr>
        <w:t>保障妇女、未成年人和残疾人基本权益。</w:t>
      </w:r>
      <w:r>
        <w:rPr>
          <w:rFonts w:hint="eastAsia" w:ascii="仿宋" w:hAnsi="仿宋" w:cs="仿宋"/>
          <w:color w:val="auto"/>
        </w:rPr>
        <w:t>贯彻落实男女平等基本国策，坚持儿童优先原则，完善残疾人社会保障制度，切实加强妇女、未成年人和残疾人等社会群体权益保护，促进共建共享经济社会发展成果。</w:t>
      </w:r>
    </w:p>
    <w:p w14:paraId="1BAF64B0">
      <w:pPr>
        <w:rPr>
          <w:rFonts w:ascii="仿宋" w:hAnsi="仿宋" w:cs="仿宋"/>
          <w:color w:val="auto"/>
        </w:rPr>
      </w:pPr>
      <w:r>
        <w:rPr>
          <w:rFonts w:hint="eastAsia" w:ascii="仿宋" w:hAnsi="仿宋" w:cs="仿宋"/>
          <w:color w:val="auto"/>
        </w:rPr>
        <w:t>促进妇女全面发展。保障妇女平等获得就学、就业、婚姻家庭财产、参与社会事务等权利和机会，保障农村妇女土地权益和集体经济组织成员待遇，提高妇女参与决策管理水平。加强妇女劳动保护、卫生保健、生育关怀、社会福利、法律援助、心理健康等工作，实施妇女两癌关爱工程。建立健全贫困妇女、残疾妇女、留守妇女等特殊妇女关爱服务体系。严厉打击拐卖、强奸、猥亵妇女儿童等侵害妇女儿童违法犯罪行为。</w:t>
      </w:r>
    </w:p>
    <w:p w14:paraId="5021E864">
      <w:pPr>
        <w:rPr>
          <w:rFonts w:ascii="仿宋" w:hAnsi="仿宋" w:cs="仿宋"/>
          <w:color w:val="auto"/>
        </w:rPr>
      </w:pPr>
      <w:r>
        <w:rPr>
          <w:rFonts w:hint="eastAsia" w:ascii="仿宋" w:hAnsi="仿宋" w:cs="仿宋"/>
          <w:color w:val="auto"/>
        </w:rPr>
        <w:t>关爱未成年人健康成长。加强儿童思想道德教育和劳动教育，保障儿童生存、发展、受保护和参与权利，全面提升儿童综合素质。多元化促进3岁以下婴幼儿照护服务体系建设。完善未成年人监护制度，健全儿童保护与服务</w:t>
      </w:r>
      <w:r>
        <w:rPr>
          <w:rFonts w:hint="eastAsia" w:ascii="仿宋" w:hAnsi="仿宋" w:cs="仿宋"/>
          <w:color w:val="auto"/>
          <w:lang w:val="en-US" w:eastAsia="zh-CN"/>
        </w:rPr>
        <w:t>救助</w:t>
      </w:r>
      <w:r>
        <w:rPr>
          <w:rFonts w:hint="eastAsia" w:ascii="仿宋" w:hAnsi="仿宋" w:cs="仿宋"/>
          <w:color w:val="auto"/>
        </w:rPr>
        <w:t>体系。重点关注未成年人心理健康，保障儿童身心健康，促进儿童在德智体美劳各方面实现全面发展。加强预防青少年违法犯罪工作。全面推进儿童友好型城市建设。提升儿童食品用品质量安全水平，降低儿童意外伤害死亡率，加强儿童网络保护，加强留守、流动、困境儿童关爱保护，综合防控青少年近视。</w:t>
      </w:r>
    </w:p>
    <w:p w14:paraId="460E4832">
      <w:pPr>
        <w:rPr>
          <w:rFonts w:ascii="仿宋" w:hAnsi="仿宋" w:cs="仿宋"/>
          <w:color w:val="auto"/>
        </w:rPr>
      </w:pPr>
      <w:r>
        <w:rPr>
          <w:rFonts w:hint="eastAsia" w:ascii="仿宋" w:hAnsi="仿宋" w:cs="仿宋"/>
          <w:color w:val="auto"/>
        </w:rPr>
        <w:t>依法保障残疾人权益。完善残疾人社会保障制度，强化残疾人社会救助保障和福利保障，扩大残疾人社会保险覆盖面，稳步提高困难残疾人生活补贴和重度残疾人护理补贴标准，加快发展重度残疾人照护和托养服务。促进城乡残疾人就业创业，推动残疾人基本公共服务均等化。完善残疾人教育体系，实现残疾儿童少年15年免费教育，继续落实“南粤扶残助学工程”，资助残疾学生进入高等院校学习。普及残疾人公共文化体育服务和群众性文体活动。保障残疾人平等权利，健全残疾人权益保障法律法规体系，加强残疾人维权、法律救助工作，推进无障碍环境建设。加大对残疾人保障和发展的投入，建立稳定增长的多元投入格局。加强残疾人康复、教育、就业、托养照护、文化体育、社会工作等专业队伍建设。</w:t>
      </w:r>
    </w:p>
    <w:p w14:paraId="3BE0CD17">
      <w:pPr>
        <w:rPr>
          <w:rFonts w:ascii="仿宋" w:hAnsi="仿宋" w:cs="仿宋"/>
          <w:color w:val="auto"/>
        </w:rPr>
      </w:pPr>
      <w:r>
        <w:rPr>
          <w:rFonts w:hint="eastAsia" w:ascii="仿宋" w:hAnsi="仿宋" w:cs="仿宋"/>
          <w:color w:val="auto"/>
        </w:rPr>
        <w:t>加强家庭建设。建立完善促进男女平等的家庭政策体系，推动完善生育支持、儿童养育教育、赡养老人、特殊家庭救助关爱等政策，支持实现家庭基本功能，增强家庭发展能力。建立家庭教育工作机制，构建家庭教育指导服务体系，健全学校家庭社会协同育人机制。倡导构建男女平等、和睦、文明的婚姻家庭关系，促进夫妻共同承担儿童的抚养、教育、保护责任，支持家庭承担赡养老人责任。树立新时代家庭观，推动形成爱国爱家、相亲相爱、向上向善、共建共享的家庭文明新风尚。</w:t>
      </w:r>
    </w:p>
    <w:p w14:paraId="01CB6EB8">
      <w:pPr>
        <w:pStyle w:val="4"/>
        <w:spacing w:before="654" w:after="654"/>
        <w:rPr>
          <w:color w:val="auto"/>
        </w:rPr>
      </w:pPr>
      <w:bookmarkStart w:id="1052" w:name="_Toc20057"/>
      <w:bookmarkStart w:id="1053" w:name="_Toc31649"/>
      <w:bookmarkStart w:id="1054" w:name="_Toc21973"/>
      <w:bookmarkStart w:id="1055" w:name="_Toc3150"/>
      <w:bookmarkStart w:id="1056" w:name="_Toc1273"/>
      <w:bookmarkStart w:id="1057" w:name="_Toc15337"/>
      <w:bookmarkStart w:id="1058" w:name="_Toc25045"/>
      <w:bookmarkStart w:id="1059" w:name="_Toc16520"/>
      <w:bookmarkStart w:id="1060" w:name="_Toc23104"/>
      <w:bookmarkStart w:id="1061" w:name="_Toc15005"/>
      <w:bookmarkStart w:id="1062" w:name="_Toc6590"/>
      <w:bookmarkStart w:id="1063" w:name="_Toc4658"/>
      <w:bookmarkStart w:id="1064" w:name="_Toc15044"/>
      <w:bookmarkStart w:id="1065" w:name="_Toc25875"/>
      <w:bookmarkStart w:id="1066" w:name="_Toc26554"/>
      <w:bookmarkStart w:id="1067" w:name="_Toc1428"/>
      <w:bookmarkStart w:id="1068" w:name="_Toc17313"/>
      <w:r>
        <w:rPr>
          <w:rFonts w:hint="eastAsia"/>
          <w:color w:val="auto"/>
        </w:rPr>
        <w:t>稳步提升城乡居民收入</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14:paraId="52A80177">
      <w:pPr>
        <w:rPr>
          <w:rFonts w:ascii="仿宋" w:hAnsi="仿宋" w:cs="仿宋"/>
          <w:color w:val="auto"/>
        </w:rPr>
      </w:pPr>
      <w:r>
        <w:rPr>
          <w:rFonts w:hint="eastAsia" w:ascii="仿宋" w:hAnsi="仿宋" w:cs="仿宋"/>
          <w:color w:val="auto"/>
        </w:rPr>
        <w:t>努力增加低收入者收入，扩大中等收入者比重，逐步缩小收入分配差距，形成合理有序的收入分配格局。</w:t>
      </w:r>
    </w:p>
    <w:p w14:paraId="4F9A73B0">
      <w:pPr>
        <w:rPr>
          <w:rFonts w:ascii="仿宋" w:hAnsi="仿宋" w:cs="仿宋"/>
          <w:color w:val="auto"/>
        </w:rPr>
      </w:pPr>
      <w:r>
        <w:rPr>
          <w:rFonts w:hint="eastAsia" w:ascii="仿宋" w:hAnsi="仿宋" w:cs="仿宋"/>
          <w:color w:val="auto"/>
        </w:rPr>
        <w:t>坚持居民收入增长和经济增长同步。坚持向改革要动力、向科技要动力，不断拓宽居民收入渠道。拓宽现代农业发展空间，推动农业“接二连三”，提高农产品附加值。盘活利用好土地资源，增强农民土地收益。提升创业服务能力，优化创业环境，增加居民经营性收入。健全资本、知识、技术、管理等由要素市场决定的报酬机制，增加居民财产性收入。完善企业职工工资正常增长机制，提高技能人才和专业技术人员工资水平。以农民工、新型职业农民、高校和职业技术院校毕业生等为主攻方向，不断扩大中等收入群体，缩小城乡、区域、行业和社会成员之间收入差距。</w:t>
      </w:r>
    </w:p>
    <w:p w14:paraId="080D0B7B">
      <w:pPr>
        <w:pStyle w:val="3"/>
        <w:spacing w:before="218" w:after="218"/>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bookmarkStart w:id="1069" w:name="_Toc28662"/>
    </w:p>
    <w:p w14:paraId="5AA720AE">
      <w:pPr>
        <w:pStyle w:val="3"/>
        <w:spacing w:before="218" w:after="218"/>
        <w:rPr>
          <w:color w:val="auto"/>
        </w:rPr>
      </w:pPr>
      <w:bookmarkStart w:id="1070" w:name="_Toc6404"/>
      <w:bookmarkStart w:id="1071" w:name="_Toc10299"/>
      <w:bookmarkStart w:id="1072" w:name="_Toc19639"/>
      <w:bookmarkStart w:id="1073" w:name="_Toc3656"/>
      <w:bookmarkStart w:id="1074" w:name="_Toc20732"/>
      <w:bookmarkStart w:id="1075" w:name="_Toc12193"/>
      <w:bookmarkStart w:id="1076" w:name="_Toc9717"/>
      <w:bookmarkStart w:id="1077" w:name="_Toc11443"/>
      <w:bookmarkStart w:id="1078" w:name="_Toc19383"/>
      <w:bookmarkStart w:id="1079" w:name="_Toc14592"/>
      <w:bookmarkStart w:id="1080" w:name="_Toc25223"/>
      <w:bookmarkStart w:id="1081" w:name="_Toc5025"/>
      <w:bookmarkStart w:id="1082" w:name="_Toc18533"/>
      <w:bookmarkStart w:id="1083" w:name="_Toc368"/>
      <w:bookmarkStart w:id="1084" w:name="_Toc29084"/>
      <w:bookmarkStart w:id="1085" w:name="_Toc963"/>
      <w:r>
        <w:rPr>
          <w:rFonts w:hint="eastAsia"/>
          <w:color w:val="auto"/>
        </w:rPr>
        <w:t>推进社会治理现代化，“平安仁化”建设再上新台阶</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14:paraId="09CCECD6">
      <w:pPr>
        <w:rPr>
          <w:rFonts w:ascii="仿宋" w:hAnsi="仿宋" w:cs="仿宋"/>
          <w:color w:val="auto"/>
        </w:rPr>
      </w:pPr>
      <w:r>
        <w:rPr>
          <w:rFonts w:hint="eastAsia" w:ascii="仿宋" w:hAnsi="仿宋" w:cs="仿宋"/>
          <w:color w:val="auto"/>
        </w:rPr>
        <w:t>全面落实依法治国方略，转变社会治理理念，创新社会治理模式，着力提高社会治理现代化水平，增强公共安全保障，筑牢安全底线，打造平安法治新仁化。</w:t>
      </w:r>
    </w:p>
    <w:p w14:paraId="016FBCBF">
      <w:pPr>
        <w:pStyle w:val="4"/>
        <w:spacing w:before="654" w:after="654"/>
        <w:rPr>
          <w:color w:val="auto"/>
        </w:rPr>
      </w:pPr>
      <w:bookmarkStart w:id="1086" w:name="_Toc22237"/>
      <w:bookmarkStart w:id="1087" w:name="_Toc15859"/>
      <w:bookmarkStart w:id="1088" w:name="_Toc29406"/>
      <w:bookmarkStart w:id="1089" w:name="_Toc11195"/>
      <w:bookmarkStart w:id="1090" w:name="_Toc20336"/>
      <w:bookmarkStart w:id="1091" w:name="_Toc9231"/>
      <w:bookmarkStart w:id="1092" w:name="_Toc19376"/>
      <w:bookmarkStart w:id="1093" w:name="_Toc5928"/>
      <w:bookmarkStart w:id="1094" w:name="_Toc6275"/>
      <w:bookmarkStart w:id="1095" w:name="_Toc23020"/>
      <w:bookmarkStart w:id="1096" w:name="_Toc23988"/>
      <w:bookmarkStart w:id="1097" w:name="_Toc30536"/>
      <w:bookmarkStart w:id="1098" w:name="_Toc15184"/>
      <w:bookmarkStart w:id="1099" w:name="_Toc8113"/>
      <w:bookmarkStart w:id="1100" w:name="_Toc4183"/>
      <w:bookmarkStart w:id="1101" w:name="_Toc16769"/>
      <w:r>
        <w:rPr>
          <w:rFonts w:hint="eastAsia"/>
          <w:color w:val="auto"/>
        </w:rPr>
        <w:t>加强安全体系和能力建设</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7CBDA2E9">
      <w:pPr>
        <w:rPr>
          <w:rFonts w:ascii="仿宋" w:hAnsi="仿宋" w:cs="仿宋"/>
          <w:color w:val="auto"/>
        </w:rPr>
      </w:pPr>
      <w:r>
        <w:rPr>
          <w:rFonts w:hint="eastAsia" w:ascii="仿宋" w:hAnsi="仿宋" w:cs="仿宋"/>
          <w:color w:val="auto"/>
        </w:rPr>
        <w:t>全面贯彻安全发展理念，坚持预防预备和应急处突相结合，建立健全风险防范和处置机制及预案，提高生产、粮食、金融、网络等重点领域防范抵御风险能力，确保经济社会正常运转。全面落实安全生产责任制，做好公共安全隐患排查和安全预防控制，提升监测预警、风险评估、指挥协调、应急救援、基础保障能力，提高防灾减灾救灾能力。完善城区和各乡镇消防设施，提高消防能力。积极推进应急管理体系和能力现代化。完善重大项目和重大决策社会稳定风险评估机制，防范化解社会矛盾风险，确保社会大局稳定。不断深化“平安仁化”建设，加强安全生产管理。强化应急安全处置，完善公共突发事件应急处置体系，健全重要应急物资生产储备体系，建设应急物资储备仓库，优化应急物资产能保障和区域布局。进一步加强质量强县建设，加强质量安全监管。</w:t>
      </w:r>
    </w:p>
    <w:p w14:paraId="3F9BC91B">
      <w:pPr>
        <w:pStyle w:val="4"/>
        <w:spacing w:before="654" w:after="654"/>
        <w:rPr>
          <w:color w:val="auto"/>
        </w:rPr>
      </w:pPr>
      <w:bookmarkStart w:id="1102" w:name="_Toc9902"/>
      <w:bookmarkStart w:id="1103" w:name="_Toc31079"/>
      <w:bookmarkStart w:id="1104" w:name="_Toc2397"/>
      <w:bookmarkStart w:id="1105" w:name="_Toc14988"/>
      <w:bookmarkStart w:id="1106" w:name="_Toc3726"/>
      <w:bookmarkStart w:id="1107" w:name="_Toc26916"/>
      <w:bookmarkStart w:id="1108" w:name="_Toc27204"/>
      <w:bookmarkStart w:id="1109" w:name="_Toc23166"/>
      <w:bookmarkStart w:id="1110" w:name="_Toc11749"/>
      <w:bookmarkStart w:id="1111" w:name="_Toc19706"/>
      <w:bookmarkStart w:id="1112" w:name="_Toc4001"/>
      <w:bookmarkStart w:id="1113" w:name="_Toc10143"/>
      <w:bookmarkStart w:id="1114" w:name="_Toc32268"/>
      <w:bookmarkStart w:id="1115" w:name="_Toc21817"/>
      <w:bookmarkStart w:id="1116" w:name="_Toc29263"/>
      <w:bookmarkStart w:id="1117" w:name="_Toc9369"/>
      <w:r>
        <w:rPr>
          <w:rFonts w:hint="eastAsia"/>
          <w:color w:val="auto"/>
        </w:rPr>
        <w:t>全力维护政治、经济安全</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14:paraId="2C36BA69">
      <w:pPr>
        <w:rPr>
          <w:rFonts w:ascii="仿宋" w:hAnsi="仿宋" w:cs="仿宋"/>
          <w:color w:val="auto"/>
        </w:rPr>
      </w:pPr>
      <w:r>
        <w:rPr>
          <w:rFonts w:hint="eastAsia" w:ascii="仿宋" w:hAnsi="仿宋" w:cs="仿宋"/>
          <w:bCs/>
          <w:color w:val="auto"/>
        </w:rPr>
        <w:t>坚定维护政治安全，加强经济安全风险预警、防控机制和能力建设，防范经济领域风险向社会、民生领域传导，全面加强网络安全防护，坚决守住安全发展底线。</w:t>
      </w:r>
    </w:p>
    <w:p w14:paraId="7B54E96A">
      <w:pPr>
        <w:ind w:firstLine="643"/>
        <w:rPr>
          <w:rFonts w:ascii="仿宋" w:hAnsi="仿宋" w:cs="仿宋"/>
          <w:color w:val="auto"/>
        </w:rPr>
      </w:pPr>
      <w:bookmarkStart w:id="1118" w:name="_Toc16757"/>
      <w:bookmarkStart w:id="1119" w:name="_Toc21855"/>
      <w:r>
        <w:rPr>
          <w:rFonts w:hint="eastAsia" w:ascii="仿宋" w:hAnsi="仿宋" w:cs="仿宋"/>
          <w:b/>
          <w:bCs/>
          <w:color w:val="auto"/>
        </w:rPr>
        <w:t>坚定维护政治安全</w:t>
      </w:r>
      <w:bookmarkEnd w:id="1118"/>
      <w:bookmarkEnd w:id="1119"/>
      <w:r>
        <w:rPr>
          <w:rFonts w:hint="eastAsia" w:ascii="仿宋" w:hAnsi="仿宋" w:cs="仿宋"/>
          <w:b/>
          <w:bCs/>
          <w:color w:val="auto"/>
        </w:rPr>
        <w:t>。</w:t>
      </w:r>
      <w:r>
        <w:rPr>
          <w:rFonts w:hint="eastAsia" w:ascii="仿宋" w:hAnsi="仿宋" w:cs="仿宋"/>
          <w:color w:val="auto"/>
        </w:rPr>
        <w:t>坚持把维护政治安全作为防范化解重大风险的首要任务，加强意识形态阵地建设和管理，切实守好政治安全“北大门”。健全安全审查和监管制度，加强安全执法。加强国家安全宣传教育，增强人民群众国家安全意识，巩固国家安全人民防线。坚定维护国家政权安全、制度安全、意识形态安全，全面加强网络安全保障体系和能力建设。严密防范和严厉打击敌对势力渗透、破坏、颠覆、分裂活动。</w:t>
      </w:r>
    </w:p>
    <w:p w14:paraId="4A745948">
      <w:pPr>
        <w:pStyle w:val="2"/>
        <w:ind w:firstLine="643"/>
        <w:rPr>
          <w:rFonts w:ascii="仿宋" w:hAnsi="仿宋" w:cs="仿宋"/>
          <w:color w:val="auto"/>
        </w:rPr>
      </w:pPr>
      <w:r>
        <w:rPr>
          <w:rFonts w:hint="eastAsia" w:ascii="仿宋" w:hAnsi="仿宋" w:cs="仿宋"/>
          <w:b/>
          <w:bCs/>
          <w:color w:val="auto"/>
        </w:rPr>
        <w:t>保障粮食安全。</w:t>
      </w:r>
      <w:r>
        <w:rPr>
          <w:rFonts w:hint="eastAsia" w:ascii="仿宋" w:hAnsi="仿宋" w:cs="仿宋"/>
          <w:color w:val="auto"/>
        </w:rPr>
        <w:t>加强粮食储备安全管理，稳定粮源渠道，抓好粮食市场化收购。优化政府储备品种结构和布局，充实成品粮油储备，建立适度的社会储备。构建新型粮食市场监测预警体系，优化数据监测网点，完善数据发布机制。加强粮食应急保障体系建设，不断优化保障网络，提高粮食应急保障能力。强化粮食收储调控能力，保障全县粮食市场供应充足，价格基本稳定。强化粮食安全责任考核，推进地方储备粮轮换管理和库存监管制度建设，实行储备粮精细化管理，提升安全储粮和安全生产水平。优化粮食仓储设施建设，逐步淘汰小、散、旧粮库，加快现代化粮库建设，同步推进信息化建设，持续推进粮库智能化升级改造。强化粮食流通监管，健全监管制度，创新监管方式。</w:t>
      </w:r>
    </w:p>
    <w:p w14:paraId="6A2B29E6">
      <w:pPr>
        <w:pStyle w:val="2"/>
        <w:ind w:firstLine="643"/>
        <w:rPr>
          <w:rFonts w:ascii="仿宋" w:hAnsi="仿宋" w:cs="仿宋"/>
          <w:color w:val="auto"/>
        </w:rPr>
      </w:pPr>
      <w:bookmarkStart w:id="1120" w:name="_Toc7966"/>
      <w:bookmarkStart w:id="1121" w:name="_Toc21694"/>
      <w:r>
        <w:rPr>
          <w:rFonts w:hint="eastAsia" w:ascii="仿宋" w:hAnsi="仿宋" w:cs="仿宋"/>
          <w:b/>
          <w:bCs/>
          <w:color w:val="auto"/>
        </w:rPr>
        <w:t>保障能源供给</w:t>
      </w:r>
      <w:bookmarkEnd w:id="1120"/>
      <w:bookmarkEnd w:id="1121"/>
      <w:r>
        <w:rPr>
          <w:rFonts w:hint="eastAsia" w:ascii="仿宋" w:hAnsi="仿宋" w:cs="仿宋"/>
          <w:b/>
          <w:bCs/>
          <w:color w:val="auto"/>
        </w:rPr>
        <w:t>。</w:t>
      </w:r>
      <w:r>
        <w:rPr>
          <w:rFonts w:hint="eastAsia" w:ascii="仿宋" w:hAnsi="仿宋" w:cs="仿宋"/>
          <w:color w:val="auto"/>
        </w:rPr>
        <w:t>维护水利、电力、供水、油气等能源安全，提高水资源集约安全利用水平。大力培育节能环保、清洁能源等绿色产业，强化清洁生产，推进重点行业和重要领域绿色化改造，发展绿色制造。持续减少煤炭消费总量，大力优化能源结构，打造能源创新示范高地。实施清洁能源替代工程，大力发展光伏、风电、氢能等新能源，不断提高非化石能源在能源消费结构中的比重。</w:t>
      </w:r>
    </w:p>
    <w:p w14:paraId="3A21E306">
      <w:pPr>
        <w:widowControl/>
        <w:ind w:firstLine="643"/>
        <w:rPr>
          <w:rFonts w:ascii="仿宋" w:hAnsi="仿宋" w:cs="仿宋"/>
          <w:color w:val="auto"/>
          <w:kern w:val="0"/>
          <w:szCs w:val="32"/>
          <w:shd w:val="clear" w:color="auto" w:fill="FFFFFF"/>
        </w:rPr>
      </w:pPr>
      <w:bookmarkStart w:id="1122" w:name="_Toc10028"/>
      <w:bookmarkStart w:id="1123" w:name="_Toc22403"/>
      <w:r>
        <w:rPr>
          <w:rFonts w:hint="eastAsia" w:ascii="仿宋" w:hAnsi="仿宋" w:cs="仿宋"/>
          <w:b/>
          <w:bCs/>
          <w:color w:val="auto"/>
        </w:rPr>
        <w:t>强化金融风险监测预警</w:t>
      </w:r>
      <w:bookmarkEnd w:id="1122"/>
      <w:bookmarkEnd w:id="1123"/>
      <w:r>
        <w:rPr>
          <w:rFonts w:hint="eastAsia" w:ascii="仿宋" w:hAnsi="仿宋" w:cs="仿宋"/>
          <w:color w:val="auto"/>
        </w:rPr>
        <w:t>。全力打击非法集资等涉金融违法违规行为，维护县辖金融、经济稳定。充分发挥</w:t>
      </w:r>
      <w:r>
        <w:rPr>
          <w:rFonts w:hint="eastAsia" w:ascii="仿宋" w:hAnsi="仿宋" w:cs="仿宋"/>
          <w:color w:val="auto"/>
          <w:kern w:val="0"/>
          <w:szCs w:val="32"/>
          <w:shd w:val="clear" w:color="auto" w:fill="FFFFFF"/>
        </w:rPr>
        <w:t>“红三角”金融稳定协作平台作用，认真开展金融风险监测工作，防范化解区域金融风险。面向社会公众积极宣传金融知识，协助公安机关加大对金融违法犯罪的打击力度。</w:t>
      </w:r>
    </w:p>
    <w:p w14:paraId="6E9BD17F">
      <w:pPr>
        <w:ind w:firstLine="643"/>
        <w:rPr>
          <w:rFonts w:ascii="仿宋" w:hAnsi="仿宋" w:cs="仿宋"/>
          <w:color w:val="auto"/>
        </w:rPr>
      </w:pPr>
      <w:bookmarkStart w:id="1124" w:name="_Toc15172"/>
      <w:bookmarkStart w:id="1125" w:name="_Toc31895"/>
      <w:r>
        <w:rPr>
          <w:rFonts w:hint="eastAsia" w:ascii="仿宋" w:hAnsi="仿宋" w:cs="仿宋"/>
          <w:b/>
          <w:bCs/>
          <w:color w:val="auto"/>
        </w:rPr>
        <w:t>全面加强网络安全防护</w:t>
      </w:r>
      <w:bookmarkEnd w:id="1124"/>
      <w:bookmarkEnd w:id="1125"/>
      <w:r>
        <w:rPr>
          <w:rFonts w:hint="eastAsia" w:ascii="仿宋" w:hAnsi="仿宋" w:cs="仿宋"/>
          <w:color w:val="auto"/>
        </w:rPr>
        <w:t>。压实金融监管和风险处置责任，加强跨区域、跨市场和交叉性金融监管协作，健全金融风险监测预警和应急处置机制，坚决打击违法违规金融活动，妥善处置地方政府隐形债务，稳妥有序化解地方融资平台债务风险，切实维护经济金融秩序和社会稳定。完善网络安全制度体系，强化对数据资源、网络信息和关键设施的保护，加大网络安全投入，增强应急响应能力，提升公共安全管理信息化建设水平，掌握网络意识形态主动权，全面提升网络综合治理能力，加强网络舆情监测与反应能力，营造清朗网络空间。</w:t>
      </w:r>
    </w:p>
    <w:p w14:paraId="0B2BF399">
      <w:pPr>
        <w:pStyle w:val="4"/>
        <w:spacing w:before="654" w:after="654"/>
        <w:rPr>
          <w:color w:val="auto"/>
        </w:rPr>
      </w:pPr>
      <w:bookmarkStart w:id="1126" w:name="_Toc23359"/>
      <w:bookmarkStart w:id="1127" w:name="_Toc21242"/>
      <w:bookmarkStart w:id="1128" w:name="_Toc28475"/>
      <w:bookmarkStart w:id="1129" w:name="_Toc31883"/>
      <w:bookmarkStart w:id="1130" w:name="_Toc14403"/>
      <w:bookmarkStart w:id="1131" w:name="_Toc27733"/>
      <w:bookmarkStart w:id="1132" w:name="_Toc1825"/>
      <w:bookmarkStart w:id="1133" w:name="_Toc15316"/>
      <w:bookmarkStart w:id="1134" w:name="_Toc6978"/>
      <w:bookmarkStart w:id="1135" w:name="_Toc1881"/>
      <w:bookmarkStart w:id="1136" w:name="_Toc26605"/>
      <w:bookmarkStart w:id="1137" w:name="_Toc13586"/>
      <w:bookmarkStart w:id="1138" w:name="_Toc31200"/>
      <w:bookmarkStart w:id="1139" w:name="_Toc9727"/>
      <w:bookmarkStart w:id="1140" w:name="_Toc10194"/>
      <w:bookmarkStart w:id="1141" w:name="_Toc30298"/>
      <w:r>
        <w:rPr>
          <w:rFonts w:hint="eastAsia"/>
          <w:color w:val="auto"/>
        </w:rPr>
        <w:t>切实保障人民生命安全</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40800BBA">
      <w:pPr>
        <w:rPr>
          <w:rFonts w:ascii="仿宋" w:hAnsi="仿宋" w:cs="仿宋"/>
          <w:color w:val="auto"/>
        </w:rPr>
      </w:pPr>
      <w:r>
        <w:rPr>
          <w:rFonts w:hint="eastAsia" w:ascii="仿宋" w:hAnsi="仿宋" w:cs="仿宋"/>
          <w:color w:val="auto"/>
        </w:rPr>
        <w:t>坚持人民至上、生命至上，把保护人民生命安全摆在首位。完善公共安全体制机制，强化应急处置与应急响应体系建设，坚决守住公共安全底线，严防各类重大安全事故，全面提高公共安全保障能力。</w:t>
      </w:r>
    </w:p>
    <w:p w14:paraId="153E19A4">
      <w:pPr>
        <w:ind w:firstLine="643"/>
        <w:rPr>
          <w:rFonts w:ascii="仿宋" w:hAnsi="仿宋" w:cs="仿宋"/>
          <w:color w:val="auto"/>
        </w:rPr>
      </w:pPr>
      <w:bookmarkStart w:id="1142" w:name="_Toc21829"/>
      <w:bookmarkStart w:id="1143" w:name="_Toc27497"/>
      <w:r>
        <w:rPr>
          <w:rFonts w:hint="eastAsia" w:ascii="仿宋" w:hAnsi="仿宋" w:cs="仿宋"/>
          <w:b/>
          <w:bCs/>
          <w:color w:val="auto"/>
        </w:rPr>
        <w:t>提高安全生产水平</w:t>
      </w:r>
      <w:bookmarkEnd w:id="1142"/>
      <w:bookmarkEnd w:id="1143"/>
      <w:r>
        <w:rPr>
          <w:rFonts w:hint="eastAsia" w:ascii="仿宋" w:hAnsi="仿宋" w:cs="仿宋"/>
          <w:color w:val="auto"/>
        </w:rPr>
        <w:t>。推动形成以落实企业主要负责人安全责任为重点的企业安全生产主体责任体系、以建立企业技术和管理团队为重点的规范化安全生产管理制度、以风险分级管控和隐患排查治理为重点的安全预防控制体系、以引入专业化支撑机构为重点的企业安全生产社会化服务体系。有效遏制危险化学品、非煤矿山、建筑施工、交通领域、特种设备等重特大安全事故。</w:t>
      </w:r>
    </w:p>
    <w:p w14:paraId="5D8359BC">
      <w:pPr>
        <w:rPr>
          <w:rFonts w:ascii="仿宋" w:hAnsi="仿宋" w:cs="仿宋"/>
          <w:color w:val="auto"/>
        </w:rPr>
      </w:pPr>
      <w:r>
        <w:rPr>
          <w:rFonts w:hint="eastAsia" w:ascii="仿宋" w:hAnsi="仿宋" w:cs="仿宋"/>
          <w:color w:val="auto"/>
        </w:rPr>
        <w:t>强化督查、巡查，鼓励举报安全生产重大事故隐患和非法违法行为，完善“双随机一公开”执法制度，倒逼企业落实安全生产主体责任，督促各乡镇（街道）、各部门落实安全生产监管责任。督促高危企业全面依法依规投保安全生产责任险并建立信息化管理平台。加大政府购买第三方安全生产咨询服务力度，规范安全评价检测检验机构管理。落实属地管理和部门监管责任。坚持最严格的安全生产责任制，坚持党政同责、一岗双责、失职追责。修订安全生产、应急管理和防灾减灾工作绩效考核办法并组织实施。强化党委政府领导责任、行业主管部门监管责任和企业的主体责任。</w:t>
      </w:r>
    </w:p>
    <w:p w14:paraId="18592CEC">
      <w:pPr>
        <w:rPr>
          <w:rFonts w:ascii="仿宋" w:hAnsi="仿宋" w:cs="仿宋"/>
          <w:color w:val="auto"/>
        </w:rPr>
      </w:pPr>
      <w:r>
        <w:rPr>
          <w:rFonts w:hint="eastAsia" w:ascii="仿宋" w:hAnsi="仿宋" w:cs="仿宋"/>
          <w:color w:val="auto"/>
        </w:rPr>
        <w:t>到2025年底，各类事故死亡总人数、亿元国内生产总值生产安全事故死亡率、危险化学品及工矿商贸十万就业人员生产安全事故死亡率等指标控制在省、市下达的控制指标之内。仁化县内全部企业安全生产责任保险购买率到达90%以上，参保人员工伤保险购买率达到100%。</w:t>
      </w:r>
    </w:p>
    <w:p w14:paraId="357A8522">
      <w:pPr>
        <w:ind w:firstLine="643"/>
        <w:rPr>
          <w:rFonts w:ascii="仿宋" w:hAnsi="仿宋" w:cs="仿宋"/>
          <w:color w:val="auto"/>
        </w:rPr>
      </w:pPr>
      <w:bookmarkStart w:id="1144" w:name="_Toc7086"/>
      <w:bookmarkStart w:id="1145" w:name="_Toc9407"/>
      <w:r>
        <w:rPr>
          <w:rFonts w:hint="eastAsia" w:ascii="仿宋" w:hAnsi="仿宋" w:cs="仿宋"/>
          <w:b/>
          <w:bCs/>
          <w:color w:val="auto"/>
        </w:rPr>
        <w:t>加强食品药品安全</w:t>
      </w:r>
      <w:bookmarkEnd w:id="1144"/>
      <w:bookmarkEnd w:id="1145"/>
      <w:r>
        <w:rPr>
          <w:rFonts w:hint="eastAsia" w:ascii="仿宋" w:hAnsi="仿宋" w:cs="仿宋"/>
          <w:b/>
          <w:bCs/>
          <w:color w:val="auto"/>
        </w:rPr>
        <w:t>。</w:t>
      </w:r>
      <w:r>
        <w:rPr>
          <w:rFonts w:hint="eastAsia" w:ascii="仿宋" w:hAnsi="仿宋" w:cs="仿宋"/>
          <w:color w:val="auto"/>
        </w:rPr>
        <w:t>加强和完善食品药品安全监管制度，提高食品药品等关系人民健康产品和服务的安全保障水平。严格食品生产准入，加大打击无证照生产加工食品力度，严厉查处食品生产过程中非法添加和滥用食品添加剂等违法行为，切实落实生产经营者主体责任。全面推进和实行食品进货检验、索证索票、购销台账和责任追究制度。全面实施食品安全监督量化分级管理制度，突出食品安全风险监管的重点，抓好学校（幼儿园）、校外托管机构、养老院和建筑工地食堂、旅游景区餐饮、小型餐饮单位等重点区域、重点单位、重点环节的整治和检查监督。加大“食品安全示范街区”建设力度，不断完善食品安全监管平台，持续提升食品全链条质量安全保障水平。完善重大疫情防控救治体制机制，健全公共卫生应急管理体系。加强药品流通环节监管，开展基本药物电子监管工作，对基本药物实施全覆盖抽验。进一步规范医疗器械、化妆品的生产经营持续，强化风险管理和安全监督。</w:t>
      </w:r>
    </w:p>
    <w:p w14:paraId="02B319ED">
      <w:pPr>
        <w:ind w:firstLine="643"/>
        <w:rPr>
          <w:rFonts w:ascii="仿宋" w:hAnsi="仿宋" w:cs="仿宋"/>
          <w:color w:val="auto"/>
        </w:rPr>
      </w:pPr>
      <w:bookmarkStart w:id="1146" w:name="_Toc31011"/>
      <w:bookmarkStart w:id="1147" w:name="_Toc23393"/>
      <w:r>
        <w:rPr>
          <w:rFonts w:hint="eastAsia" w:ascii="仿宋" w:hAnsi="仿宋" w:cs="仿宋"/>
          <w:b/>
          <w:bCs/>
          <w:color w:val="auto"/>
        </w:rPr>
        <w:t>保障生物安全</w:t>
      </w:r>
      <w:bookmarkEnd w:id="1146"/>
      <w:bookmarkEnd w:id="1147"/>
      <w:r>
        <w:rPr>
          <w:rFonts w:hint="eastAsia" w:ascii="仿宋" w:hAnsi="仿宋" w:cs="仿宋"/>
          <w:b/>
          <w:bCs/>
          <w:color w:val="auto"/>
        </w:rPr>
        <w:t>。</w:t>
      </w:r>
      <w:r>
        <w:rPr>
          <w:rFonts w:hint="eastAsia" w:ascii="仿宋" w:hAnsi="仿宋" w:cs="仿宋"/>
          <w:color w:val="auto"/>
        </w:rPr>
        <w:t>提升生物安全保障能力，建立健全生物安全日常监管长效机制。建立外来入侵物种监测预警及风险管理机制。持续强化“绿盾”自然保护地监督。加强农业转基因生物试验环节检查监管。</w:t>
      </w:r>
    </w:p>
    <w:p w14:paraId="0BC243CF">
      <w:pPr>
        <w:ind w:firstLine="643"/>
        <w:rPr>
          <w:rFonts w:ascii="仿宋" w:hAnsi="仿宋" w:cs="仿宋"/>
          <w:color w:val="auto"/>
        </w:rPr>
      </w:pPr>
      <w:bookmarkStart w:id="1148" w:name="_Toc25769"/>
      <w:bookmarkStart w:id="1149" w:name="_Toc20857"/>
      <w:r>
        <w:rPr>
          <w:rFonts w:hint="eastAsia" w:ascii="仿宋" w:hAnsi="仿宋" w:cs="仿宋"/>
          <w:b/>
          <w:bCs/>
          <w:color w:val="auto"/>
        </w:rPr>
        <w:t>完善风险应急防控体系</w:t>
      </w:r>
      <w:bookmarkEnd w:id="1148"/>
      <w:bookmarkEnd w:id="1149"/>
      <w:r>
        <w:rPr>
          <w:rFonts w:hint="eastAsia" w:ascii="仿宋" w:hAnsi="仿宋" w:cs="仿宋"/>
          <w:color w:val="auto"/>
        </w:rPr>
        <w:t>。完善应急管理组织指挥体系，加强对应急管理工作的统一领导。调整完善各级安全生产、消防、减灾、防汛抗旱、抗震救灾、森林防火等工作协调机制。建设以应急指挥中心为中枢的应急指挥平台系统，建立救援队伍、专家、物资、装备等应急资源“一张图”。加快应急指挥平台建设，发挥各级应急指挥中心指挥调度作用。推进生产安全、自然灾害突发事件应急管理领域信息化建设，建设全领域宽覆盖的信息化体系。持续完善以“一案三制”为核心应急管理体系。</w:t>
      </w:r>
    </w:p>
    <w:p w14:paraId="4B17C0B7">
      <w:pPr>
        <w:rPr>
          <w:rFonts w:ascii="仿宋" w:hAnsi="仿宋" w:cs="仿宋"/>
          <w:color w:val="auto"/>
        </w:rPr>
      </w:pPr>
      <w:r>
        <w:rPr>
          <w:rFonts w:hint="eastAsia" w:ascii="仿宋" w:hAnsi="仿宋" w:cs="仿宋"/>
          <w:color w:val="auto"/>
        </w:rPr>
        <w:t>完善部门、社会力量等协调联动机制。完善灾情管理和信息共享机制。建立事故灾害信息搜集报告制度，构建覆盖全区域、全层级、全过程的安全生产和自然灾害应急预案体系。加快消防救援体制改革，建立健全不同类型、不同层次的应急救援队伍，提升消防救援应急能力。进一步完善专业救援力量布局，在危险化学品、金属冶炼等重点领域，整合优化现有专业应急救援队伍职能，扩展增强对森林火灾、洪涝灾害、地震和地质灾害的应急处置能力，提升专业应急救援综合抢险救灾能力。加强应急救援综合保障能力建设。全面推进安全生产风险隐患双重预防体系建设。开展安全发展示范城县创建工作，打造城县安全管理品牌，提高城县安全风险管控能力。</w:t>
      </w:r>
    </w:p>
    <w:p w14:paraId="0D56F4FE">
      <w:pPr>
        <w:rPr>
          <w:rFonts w:ascii="仿宋" w:hAnsi="仿宋" w:cs="仿宋"/>
          <w:color w:val="auto"/>
        </w:rPr>
      </w:pPr>
      <w:r>
        <w:rPr>
          <w:rFonts w:hint="eastAsia" w:ascii="仿宋" w:hAnsi="仿宋" w:cs="仿宋"/>
          <w:color w:val="auto"/>
        </w:rPr>
        <w:t>到2025年，仁化县危险化学品生产经营储存企业、烟花爆竹批发企业、非煤矿山企业、建筑施工企业、金属冶炼企业、交通运输领域风险研判率达到100%。</w:t>
      </w:r>
    </w:p>
    <w:p w14:paraId="55789DAB">
      <w:pPr>
        <w:pStyle w:val="4"/>
        <w:spacing w:before="654" w:after="654"/>
        <w:rPr>
          <w:color w:val="auto"/>
        </w:rPr>
      </w:pPr>
      <w:bookmarkStart w:id="1150" w:name="_Toc30074"/>
      <w:bookmarkStart w:id="1151" w:name="_Toc1706"/>
      <w:bookmarkStart w:id="1152" w:name="_Toc25266"/>
      <w:bookmarkStart w:id="1153" w:name="_Toc20751"/>
      <w:bookmarkStart w:id="1154" w:name="_Toc27227"/>
      <w:bookmarkStart w:id="1155" w:name="_Toc19296"/>
      <w:bookmarkStart w:id="1156" w:name="_Toc14973"/>
      <w:bookmarkStart w:id="1157" w:name="_Toc21200"/>
      <w:bookmarkStart w:id="1158" w:name="_Toc5800"/>
      <w:bookmarkStart w:id="1159" w:name="_Toc12843"/>
      <w:bookmarkStart w:id="1160" w:name="_Toc21792"/>
      <w:bookmarkStart w:id="1161" w:name="_Toc12056"/>
      <w:bookmarkStart w:id="1162" w:name="_Toc30605"/>
      <w:bookmarkStart w:id="1163" w:name="_Toc16938"/>
      <w:bookmarkStart w:id="1164" w:name="_Toc29338"/>
      <w:bookmarkStart w:id="1165" w:name="_Toc13251"/>
      <w:bookmarkStart w:id="1166" w:name="_Toc17831"/>
      <w:r>
        <w:rPr>
          <w:rFonts w:hint="eastAsia"/>
          <w:color w:val="auto"/>
        </w:rPr>
        <w:t>加强和创新社会治理</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14:paraId="64DB203E">
      <w:pPr>
        <w:pStyle w:val="23"/>
        <w:widowControl/>
        <w:shd w:val="clear" w:color="auto" w:fill="FFFFFF"/>
        <w:rPr>
          <w:rFonts w:ascii="仿宋" w:hAnsi="仿宋" w:cs="仿宋"/>
          <w:color w:val="auto"/>
          <w:sz w:val="21"/>
          <w:szCs w:val="21"/>
        </w:rPr>
      </w:pPr>
      <w:r>
        <w:rPr>
          <w:rFonts w:hint="eastAsia" w:ascii="仿宋" w:hAnsi="仿宋" w:cs="仿宋"/>
          <w:color w:val="auto"/>
          <w:sz w:val="32"/>
          <w:szCs w:val="32"/>
          <w:shd w:val="clear" w:color="auto" w:fill="FFFFFF"/>
        </w:rPr>
        <w:t>全面落实依法治国方略，转变社会治理理念，创新社会治理模式，着力提高社会治理现代化水平，增强公共安全保障，筑牢安全底线，打造平安法治新仁化。</w:t>
      </w:r>
    </w:p>
    <w:p w14:paraId="0573E5AF">
      <w:pPr>
        <w:ind w:firstLine="643"/>
        <w:rPr>
          <w:rFonts w:ascii="仿宋" w:hAnsi="仿宋" w:cs="仿宋"/>
          <w:color w:val="auto"/>
        </w:rPr>
      </w:pPr>
      <w:bookmarkStart w:id="1167" w:name="_Toc14444"/>
      <w:bookmarkStart w:id="1168" w:name="_Toc17579"/>
      <w:r>
        <w:rPr>
          <w:rFonts w:hint="eastAsia" w:ascii="仿宋" w:hAnsi="仿宋" w:cs="仿宋"/>
          <w:b/>
          <w:bCs/>
          <w:color w:val="auto"/>
        </w:rPr>
        <w:t>进一步夯实基层治理基础</w:t>
      </w:r>
      <w:bookmarkEnd w:id="1167"/>
      <w:bookmarkEnd w:id="1168"/>
      <w:r>
        <w:rPr>
          <w:rFonts w:hint="eastAsia" w:ascii="仿宋" w:hAnsi="仿宋" w:cs="仿宋"/>
          <w:b/>
          <w:bCs/>
          <w:color w:val="auto"/>
        </w:rPr>
        <w:t>。</w:t>
      </w:r>
      <w:r>
        <w:rPr>
          <w:rFonts w:hint="eastAsia" w:ascii="仿宋" w:hAnsi="仿宋" w:cs="仿宋"/>
          <w:color w:val="auto"/>
        </w:rPr>
        <w:t>加强城乡社区治理，完善社区自治服务功能，提升基层社会治安综合治理能力，推进治理能力现代化。继续推进基层党建引领完善基层治理工作。稳步坚持源头治理，推进社会治理网格化服务管理标准化建设，优化网格设置、强化人员配备、加强资源配置，推动社会治理和服务重心向基层下移，深化“三社联动”改革，稳步推进标准化社区建设，推广建设数字化社区，提高社区便民服务能力，推进服务供给精细化，建立完善“网络+网格”基层治理模式，加强基层网格化服务管理中心建设，推进综治中心规范化建设，构建网格化管理、精细化服务、信息化支撑、开放共享的基层管理服务平台。深化街道社区管理体制改革，强化社区要素保障，加强村民自治组织和村务监督组织建设，健全村民自治机制，提升基层群众自治能力。完善宗教工作三级网络责任制，提升反邪防邪工作水平。完善矛盾多元调解机制，防范化解信访领域重大风险，营造和谐稳定的社会环境。</w:t>
      </w:r>
    </w:p>
    <w:p w14:paraId="234B5E5F">
      <w:pPr>
        <w:ind w:firstLine="643"/>
        <w:rPr>
          <w:rFonts w:ascii="仿宋" w:hAnsi="仿宋" w:cs="仿宋"/>
          <w:color w:val="auto"/>
        </w:rPr>
      </w:pPr>
      <w:bookmarkStart w:id="1169" w:name="_Toc14874"/>
      <w:bookmarkStart w:id="1170" w:name="_Toc26360"/>
      <w:r>
        <w:rPr>
          <w:rFonts w:hint="eastAsia" w:ascii="仿宋" w:hAnsi="仿宋" w:cs="仿宋"/>
          <w:b/>
          <w:bCs/>
          <w:color w:val="auto"/>
        </w:rPr>
        <w:t>广泛发动群众共同参与社会治理</w:t>
      </w:r>
      <w:bookmarkEnd w:id="1169"/>
      <w:bookmarkEnd w:id="1170"/>
      <w:r>
        <w:rPr>
          <w:rFonts w:hint="eastAsia" w:ascii="仿宋" w:hAnsi="仿宋" w:cs="仿宋"/>
          <w:b/>
          <w:bCs/>
          <w:color w:val="auto"/>
        </w:rPr>
        <w:t>。</w:t>
      </w:r>
      <w:r>
        <w:rPr>
          <w:rFonts w:hint="eastAsia" w:ascii="仿宋" w:hAnsi="仿宋" w:cs="仿宋"/>
          <w:color w:val="auto"/>
        </w:rPr>
        <w:t>健全党组织领导的自治、法治、德治相结合的城乡基层治理体系，提高基层居民组织化程度。完善基层民主协商制度，畅通和规范市场主体、新社会阶层、社会工作者和志愿者等参与社会治理的途径，实现政府治理同社会协调、居民自治良性互动，建设人人有责、人人尽责、人人享有的社会治理共同体。推动党的组织有效嵌入各类社会基层组织、党的工作有效覆盖各类社会群体，充分发挥党组织在社会治理中的引领作用，在各类社会组织中润物细无声地实现党的各项功能。</w:t>
      </w:r>
    </w:p>
    <w:p w14:paraId="1F8226D3">
      <w:pPr>
        <w:ind w:firstLine="643"/>
        <w:rPr>
          <w:rFonts w:ascii="仿宋" w:hAnsi="仿宋" w:cs="仿宋"/>
          <w:color w:val="auto"/>
        </w:rPr>
      </w:pPr>
      <w:bookmarkStart w:id="1171" w:name="_Toc20998"/>
      <w:bookmarkStart w:id="1172" w:name="_Toc3916"/>
      <w:r>
        <w:rPr>
          <w:rFonts w:hint="eastAsia" w:ascii="仿宋" w:hAnsi="仿宋" w:cs="仿宋"/>
          <w:b/>
          <w:bCs/>
          <w:color w:val="auto"/>
        </w:rPr>
        <w:t>提高社会治理智能化水平</w:t>
      </w:r>
      <w:bookmarkEnd w:id="1171"/>
      <w:bookmarkEnd w:id="1172"/>
      <w:r>
        <w:rPr>
          <w:rFonts w:hint="eastAsia" w:ascii="仿宋" w:hAnsi="仿宋" w:cs="仿宋"/>
          <w:color w:val="auto"/>
        </w:rPr>
        <w:t>。结合智慧城市建设，推动现有信息系统实现有效连通，接入设备协同运作，打破部门、企业、团体之间的数据孤岛，将智慧交通、智慧警务等系统融合打造成统一完善的社会治理信息平台，用好大数据、5G、人工智能等新技术，推动城市管理手段、管理模式、管理理念创新，带动社会治理体系的数字化升级。</w:t>
      </w:r>
    </w:p>
    <w:p w14:paraId="0B2D45B7">
      <w:pPr>
        <w:pStyle w:val="4"/>
        <w:spacing w:before="654" w:after="654"/>
        <w:rPr>
          <w:color w:val="auto"/>
        </w:rPr>
      </w:pPr>
      <w:bookmarkStart w:id="1173" w:name="_Toc8833"/>
      <w:bookmarkStart w:id="1174" w:name="_Toc10728"/>
      <w:bookmarkStart w:id="1175" w:name="_Toc2165"/>
      <w:bookmarkStart w:id="1176" w:name="_Toc28347"/>
      <w:bookmarkStart w:id="1177" w:name="_Toc12076"/>
      <w:bookmarkStart w:id="1178" w:name="_Toc25940"/>
      <w:bookmarkStart w:id="1179" w:name="_Toc566"/>
      <w:bookmarkStart w:id="1180" w:name="_Toc28843"/>
      <w:bookmarkStart w:id="1181" w:name="_Toc19401"/>
      <w:bookmarkStart w:id="1182" w:name="_Toc1821"/>
      <w:bookmarkStart w:id="1183" w:name="_Toc4866"/>
      <w:bookmarkStart w:id="1184" w:name="_Toc14136"/>
      <w:bookmarkStart w:id="1185" w:name="_Toc2086"/>
      <w:bookmarkStart w:id="1186" w:name="_Toc8815"/>
      <w:bookmarkStart w:id="1187" w:name="_Toc31032"/>
      <w:bookmarkStart w:id="1188" w:name="_Toc16774"/>
      <w:r>
        <w:rPr>
          <w:rFonts w:hint="eastAsia"/>
          <w:color w:val="auto"/>
        </w:rPr>
        <w:t>全力维护社会稳定和安全</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14:paraId="44E0ABBB">
      <w:pPr>
        <w:rPr>
          <w:rFonts w:ascii="仿宋" w:hAnsi="仿宋" w:cs="仿宋"/>
          <w:color w:val="auto"/>
        </w:rPr>
      </w:pPr>
      <w:r>
        <w:rPr>
          <w:rFonts w:hint="eastAsia" w:ascii="仿宋" w:hAnsi="仿宋" w:cs="仿宋"/>
          <w:color w:val="auto"/>
        </w:rPr>
        <w:t>正确处理新形势下人民内部矛盾，畅通和规范群众诉求表达、利益协调、权益保障渠道，加强立体化、智能化社会治安防控体系建设，保持社会和谐稳定。</w:t>
      </w:r>
    </w:p>
    <w:p w14:paraId="79C35988">
      <w:pPr>
        <w:ind w:firstLine="643"/>
        <w:rPr>
          <w:rFonts w:ascii="仿宋" w:hAnsi="仿宋" w:cs="仿宋"/>
          <w:color w:val="auto"/>
        </w:rPr>
      </w:pPr>
      <w:bookmarkStart w:id="1189" w:name="_Toc27218"/>
      <w:bookmarkStart w:id="1190" w:name="_Toc23662"/>
      <w:r>
        <w:rPr>
          <w:rFonts w:hint="eastAsia" w:ascii="仿宋" w:hAnsi="仿宋" w:cs="仿宋"/>
          <w:b/>
          <w:bCs/>
          <w:color w:val="auto"/>
        </w:rPr>
        <w:t>提升社会纠纷化解能力</w:t>
      </w:r>
      <w:bookmarkEnd w:id="1189"/>
      <w:bookmarkEnd w:id="1190"/>
      <w:r>
        <w:rPr>
          <w:rFonts w:hint="eastAsia" w:ascii="仿宋" w:hAnsi="仿宋" w:cs="仿宋"/>
          <w:color w:val="auto"/>
        </w:rPr>
        <w:t>。坚持和发展新时代“枫桥经验”，健全规范群众表达诉求、利益协调、权益保障机制。建立社会矛盾排查预警机制，健全完善矛盾纠纷多元调处化解机制，强化社会矛盾纠纷源头化解，构建源头防控、排查梳理、纠纷化解、应急处置的社会矛盾综合治理机制。推进基层综治中心规范化建设，落实群防群治。建设更高水平平安仁化，推进“雪亮”工程、“视联网”工程和智慧城市建设，构建立体化、智能化社会治安防控体系。建立常态化扫黑除恶机制，严厉打击和惩治违法犯罪活动，深化重大风险事件处置体系建设，保持社会和谐稳定。</w:t>
      </w:r>
    </w:p>
    <w:p w14:paraId="0616FF45">
      <w:pPr>
        <w:ind w:firstLine="643"/>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bookmarkStart w:id="1191" w:name="_Toc25879"/>
      <w:bookmarkStart w:id="1192" w:name="_Toc22359"/>
      <w:r>
        <w:rPr>
          <w:rFonts w:hint="eastAsia" w:ascii="仿宋" w:hAnsi="仿宋" w:cs="仿宋"/>
          <w:b/>
          <w:bCs/>
          <w:color w:val="auto"/>
        </w:rPr>
        <w:t>全面推动法治政府建设</w:t>
      </w:r>
      <w:bookmarkEnd w:id="1191"/>
      <w:bookmarkEnd w:id="1192"/>
      <w:r>
        <w:rPr>
          <w:rFonts w:hint="eastAsia" w:ascii="仿宋" w:hAnsi="仿宋" w:cs="仿宋"/>
          <w:b/>
          <w:bCs/>
          <w:color w:val="auto"/>
        </w:rPr>
        <w:t>。</w:t>
      </w:r>
      <w:r>
        <w:rPr>
          <w:rFonts w:hint="eastAsia" w:ascii="仿宋" w:hAnsi="仿宋" w:cs="仿宋"/>
          <w:color w:val="auto"/>
        </w:rPr>
        <w:t>提高依法行政能力，深入推进公共法律服务体系建设，加快建设法治仁化。依法优化政府职能，健全行政权力清单制度，完善重大行政决策公众参与、风险评估等依法科学民主决策机制。深化行政执法体制改革，推进机构、职能、权限、程序、责任法定化，严格规范公正文明执法，强化行政权力运行监督机制。建立完善执法跨部门、跨领域综合执法协作联动机制。规范行政执法主体，健全执法保障体系，严格落实行政执法人员培训考核，强化执法证件管理。常态化开展关系群众切身利益重点领域执法监管。加快建设覆盖城乡、便捷高效、均等普惠的公共法律服务平台，扩大法律援助范围，加大全民普法力度。深入开展“法律进乡村”活动，实施农村“法律明白人”培养工程，培育一批以村干部、人民调解员为重点的“法治带头人”。进一步深入“民主法治示范村（社区）”创建活动，大力开展群众性法治文化活动。</w:t>
      </w:r>
    </w:p>
    <w:p w14:paraId="6C0DECFC">
      <w:pPr>
        <w:pStyle w:val="3"/>
        <w:spacing w:before="218" w:after="218" w:line="240" w:lineRule="auto"/>
        <w:rPr>
          <w:color w:val="auto"/>
        </w:rPr>
      </w:pPr>
      <w:bookmarkStart w:id="1193" w:name="_Toc6238"/>
      <w:bookmarkStart w:id="1194" w:name="_Toc28084"/>
      <w:bookmarkStart w:id="1195" w:name="_Toc2589"/>
      <w:bookmarkStart w:id="1196" w:name="_Toc22964"/>
      <w:bookmarkStart w:id="1197" w:name="_Toc22635"/>
      <w:bookmarkStart w:id="1198" w:name="_Toc16827"/>
      <w:bookmarkStart w:id="1199" w:name="_Toc12845"/>
      <w:bookmarkStart w:id="1200" w:name="_Toc17574"/>
      <w:bookmarkStart w:id="1201" w:name="_Toc29265"/>
      <w:bookmarkStart w:id="1202" w:name="_Toc27337"/>
      <w:bookmarkStart w:id="1203" w:name="_Toc7308"/>
      <w:bookmarkStart w:id="1204" w:name="_Toc1850"/>
      <w:bookmarkStart w:id="1205" w:name="_Toc15720"/>
      <w:bookmarkStart w:id="1206" w:name="_Toc18130"/>
      <w:bookmarkStart w:id="1207" w:name="_Toc12190"/>
      <w:bookmarkStart w:id="1208" w:name="_Toc13456"/>
      <w:bookmarkStart w:id="1209" w:name="_Toc9434"/>
      <w:bookmarkStart w:id="1210" w:name="_Toc30672"/>
      <w:r>
        <w:rPr>
          <w:rFonts w:hint="eastAsia"/>
          <w:color w:val="auto"/>
        </w:rPr>
        <w:t>实施五大工程，为高质量发展提供重大项目</w:t>
      </w:r>
    </w:p>
    <w:p w14:paraId="7EB60475">
      <w:pPr>
        <w:pStyle w:val="3"/>
        <w:numPr>
          <w:ilvl w:val="0"/>
          <w:numId w:val="0"/>
        </w:numPr>
        <w:spacing w:before="218" w:after="218" w:line="240" w:lineRule="auto"/>
        <w:rPr>
          <w:color w:val="auto"/>
        </w:rPr>
      </w:pPr>
      <w:r>
        <w:rPr>
          <w:rFonts w:hint="eastAsia"/>
          <w:color w:val="auto"/>
        </w:rPr>
        <w:t>支撑</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0C97196C">
      <w:pPr>
        <w:rPr>
          <w:rFonts w:ascii="仿宋" w:hAnsi="仿宋" w:cs="仿宋"/>
          <w:color w:val="auto"/>
        </w:rPr>
      </w:pPr>
      <w:r>
        <w:rPr>
          <w:rFonts w:hint="eastAsia" w:ascii="仿宋" w:hAnsi="仿宋" w:cs="仿宋"/>
          <w:color w:val="auto"/>
        </w:rPr>
        <w:t>围绕交通运输领域、旅游发展领域、产业工程领域、农业农村领域、公共基础设施等五个领域，“十四五”期间重大项目规划共13</w:t>
      </w:r>
      <w:r>
        <w:rPr>
          <w:rFonts w:hint="eastAsia" w:ascii="仿宋" w:hAnsi="仿宋" w:cs="仿宋"/>
          <w:color w:val="auto"/>
          <w:lang w:val="en-US" w:eastAsia="zh-CN"/>
        </w:rPr>
        <w:t>1</w:t>
      </w:r>
      <w:r>
        <w:rPr>
          <w:rFonts w:hint="eastAsia" w:ascii="仿宋" w:hAnsi="仿宋" w:cs="仿宋"/>
          <w:color w:val="auto"/>
        </w:rPr>
        <w:t>项，总投资51</w:t>
      </w:r>
      <w:r>
        <w:rPr>
          <w:rFonts w:hint="eastAsia" w:ascii="仿宋" w:hAnsi="仿宋" w:cs="仿宋"/>
          <w:color w:val="auto"/>
          <w:lang w:val="en-US" w:eastAsia="zh-CN"/>
        </w:rPr>
        <w:t>6</w:t>
      </w:r>
      <w:r>
        <w:rPr>
          <w:rFonts w:hint="eastAsia" w:ascii="仿宋" w:hAnsi="仿宋" w:cs="仿宋"/>
          <w:color w:val="auto"/>
        </w:rPr>
        <w:t>亿元，“十四五”期间投资37</w:t>
      </w:r>
      <w:r>
        <w:rPr>
          <w:rFonts w:hint="eastAsia" w:ascii="仿宋" w:hAnsi="仿宋" w:cs="仿宋"/>
          <w:color w:val="auto"/>
          <w:lang w:val="en-US" w:eastAsia="zh-CN"/>
        </w:rPr>
        <w:t>6</w:t>
      </w:r>
      <w:r>
        <w:rPr>
          <w:rFonts w:hint="eastAsia" w:ascii="仿宋" w:hAnsi="仿宋" w:cs="仿宋"/>
          <w:color w:val="auto"/>
        </w:rPr>
        <w:t>亿元。项目建设用地总规模248</w:t>
      </w:r>
      <w:r>
        <w:rPr>
          <w:rFonts w:hint="eastAsia" w:ascii="仿宋" w:hAnsi="仿宋" w:cs="仿宋"/>
          <w:color w:val="auto"/>
          <w:lang w:val="en-US" w:eastAsia="zh-CN"/>
        </w:rPr>
        <w:t>93</w:t>
      </w:r>
      <w:r>
        <w:rPr>
          <w:rFonts w:hint="eastAsia" w:ascii="仿宋" w:hAnsi="仿宋" w:cs="仿宋"/>
          <w:color w:val="auto"/>
        </w:rPr>
        <w:t>亩，“十四五”期间新增建设用地11</w:t>
      </w:r>
      <w:r>
        <w:rPr>
          <w:rFonts w:hint="eastAsia" w:ascii="仿宋" w:hAnsi="仿宋" w:cs="仿宋"/>
          <w:color w:val="auto"/>
          <w:lang w:val="en-US" w:eastAsia="zh-CN"/>
        </w:rPr>
        <w:t>207</w:t>
      </w:r>
      <w:r>
        <w:rPr>
          <w:rFonts w:hint="eastAsia" w:ascii="仿宋" w:hAnsi="仿宋" w:cs="仿宋"/>
          <w:color w:val="auto"/>
        </w:rPr>
        <w:t>亩。仁化县重大平台及重大项目分布图见图14-1。</w:t>
      </w:r>
    </w:p>
    <w:p w14:paraId="38FA1001">
      <w:pPr>
        <w:pStyle w:val="2"/>
        <w:ind w:firstLine="0" w:firstLineChars="0"/>
        <w:rPr>
          <w:rFonts w:ascii="仿宋" w:hAnsi="仿宋" w:cs="仿宋"/>
          <w:color w:val="auto"/>
        </w:rPr>
      </w:pPr>
      <w:r>
        <w:rPr>
          <w:rFonts w:hint="eastAsia" w:ascii="仿宋" w:hAnsi="仿宋" w:cs="仿宋"/>
          <w:color w:val="auto"/>
        </w:rPr>
        <w:drawing>
          <wp:inline distT="0" distB="0" distL="114300" distR="114300">
            <wp:extent cx="5272405" cy="8047355"/>
            <wp:effectExtent l="0" t="0" r="4445" b="10795"/>
            <wp:docPr id="2" name="图片 2" descr="1610863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0863946(1)"/>
                    <pic:cNvPicPr>
                      <a:picLocks noChangeAspect="1"/>
                    </pic:cNvPicPr>
                  </pic:nvPicPr>
                  <pic:blipFill>
                    <a:blip r:embed="rId19" cstate="print"/>
                    <a:stretch>
                      <a:fillRect/>
                    </a:stretch>
                  </pic:blipFill>
                  <pic:spPr>
                    <a:xfrm>
                      <a:off x="0" y="0"/>
                      <a:ext cx="5272405" cy="8047355"/>
                    </a:xfrm>
                    <a:prstGeom prst="rect">
                      <a:avLst/>
                    </a:prstGeom>
                  </pic:spPr>
                </pic:pic>
              </a:graphicData>
            </a:graphic>
          </wp:inline>
        </w:drawing>
      </w:r>
    </w:p>
    <w:p w14:paraId="559BDCCD">
      <w:pPr>
        <w:pStyle w:val="74"/>
        <w:ind w:firstLine="562"/>
        <w:rPr>
          <w:rFonts w:ascii="仿宋" w:hAnsi="仿宋" w:cs="仿宋"/>
          <w:color w:val="auto"/>
        </w:rPr>
      </w:pPr>
      <w:r>
        <w:rPr>
          <w:rFonts w:hint="eastAsia" w:ascii="仿宋" w:hAnsi="仿宋" w:cs="仿宋"/>
          <w:color w:val="auto"/>
        </w:rPr>
        <w:t>图14-1仁化县重大平台及重大项目分布图</w:t>
      </w:r>
    </w:p>
    <w:p w14:paraId="33C86BBF">
      <w:pPr>
        <w:pStyle w:val="2"/>
        <w:ind w:firstLine="0" w:firstLineChars="0"/>
        <w:rPr>
          <w:rFonts w:ascii="仿宋" w:hAnsi="仿宋" w:cs="仿宋"/>
          <w:color w:val="auto"/>
        </w:rPr>
      </w:pPr>
    </w:p>
    <w:p w14:paraId="7C594013">
      <w:pPr>
        <w:pStyle w:val="4"/>
        <w:spacing w:before="654" w:after="654"/>
        <w:rPr>
          <w:color w:val="auto"/>
        </w:rPr>
      </w:pPr>
      <w:bookmarkStart w:id="1211" w:name="_Toc27483"/>
      <w:bookmarkStart w:id="1212" w:name="_Toc15826"/>
      <w:bookmarkStart w:id="1213" w:name="_Toc21371"/>
      <w:bookmarkStart w:id="1214" w:name="_Toc16805"/>
      <w:bookmarkStart w:id="1215" w:name="_Toc21629"/>
      <w:bookmarkStart w:id="1216" w:name="_Toc17710"/>
      <w:bookmarkStart w:id="1217" w:name="_Toc1981"/>
      <w:bookmarkStart w:id="1218" w:name="_Toc11604"/>
      <w:bookmarkStart w:id="1219" w:name="_Toc25656"/>
      <w:bookmarkStart w:id="1220" w:name="_Toc29642"/>
      <w:bookmarkStart w:id="1221" w:name="_Toc30187"/>
      <w:bookmarkStart w:id="1222" w:name="_Toc9426"/>
      <w:bookmarkStart w:id="1223" w:name="_Toc23233"/>
      <w:bookmarkStart w:id="1224" w:name="_Toc24323"/>
      <w:bookmarkStart w:id="1225" w:name="_Toc2827"/>
      <w:bookmarkStart w:id="1226" w:name="_Toc19318"/>
      <w:r>
        <w:rPr>
          <w:rFonts w:hint="eastAsia"/>
          <w:color w:val="auto"/>
        </w:rPr>
        <w:t>交通运输领域</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p>
    <w:p w14:paraId="540F14A6">
      <w:pPr>
        <w:rPr>
          <w:rFonts w:ascii="仿宋" w:hAnsi="仿宋" w:cs="仿宋"/>
          <w:color w:val="auto"/>
        </w:rPr>
      </w:pPr>
      <w:r>
        <w:rPr>
          <w:rFonts w:hint="eastAsia" w:ascii="仿宋" w:hAnsi="仿宋" w:cs="仿宋"/>
          <w:color w:val="auto"/>
        </w:rPr>
        <w:t>总投资76.87亿元，“十四五”期间投资59.97亿元。项目建设用地总规模970亩，“十四五”期间新增建设用地830亩。规划建设韶关市雄乐高速公路乐昌长来至仁化段、国道G323线韶赣高速丹霞山出口至小观园段道路升级工程、G106丹霞山出口至周田道路升级工程等30个项目，其中新建道路工程17项，改建工程12项，续建工程1项。</w:t>
      </w:r>
    </w:p>
    <w:p w14:paraId="1F764D0A">
      <w:pPr>
        <w:pStyle w:val="4"/>
        <w:spacing w:before="654" w:after="654"/>
        <w:rPr>
          <w:color w:val="auto"/>
        </w:rPr>
      </w:pPr>
      <w:bookmarkStart w:id="1227" w:name="_Toc7555"/>
      <w:bookmarkStart w:id="1228" w:name="_Toc21078"/>
      <w:bookmarkStart w:id="1229" w:name="_Toc31297"/>
      <w:bookmarkStart w:id="1230" w:name="_Toc17883"/>
      <w:bookmarkStart w:id="1231" w:name="_Toc16420"/>
      <w:bookmarkStart w:id="1232" w:name="_Toc19461"/>
      <w:bookmarkStart w:id="1233" w:name="_Toc24942"/>
      <w:bookmarkStart w:id="1234" w:name="_Toc23258"/>
      <w:bookmarkStart w:id="1235" w:name="_Toc14965"/>
      <w:bookmarkStart w:id="1236" w:name="_Toc14468"/>
      <w:bookmarkStart w:id="1237" w:name="_Toc10"/>
      <w:bookmarkStart w:id="1238" w:name="_Toc15210"/>
      <w:bookmarkStart w:id="1239" w:name="_Toc5428"/>
      <w:bookmarkStart w:id="1240" w:name="_Toc11189"/>
      <w:bookmarkStart w:id="1241" w:name="_Toc31489"/>
      <w:bookmarkStart w:id="1242" w:name="_Toc4641"/>
      <w:r>
        <w:rPr>
          <w:rFonts w:hint="eastAsia"/>
          <w:color w:val="auto"/>
        </w:rPr>
        <w:t>旅游发展领域</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14:paraId="6203DA10">
      <w:pPr>
        <w:rPr>
          <w:rFonts w:ascii="仿宋" w:hAnsi="仿宋" w:cs="仿宋"/>
          <w:color w:val="auto"/>
        </w:rPr>
      </w:pPr>
      <w:r>
        <w:rPr>
          <w:rFonts w:hint="eastAsia" w:ascii="仿宋" w:hAnsi="仿宋" w:cs="仿宋"/>
          <w:color w:val="auto"/>
        </w:rPr>
        <w:t>总投资158.14亿元，“十四五”期间投资99.</w:t>
      </w:r>
      <w:r>
        <w:rPr>
          <w:rFonts w:hint="eastAsia" w:ascii="仿宋" w:hAnsi="仿宋" w:cs="仿宋"/>
          <w:color w:val="auto"/>
          <w:lang w:val="en-US" w:eastAsia="zh-CN"/>
        </w:rPr>
        <w:t>7</w:t>
      </w:r>
      <w:r>
        <w:rPr>
          <w:rFonts w:hint="eastAsia" w:ascii="仿宋" w:hAnsi="仿宋" w:cs="仿宋"/>
          <w:color w:val="auto"/>
        </w:rPr>
        <w:t>8亿元。项目建设用地总规模12174亩，“十四五”期间新增建设用地2019亩。规划建设仁化县城口红色特色小镇、南岭国家公园丹霞山片区、仁化县周田镇葫芦山桫椤谷项目、丹霞山度假酒店项目等11个项目，其中新建项目4项，续建项目7项。</w:t>
      </w:r>
    </w:p>
    <w:p w14:paraId="7342204F">
      <w:pPr>
        <w:pStyle w:val="4"/>
        <w:spacing w:before="654" w:after="654"/>
        <w:rPr>
          <w:color w:val="auto"/>
        </w:rPr>
      </w:pPr>
      <w:bookmarkStart w:id="1243" w:name="_Toc32725"/>
      <w:bookmarkStart w:id="1244" w:name="_Toc30920"/>
      <w:bookmarkStart w:id="1245" w:name="_Toc10894"/>
      <w:bookmarkStart w:id="1246" w:name="_Toc4226"/>
      <w:bookmarkStart w:id="1247" w:name="_Toc15528"/>
      <w:bookmarkStart w:id="1248" w:name="_Toc10559"/>
      <w:bookmarkStart w:id="1249" w:name="_Toc32648"/>
      <w:bookmarkStart w:id="1250" w:name="_Toc15546"/>
      <w:bookmarkStart w:id="1251" w:name="_Toc20164"/>
      <w:bookmarkStart w:id="1252" w:name="_Toc12286"/>
      <w:bookmarkStart w:id="1253" w:name="_Toc4456"/>
      <w:bookmarkStart w:id="1254" w:name="_Toc17971"/>
      <w:bookmarkStart w:id="1255" w:name="_Toc19343"/>
      <w:bookmarkStart w:id="1256" w:name="_Toc22742"/>
      <w:bookmarkStart w:id="1257" w:name="_Toc735"/>
      <w:bookmarkStart w:id="1258" w:name="_Toc30301"/>
      <w:r>
        <w:rPr>
          <w:rFonts w:hint="eastAsia"/>
          <w:color w:val="auto"/>
        </w:rPr>
        <w:t>产业工程领域</w:t>
      </w:r>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14:paraId="685A1779">
      <w:pPr>
        <w:rPr>
          <w:rFonts w:ascii="仿宋" w:hAnsi="仿宋" w:cs="仿宋"/>
          <w:color w:val="auto"/>
        </w:rPr>
      </w:pPr>
      <w:r>
        <w:rPr>
          <w:rFonts w:hint="eastAsia" w:ascii="仿宋" w:hAnsi="仿宋" w:cs="仿宋"/>
          <w:color w:val="auto"/>
        </w:rPr>
        <w:t>总投资179.04亿元，“十四五”期间投资134.16亿元。项目建设用地总规模6498亩，“十四五”期间新增建设用地3672亩。规划建设仁化县产业园区基础设施建设项目、中金岭南丹霞冶炼厂炼锌渣绿色化升级改造工程、中金岭南绿色冶炼升级改造项目、凡口铅锌银资源综合开发利用回收Ⅱ期工程、年产400万千伏安时铅酸蓄电池项目、仁化县华粤煤矸石电力有限公司新开工项目、韶关保绿环保科技股份有限公司25万吨/年危险废物综合利用项目等23个项目，其中新建项目18项，续建项目5项。</w:t>
      </w:r>
    </w:p>
    <w:p w14:paraId="0CD96321">
      <w:pPr>
        <w:pStyle w:val="4"/>
        <w:spacing w:before="654" w:after="654"/>
        <w:rPr>
          <w:color w:val="auto"/>
        </w:rPr>
      </w:pPr>
      <w:bookmarkStart w:id="1259" w:name="_Toc716"/>
      <w:bookmarkStart w:id="1260" w:name="_Toc29033"/>
      <w:bookmarkStart w:id="1261" w:name="_Toc9579"/>
      <w:bookmarkStart w:id="1262" w:name="_Toc14814"/>
      <w:bookmarkStart w:id="1263" w:name="_Toc29407"/>
      <w:bookmarkStart w:id="1264" w:name="_Toc9023"/>
      <w:bookmarkStart w:id="1265" w:name="_Toc21795"/>
      <w:bookmarkStart w:id="1266" w:name="_Toc20505"/>
      <w:bookmarkStart w:id="1267" w:name="_Toc29293"/>
      <w:bookmarkStart w:id="1268" w:name="_Toc29664"/>
      <w:bookmarkStart w:id="1269" w:name="_Toc15872"/>
      <w:bookmarkStart w:id="1270" w:name="_Toc4633"/>
      <w:bookmarkStart w:id="1271" w:name="_Toc13248"/>
      <w:bookmarkStart w:id="1272" w:name="_Toc24445"/>
      <w:bookmarkStart w:id="1273" w:name="_Toc20520"/>
      <w:bookmarkStart w:id="1274" w:name="_Toc18794"/>
      <w:r>
        <w:rPr>
          <w:rFonts w:hint="eastAsia"/>
          <w:color w:val="auto"/>
        </w:rPr>
        <w:t>农业农村领域</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p>
    <w:p w14:paraId="766FBC0B">
      <w:pPr>
        <w:rPr>
          <w:rFonts w:ascii="仿宋" w:hAnsi="仿宋" w:cs="仿宋"/>
          <w:color w:val="auto"/>
        </w:rPr>
      </w:pPr>
      <w:r>
        <w:rPr>
          <w:rFonts w:hint="eastAsia" w:ascii="仿宋" w:hAnsi="仿宋" w:cs="仿宋"/>
          <w:color w:val="auto"/>
          <w:szCs w:val="32"/>
        </w:rPr>
        <w:t>总投资</w:t>
      </w:r>
      <w:r>
        <w:rPr>
          <w:rFonts w:hint="eastAsia" w:ascii="仿宋" w:hAnsi="仿宋" w:cs="仿宋"/>
          <w:color w:val="auto"/>
          <w:szCs w:val="32"/>
          <w:lang w:val="en-US" w:eastAsia="zh-CN"/>
        </w:rPr>
        <w:t>42.40</w:t>
      </w:r>
      <w:r>
        <w:rPr>
          <w:rFonts w:hint="eastAsia" w:ascii="仿宋" w:hAnsi="仿宋" w:cs="仿宋"/>
          <w:color w:val="auto"/>
          <w:szCs w:val="32"/>
        </w:rPr>
        <w:t>亿元，“十四五”期间投资4</w:t>
      </w:r>
      <w:r>
        <w:rPr>
          <w:rFonts w:hint="eastAsia" w:ascii="仿宋" w:hAnsi="仿宋" w:cs="仿宋"/>
          <w:color w:val="auto"/>
          <w:szCs w:val="32"/>
          <w:lang w:val="en-US" w:eastAsia="zh-CN"/>
        </w:rPr>
        <w:t>0</w:t>
      </w:r>
      <w:r>
        <w:rPr>
          <w:rFonts w:hint="eastAsia" w:ascii="仿宋" w:hAnsi="仿宋" w:cs="仿宋"/>
          <w:color w:val="auto"/>
          <w:szCs w:val="32"/>
        </w:rPr>
        <w:t>.</w:t>
      </w:r>
      <w:r>
        <w:rPr>
          <w:rFonts w:hint="eastAsia" w:ascii="仿宋" w:hAnsi="仿宋" w:cs="仿宋"/>
          <w:color w:val="auto"/>
          <w:szCs w:val="32"/>
          <w:lang w:val="en-US" w:eastAsia="zh-CN"/>
        </w:rPr>
        <w:t>19</w:t>
      </w:r>
      <w:r>
        <w:rPr>
          <w:rFonts w:hint="eastAsia" w:ascii="仿宋" w:hAnsi="仿宋" w:cs="仿宋"/>
          <w:color w:val="auto"/>
          <w:szCs w:val="32"/>
        </w:rPr>
        <w:t>亿元，</w:t>
      </w:r>
      <w:r>
        <w:rPr>
          <w:rFonts w:hint="eastAsia" w:ascii="仿宋" w:hAnsi="仿宋" w:cs="仿宋"/>
          <w:color w:val="auto"/>
        </w:rPr>
        <w:t>项目建设用地总规模4341亩，“十四五”期间新增建设用地4304亩。规划建设仁化县国家现代农业示范区大型农产品批发市场建设项目、仁化县农产品基地田头冷藏保鲜冷库群建设、仁化县“北柑南柚”农旅一体化项目、闻韶一体化现代生猪产业园建设项目、粤港澳大湾区“菜篮子”供应基地及蔬菜休闲农旅产业园项目、仁化县农村人居环境整治建设生态宜居美丽乡村项目、仁化县农作物病虫害的监测预警系统及绿色生态防控技术推广应用项目等2</w:t>
      </w:r>
      <w:r>
        <w:rPr>
          <w:rFonts w:hint="eastAsia" w:ascii="仿宋" w:hAnsi="仿宋" w:cs="仿宋"/>
          <w:color w:val="auto"/>
          <w:lang w:val="en-US" w:eastAsia="zh-CN"/>
        </w:rPr>
        <w:t>5</w:t>
      </w:r>
      <w:r>
        <w:rPr>
          <w:rFonts w:hint="eastAsia" w:ascii="仿宋" w:hAnsi="仿宋" w:cs="仿宋"/>
          <w:color w:val="auto"/>
        </w:rPr>
        <w:t>个项目，其中新建工程</w:t>
      </w:r>
      <w:r>
        <w:rPr>
          <w:rFonts w:hint="eastAsia" w:ascii="仿宋" w:hAnsi="仿宋" w:cs="仿宋"/>
          <w:color w:val="auto"/>
          <w:lang w:val="en-US" w:eastAsia="zh-CN"/>
        </w:rPr>
        <w:t>18</w:t>
      </w:r>
      <w:r>
        <w:rPr>
          <w:rFonts w:hint="eastAsia" w:ascii="仿宋" w:hAnsi="仿宋" w:cs="仿宋"/>
          <w:color w:val="auto"/>
        </w:rPr>
        <w:t>项，续建工程</w:t>
      </w:r>
      <w:r>
        <w:rPr>
          <w:rFonts w:hint="eastAsia" w:ascii="仿宋" w:hAnsi="仿宋" w:cs="仿宋"/>
          <w:color w:val="auto"/>
          <w:lang w:val="en-US" w:eastAsia="zh-CN"/>
        </w:rPr>
        <w:t>7</w:t>
      </w:r>
      <w:r>
        <w:rPr>
          <w:rFonts w:hint="eastAsia" w:ascii="仿宋" w:hAnsi="仿宋" w:cs="仿宋"/>
          <w:color w:val="auto"/>
        </w:rPr>
        <w:t>项。</w:t>
      </w:r>
    </w:p>
    <w:p w14:paraId="005115FE">
      <w:pPr>
        <w:pStyle w:val="4"/>
        <w:spacing w:before="654" w:after="654"/>
        <w:rPr>
          <w:color w:val="auto"/>
        </w:rPr>
      </w:pPr>
      <w:bookmarkStart w:id="1275" w:name="_Toc3330"/>
      <w:bookmarkStart w:id="1276" w:name="_Toc25649"/>
      <w:bookmarkStart w:id="1277" w:name="_Toc5064"/>
      <w:bookmarkStart w:id="1278" w:name="_Toc21916"/>
      <w:bookmarkStart w:id="1279" w:name="_Toc12356"/>
      <w:bookmarkStart w:id="1280" w:name="_Toc27847"/>
      <w:bookmarkStart w:id="1281" w:name="_Toc1529"/>
      <w:bookmarkStart w:id="1282" w:name="_Toc12429"/>
      <w:bookmarkStart w:id="1283" w:name="_Toc29624"/>
      <w:bookmarkStart w:id="1284" w:name="_Toc16749"/>
      <w:bookmarkStart w:id="1285" w:name="_Toc18145"/>
      <w:bookmarkStart w:id="1286" w:name="_Toc15058"/>
      <w:bookmarkStart w:id="1287" w:name="_Toc18564"/>
      <w:bookmarkStart w:id="1288" w:name="_Toc6834"/>
      <w:bookmarkStart w:id="1289" w:name="_Toc31741"/>
      <w:bookmarkStart w:id="1290" w:name="_Toc14492"/>
      <w:r>
        <w:rPr>
          <w:rFonts w:hint="eastAsia"/>
          <w:color w:val="auto"/>
        </w:rPr>
        <w:t>公共基础设施</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14:paraId="2B956716">
      <w:pPr>
        <w:rPr>
          <w:rFonts w:ascii="仿宋" w:hAnsi="仿宋" w:cs="仿宋"/>
          <w:color w:val="auto"/>
        </w:rPr>
        <w:sectPr>
          <w:pgSz w:w="11906" w:h="16838"/>
          <w:pgMar w:top="1440" w:right="1474" w:bottom="1440" w:left="1587" w:header="851" w:footer="992" w:gutter="0"/>
          <w:pgNumType w:fmt="numberInDash"/>
          <w:cols w:space="0" w:num="1"/>
          <w:docGrid w:type="lines" w:linePitch="436" w:charSpace="0"/>
        </w:sectPr>
      </w:pPr>
      <w:r>
        <w:rPr>
          <w:rFonts w:hint="eastAsia" w:ascii="仿宋" w:hAnsi="仿宋" w:cs="仿宋"/>
          <w:color w:val="auto"/>
        </w:rPr>
        <w:t>总投资</w:t>
      </w:r>
      <w:r>
        <w:rPr>
          <w:rFonts w:hint="eastAsia" w:ascii="仿宋" w:hAnsi="仿宋" w:cs="仿宋"/>
          <w:color w:val="auto"/>
          <w:lang w:val="en-US" w:eastAsia="zh-CN"/>
        </w:rPr>
        <w:t>59.69</w:t>
      </w:r>
      <w:r>
        <w:rPr>
          <w:rFonts w:hint="eastAsia" w:ascii="仿宋" w:hAnsi="仿宋" w:cs="仿宋"/>
          <w:color w:val="auto"/>
        </w:rPr>
        <w:t>亿元，“十四五”期间投资4</w:t>
      </w:r>
      <w:r>
        <w:rPr>
          <w:rFonts w:hint="eastAsia" w:ascii="仿宋" w:hAnsi="仿宋" w:cs="仿宋"/>
          <w:color w:val="auto"/>
          <w:lang w:val="en-US" w:eastAsia="zh-CN"/>
        </w:rPr>
        <w:t>2.37</w:t>
      </w:r>
      <w:r>
        <w:rPr>
          <w:rFonts w:hint="eastAsia" w:ascii="仿宋" w:hAnsi="仿宋" w:cs="仿宋"/>
          <w:color w:val="auto"/>
        </w:rPr>
        <w:t>亿元。项目建设用地总规模</w:t>
      </w:r>
      <w:r>
        <w:rPr>
          <w:rFonts w:hint="eastAsia" w:ascii="仿宋" w:hAnsi="仿宋" w:cs="仿宋"/>
          <w:color w:val="auto"/>
          <w:lang w:val="en-US" w:eastAsia="zh-CN"/>
        </w:rPr>
        <w:t>909</w:t>
      </w:r>
      <w:r>
        <w:rPr>
          <w:rFonts w:hint="eastAsia" w:ascii="仿宋" w:hAnsi="仿宋" w:cs="仿宋"/>
          <w:color w:val="auto"/>
        </w:rPr>
        <w:t>.25亩，“十四五”期间新增建设用地3</w:t>
      </w:r>
      <w:r>
        <w:rPr>
          <w:rFonts w:hint="eastAsia" w:ascii="仿宋" w:hAnsi="仿宋" w:cs="仿宋"/>
          <w:color w:val="auto"/>
          <w:lang w:val="en-US" w:eastAsia="zh-CN"/>
        </w:rPr>
        <w:t>8</w:t>
      </w:r>
      <w:r>
        <w:rPr>
          <w:rFonts w:hint="eastAsia" w:ascii="仿宋" w:hAnsi="仿宋" w:cs="仿宋"/>
          <w:color w:val="auto"/>
        </w:rPr>
        <w:t>1.75亩。规划建设仁化县辖区内加油站、董塘新城建设项目、仁化县市政基础设施建设项目、新建新城学校项目、仁化县义务教育学校基础建设项目、仁化县文化旅游体育基础设施建设项目、韶关仁化供电局“十四五规划”10kV及以下电网建设项目等4</w:t>
      </w:r>
      <w:r>
        <w:rPr>
          <w:rFonts w:hint="eastAsia" w:ascii="仿宋" w:hAnsi="仿宋" w:cs="仿宋"/>
          <w:color w:val="auto"/>
          <w:lang w:val="en-US" w:eastAsia="zh-CN"/>
        </w:rPr>
        <w:t>1</w:t>
      </w:r>
      <w:r>
        <w:rPr>
          <w:rFonts w:hint="eastAsia" w:ascii="仿宋" w:hAnsi="仿宋" w:cs="仿宋"/>
          <w:color w:val="auto"/>
        </w:rPr>
        <w:t>个项目，其中新建项目</w:t>
      </w:r>
      <w:r>
        <w:rPr>
          <w:rFonts w:hint="eastAsia" w:ascii="仿宋" w:hAnsi="仿宋" w:cs="仿宋"/>
          <w:color w:val="auto"/>
          <w:lang w:val="en-US" w:eastAsia="zh-CN"/>
        </w:rPr>
        <w:t>35</w:t>
      </w:r>
      <w:r>
        <w:rPr>
          <w:rFonts w:hint="eastAsia" w:ascii="仿宋" w:hAnsi="仿宋" w:cs="仿宋"/>
          <w:color w:val="auto"/>
        </w:rPr>
        <w:t>项，续建</w:t>
      </w:r>
      <w:r>
        <w:rPr>
          <w:rFonts w:hint="eastAsia" w:ascii="仿宋" w:hAnsi="仿宋" w:cs="仿宋"/>
          <w:color w:val="auto"/>
          <w:lang w:val="en-US" w:eastAsia="zh-CN"/>
        </w:rPr>
        <w:t>6</w:t>
      </w:r>
      <w:r>
        <w:rPr>
          <w:rFonts w:hint="eastAsia" w:ascii="仿宋" w:hAnsi="仿宋" w:cs="仿宋"/>
          <w:color w:val="auto"/>
        </w:rPr>
        <w:t>项。</w:t>
      </w:r>
    </w:p>
    <w:p w14:paraId="3A7B41E2">
      <w:pPr>
        <w:pStyle w:val="3"/>
        <w:spacing w:before="218" w:after="218"/>
        <w:rPr>
          <w:color w:val="auto"/>
        </w:rPr>
      </w:pPr>
      <w:bookmarkStart w:id="1291" w:name="_Toc29786"/>
      <w:bookmarkStart w:id="1292" w:name="_Toc6836"/>
      <w:bookmarkStart w:id="1293" w:name="_Toc16902"/>
      <w:bookmarkStart w:id="1294" w:name="_Toc29875"/>
      <w:bookmarkStart w:id="1295" w:name="_Toc31885"/>
      <w:bookmarkStart w:id="1296" w:name="_Toc24701"/>
      <w:bookmarkStart w:id="1297" w:name="_Toc6906"/>
      <w:bookmarkStart w:id="1298" w:name="_Toc26649"/>
      <w:bookmarkStart w:id="1299" w:name="_Toc22259"/>
      <w:bookmarkStart w:id="1300" w:name="_Toc1927"/>
      <w:bookmarkStart w:id="1301" w:name="_Toc2328"/>
      <w:bookmarkStart w:id="1302" w:name="_Toc1044"/>
      <w:bookmarkStart w:id="1303" w:name="_Toc22852"/>
      <w:bookmarkStart w:id="1304" w:name="_Toc17207"/>
      <w:bookmarkStart w:id="1305" w:name="_Toc8654"/>
      <w:bookmarkStart w:id="1306" w:name="_Toc16072"/>
      <w:r>
        <w:rPr>
          <w:rFonts w:hint="eastAsia"/>
          <w:color w:val="auto"/>
        </w:rPr>
        <w:t>保障措施</w:t>
      </w:r>
      <w:bookmarkEnd w:id="1209"/>
      <w:bookmarkEnd w:id="121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p w14:paraId="45A5281B">
      <w:pPr>
        <w:pStyle w:val="4"/>
        <w:spacing w:before="654" w:after="654"/>
        <w:rPr>
          <w:color w:val="auto"/>
        </w:rPr>
      </w:pPr>
      <w:bookmarkStart w:id="1307" w:name="_Toc14690"/>
      <w:bookmarkStart w:id="1308" w:name="_Toc31901"/>
      <w:bookmarkStart w:id="1309" w:name="_Toc28964"/>
      <w:bookmarkStart w:id="1310" w:name="_Toc20011"/>
      <w:bookmarkStart w:id="1311" w:name="_Toc12027"/>
      <w:bookmarkStart w:id="1312" w:name="_Toc9448"/>
      <w:bookmarkStart w:id="1313" w:name="_Toc17951"/>
      <w:bookmarkStart w:id="1314" w:name="_Toc13411"/>
      <w:bookmarkStart w:id="1315" w:name="_Toc14701"/>
      <w:bookmarkStart w:id="1316" w:name="_Toc11612"/>
      <w:bookmarkStart w:id="1317" w:name="_Toc22685"/>
      <w:bookmarkStart w:id="1318" w:name="_Toc32396"/>
      <w:bookmarkStart w:id="1319" w:name="_Toc29239"/>
      <w:bookmarkStart w:id="1320" w:name="_Toc24203"/>
      <w:bookmarkStart w:id="1321" w:name="_Toc5410"/>
      <w:bookmarkStart w:id="1322" w:name="_Toc18623"/>
      <w:bookmarkStart w:id="1323" w:name="_Toc31307"/>
      <w:r>
        <w:rPr>
          <w:rFonts w:hint="eastAsia"/>
          <w:color w:val="auto"/>
        </w:rPr>
        <w:t>坚持和加强党的全面领导</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0D10CCBD">
      <w:pPr>
        <w:rPr>
          <w:rFonts w:ascii="仿宋" w:hAnsi="仿宋" w:cs="仿宋"/>
          <w:color w:val="auto"/>
          <w:kern w:val="32"/>
          <w:szCs w:val="32"/>
        </w:rPr>
      </w:pPr>
      <w:r>
        <w:rPr>
          <w:rFonts w:hint="eastAsia" w:ascii="仿宋" w:hAnsi="仿宋" w:cs="仿宋"/>
          <w:color w:val="auto"/>
          <w:kern w:val="32"/>
          <w:szCs w:val="32"/>
        </w:rPr>
        <w:t>推动“十四五”高质量发展，必须全面加强党的领导，践行新时代党的组织路线，大力推进民主法治建设，激发广大党员干部群众新担当新作为，</w:t>
      </w:r>
      <w:r>
        <w:rPr>
          <w:rFonts w:hint="eastAsia" w:ascii="仿宋" w:hAnsi="仿宋" w:cs="仿宋"/>
          <w:color w:val="auto"/>
          <w:szCs w:val="32"/>
        </w:rPr>
        <w:t>努力争当全市生态文明和乡风文明建设排头兵，打造绿色发展仁化样板</w:t>
      </w:r>
      <w:r>
        <w:rPr>
          <w:rFonts w:hint="eastAsia" w:ascii="仿宋" w:hAnsi="仿宋" w:cs="仿宋"/>
          <w:color w:val="auto"/>
          <w:kern w:val="32"/>
          <w:szCs w:val="32"/>
        </w:rPr>
        <w:t>。</w:t>
      </w:r>
    </w:p>
    <w:p w14:paraId="57F87B31">
      <w:pPr>
        <w:ind w:firstLine="643"/>
        <w:rPr>
          <w:rFonts w:ascii="仿宋" w:hAnsi="仿宋" w:cs="仿宋"/>
          <w:color w:val="auto"/>
        </w:rPr>
      </w:pPr>
      <w:bookmarkStart w:id="1324" w:name="_Toc31832"/>
      <w:bookmarkStart w:id="1325" w:name="_Toc10079"/>
      <w:bookmarkStart w:id="1326" w:name="_Toc19179"/>
      <w:r>
        <w:rPr>
          <w:rFonts w:hint="eastAsia" w:ascii="仿宋" w:hAnsi="仿宋" w:cs="仿宋"/>
          <w:b/>
          <w:bCs/>
          <w:color w:val="auto"/>
        </w:rPr>
        <w:t>坚持和加强党对一切工作的领导</w:t>
      </w:r>
      <w:bookmarkEnd w:id="1324"/>
      <w:bookmarkEnd w:id="1325"/>
      <w:bookmarkEnd w:id="1326"/>
      <w:r>
        <w:rPr>
          <w:rFonts w:hint="eastAsia" w:ascii="仿宋" w:hAnsi="仿宋" w:cs="仿宋"/>
          <w:b/>
          <w:bCs/>
          <w:color w:val="auto"/>
        </w:rPr>
        <w:t>。</w:t>
      </w:r>
      <w:r>
        <w:rPr>
          <w:rFonts w:hint="eastAsia" w:ascii="仿宋" w:hAnsi="仿宋" w:cs="仿宋"/>
          <w:color w:val="auto"/>
        </w:rPr>
        <w:t>坚持把党的政治建设摆在首位，始终把深入学习贯彻习近平新时代中国特色社会主义思想作为头等大事和首要政治任务，增强“四个意识”、坚定“四个自信”、做到“两个维护”。坚决贯彻落实习近平总书记、党中央决策部署，严格执行坚决落实“两个维护”十项制度机制。严格执行重大问题请示报告制度，坚持党的民主集中制原则，把党的路线方针政策体现和落实到经济建设、政治建设、文化建设、社会建设、生态文明建设和党的建设各方面全过程，切实提高党把方向、谋大局、定政策、促改革的能力和定力。充分发挥党委领导核心作用、党的基层组织战斗堡垒作用和党员先锋模范作用，确保党始终总揽全局、协调各方。落实全面从严治党主体责任、监督责任，以党内监督为主导、推动各类监督贯通协调，形成常态长效的监督合力，健全发现问题、纠正偏差、精准问责有效机制。深化纪检监察体制改革，加强上级纪委监委对下级纪委监委的领导，推进纪检监察工作规范化、法治化。坚持无禁区、全覆盖、零容忍，一体推进不敢腐、不能腐、不想腐，营造风清气正的良好政治生态和营商环境。</w:t>
      </w:r>
    </w:p>
    <w:p w14:paraId="2A9A32AA">
      <w:pPr>
        <w:ind w:firstLine="643"/>
        <w:rPr>
          <w:rFonts w:ascii="仿宋" w:hAnsi="仿宋" w:cs="仿宋"/>
          <w:color w:val="auto"/>
        </w:rPr>
      </w:pPr>
      <w:bookmarkStart w:id="1327" w:name="_Toc24911"/>
      <w:bookmarkStart w:id="1328" w:name="_Toc3335"/>
      <w:bookmarkStart w:id="1329" w:name="_Toc30856"/>
      <w:r>
        <w:rPr>
          <w:rFonts w:hint="eastAsia" w:ascii="仿宋" w:hAnsi="仿宋" w:cs="仿宋"/>
          <w:b/>
          <w:bCs/>
          <w:color w:val="auto"/>
        </w:rPr>
        <w:t>全面贯彻新时代党的组织路线</w:t>
      </w:r>
      <w:bookmarkEnd w:id="1327"/>
      <w:bookmarkEnd w:id="1328"/>
      <w:bookmarkEnd w:id="1329"/>
      <w:r>
        <w:rPr>
          <w:rFonts w:hint="eastAsia" w:ascii="仿宋" w:hAnsi="仿宋" w:cs="仿宋"/>
          <w:b/>
          <w:bCs/>
          <w:color w:val="auto"/>
        </w:rPr>
        <w:t>。</w:t>
      </w:r>
      <w:r>
        <w:rPr>
          <w:rFonts w:hint="eastAsia" w:ascii="仿宋" w:hAnsi="仿宋" w:cs="仿宋"/>
          <w:color w:val="auto"/>
        </w:rPr>
        <w:t>贯彻落实“不忘初心、 牢记使命”的制度，健全学习教育、调查研究、检视问题、整改落实的长效机制。完善上下贯通、执行有力的组织体系，执行落实新一轮加强基层党组织建设三年行动计划，扩大基层党的组织覆盖和工作覆盖。更高标准、更大力度统筹推进各层级各领域党组织建设，持续深化“支部共建”，完善“支部帮支部、书记帮书记、党员联党员”工作机制，不断提高党的组织建设的制度化、规范化、科学化水平。深化开展“一线双联”“民情夜访”，推动党员干部下沉一线干事创业，进一步密切党群干群关系。坚持党管干部原则，落实好干部标准，加强党员干部培养教育，提高各级领导班子和干部落实新发展理念和新发展格局的能力。加强对敢担当善作为干部的激励保护，继续实施“三个一百”激励机制，关心关爱基层一线特别是艰苦边远地区干部工作，以正确用人导向引领干事创业导向。完善人才工作体系，深入实施“丹霞英才计划”，着力培养扶持一批德才兼备的高素质人才和紧缺适用人才。</w:t>
      </w:r>
    </w:p>
    <w:p w14:paraId="2327CEDE">
      <w:pPr>
        <w:ind w:firstLine="643"/>
        <w:rPr>
          <w:rFonts w:ascii="仿宋" w:hAnsi="仿宋" w:cs="仿宋"/>
          <w:color w:val="auto"/>
        </w:rPr>
      </w:pPr>
      <w:bookmarkStart w:id="1330" w:name="_Toc25621"/>
      <w:bookmarkStart w:id="1331" w:name="_Toc26516"/>
      <w:bookmarkStart w:id="1332" w:name="_Toc28064"/>
      <w:r>
        <w:rPr>
          <w:rFonts w:hint="eastAsia" w:ascii="仿宋" w:hAnsi="仿宋" w:cs="仿宋"/>
          <w:b/>
          <w:bCs/>
          <w:color w:val="auto"/>
        </w:rPr>
        <w:t>加强民主法治建设</w:t>
      </w:r>
      <w:bookmarkEnd w:id="1330"/>
      <w:bookmarkEnd w:id="1331"/>
      <w:bookmarkEnd w:id="1332"/>
      <w:r>
        <w:rPr>
          <w:rFonts w:hint="eastAsia" w:ascii="仿宋" w:hAnsi="仿宋" w:cs="仿宋"/>
          <w:b/>
          <w:bCs/>
          <w:color w:val="auto"/>
        </w:rPr>
        <w:t>。</w:t>
      </w:r>
      <w:r>
        <w:rPr>
          <w:rFonts w:hint="eastAsia" w:ascii="仿宋" w:hAnsi="仿宋" w:cs="仿宋"/>
          <w:color w:val="auto"/>
        </w:rPr>
        <w:t>坚持党的领导、人民当家作主、依法治国有机统一，推进中国特色社会主义政治制度自我完善和发展。全面推进依法治县，健全依法决策机制，支持人大、政府、政协、监察机关、司法机关依法依章程履职尽责。坚持和完善人民代表大会制度，加强人大对“一府一委两院”的监督，支持及保证人大及其常委会依法行使职权，确保人民群众通过人大代表更好行使权力。坚持和完善中国共产党领导的多党合作和政治协商制度，加强人民政协专门协商机构建设，发挥社会主义协商民主独特优势，提高建言资政和凝聚共识水平。发挥工会、共青团、妇联等人民团体的桥梁纽带作用，把各自联系的群众紧紧凝聚在党的周围。完善大统战工作格局，做好民族和宗教工作，发挥民主党派、工商联、无党派人士作用，凝聚港澳同胞和海外侨胞力量，巩固壮大新时代统一战线。加强党管武装工作，强化全民国防教育，实施烈士纪念设施提质改造工程，扎实做好退役军人事务管理工作，巩固双拥共建成果，开创军政军民团结新局面。</w:t>
      </w:r>
    </w:p>
    <w:p w14:paraId="4456F53A">
      <w:pPr>
        <w:ind w:firstLine="643"/>
        <w:rPr>
          <w:rFonts w:ascii="仿宋" w:hAnsi="仿宋" w:cs="仿宋"/>
          <w:color w:val="auto"/>
        </w:rPr>
      </w:pPr>
      <w:bookmarkStart w:id="1333" w:name="_Toc22498"/>
      <w:bookmarkStart w:id="1334" w:name="_Toc14347"/>
      <w:bookmarkStart w:id="1335" w:name="_Toc6862"/>
      <w:r>
        <w:rPr>
          <w:rFonts w:hint="eastAsia" w:ascii="仿宋" w:hAnsi="仿宋" w:cs="仿宋"/>
          <w:b/>
          <w:bCs/>
          <w:color w:val="auto"/>
        </w:rPr>
        <w:t>持之以恒正风肃纪反腐。</w:t>
      </w:r>
      <w:bookmarkEnd w:id="1333"/>
      <w:bookmarkEnd w:id="1334"/>
      <w:bookmarkEnd w:id="1335"/>
      <w:r>
        <w:rPr>
          <w:rFonts w:hint="eastAsia" w:ascii="仿宋" w:hAnsi="仿宋" w:cs="仿宋"/>
          <w:color w:val="auto"/>
        </w:rPr>
        <w:t>落实全面从严治党主体责任、监督责任，进一步严明政治纪律和政治规矩，严守“三个决不允许”，提高党的建设质量。把严的主基调长期坚持下去，推动全面从严治党向纵深发展、向基层延伸。加强政治监督，突出抓好党中央重大决策部署落实情况的监督检查，强化对公权力运行的制约和监督。锲而不舍落实中央八项规定精神，坚持纠治“四风”，突出整治形式主义、官僚主义，切实为基层减负。深化运用监督执纪“七个看”和问责“六字诀”，统筹推进纪律监督、监察监督、派驻监督、巡察监督。坚持无禁区、全覆盖、零容忍惩治腐败，严肃查处漠视群众利益问题，强化对林、水、矿等生态环保领域失职失责行为的监督执纪问责。一体推进不敢腐、不能腐、不想腐，始终保持惩治腐败的高压态势，大力营造风清气正的良好政治生态。</w:t>
      </w:r>
    </w:p>
    <w:p w14:paraId="1AACFDB2">
      <w:pPr>
        <w:pStyle w:val="4"/>
        <w:spacing w:before="654" w:after="654"/>
        <w:rPr>
          <w:color w:val="auto"/>
        </w:rPr>
      </w:pPr>
      <w:bookmarkStart w:id="1336" w:name="_Toc17621"/>
      <w:bookmarkStart w:id="1337" w:name="_Toc7137"/>
      <w:bookmarkStart w:id="1338" w:name="_Toc8018"/>
      <w:bookmarkStart w:id="1339" w:name="_Toc28970"/>
      <w:bookmarkStart w:id="1340" w:name="_Toc9589"/>
      <w:bookmarkStart w:id="1341" w:name="_Toc6496"/>
      <w:bookmarkStart w:id="1342" w:name="_Toc21737"/>
      <w:bookmarkStart w:id="1343" w:name="_Toc21780"/>
      <w:bookmarkStart w:id="1344" w:name="_Toc23348"/>
      <w:bookmarkStart w:id="1345" w:name="_Toc27637"/>
      <w:bookmarkStart w:id="1346" w:name="_Toc1507"/>
      <w:bookmarkStart w:id="1347" w:name="_Toc1833"/>
      <w:bookmarkStart w:id="1348" w:name="_Toc8494"/>
      <w:bookmarkStart w:id="1349" w:name="_Toc1717"/>
      <w:bookmarkStart w:id="1350" w:name="_Toc13958"/>
      <w:bookmarkStart w:id="1351" w:name="_Toc22727"/>
      <w:bookmarkStart w:id="1352" w:name="_Toc22806"/>
      <w:r>
        <w:rPr>
          <w:rFonts w:hint="eastAsia"/>
          <w:color w:val="auto"/>
        </w:rPr>
        <w:t>强化载体支撑作用</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0395A2E9">
      <w:pPr>
        <w:rPr>
          <w:rFonts w:ascii="仿宋" w:hAnsi="仿宋" w:cs="仿宋"/>
          <w:color w:val="auto"/>
        </w:rPr>
      </w:pPr>
      <w:r>
        <w:rPr>
          <w:rFonts w:hint="eastAsia" w:ascii="仿宋" w:hAnsi="仿宋" w:cs="仿宋"/>
          <w:color w:val="auto"/>
        </w:rPr>
        <w:t>以重大项目为抓手，全力推进“一线两带两区”建设，积极推进规划实施载体建设，为规划有效落实提供坚实保障。</w:t>
      </w:r>
    </w:p>
    <w:p w14:paraId="03A58010">
      <w:pPr>
        <w:rPr>
          <w:rFonts w:ascii="仿宋" w:hAnsi="仿宋" w:cs="仿宋"/>
          <w:color w:val="auto"/>
        </w:rPr>
      </w:pPr>
      <w:r>
        <w:rPr>
          <w:rFonts w:hint="eastAsia" w:ascii="仿宋" w:hAnsi="仿宋" w:cs="仿宋"/>
          <w:color w:val="auto"/>
        </w:rPr>
        <w:t>围绕传统产业改造升级、农业现代化、旅游业以及材料储能、民生保障、乡村振兴等重点领域和重点行业，深入研究国家、省、市各类战略性规划和鼓励扶持政策，紧扣关键领域和薄弱环节，集中组织实施重点谋划一批具有较强带动力、较大影响力的重大产业类、基础设施类项目工程。</w:t>
      </w:r>
    </w:p>
    <w:p w14:paraId="48CEAC5C">
      <w:pPr>
        <w:rPr>
          <w:rFonts w:ascii="仿宋" w:hAnsi="仿宋" w:cs="仿宋"/>
          <w:color w:val="auto"/>
        </w:rPr>
      </w:pPr>
      <w:r>
        <w:rPr>
          <w:rFonts w:hint="eastAsia" w:ascii="仿宋" w:hAnsi="仿宋" w:cs="仿宋"/>
          <w:color w:val="auto"/>
        </w:rPr>
        <w:t>积极吸引有规模、有效益、辐射带动强的大型项目落户仁化，全力做好项目招引工作，为仁化县构建现代化产业体系积蓄后备力量。健全重点项目储备库，形成竣工一批、启动一批、储备一批的滚动机制。</w:t>
      </w:r>
    </w:p>
    <w:p w14:paraId="63996E8F">
      <w:pPr>
        <w:rPr>
          <w:rFonts w:ascii="仿宋" w:hAnsi="仿宋" w:cs="仿宋"/>
          <w:color w:val="auto"/>
        </w:rPr>
      </w:pPr>
      <w:r>
        <w:rPr>
          <w:rFonts w:hint="eastAsia" w:ascii="仿宋" w:hAnsi="仿宋" w:cs="仿宋"/>
          <w:color w:val="auto"/>
        </w:rPr>
        <w:t>实施“环境优先”发展战略，把营商环境优化作为产业发展先行指标，重点加强软硬件设施建设，进一步优化行政服务环境，加快构建现代化基础设施体系，加大创新创业扶持力度，研究制定引领产业发展的政策措施，营造发展便利、服务高效、环境宽松的发展环境。</w:t>
      </w:r>
    </w:p>
    <w:p w14:paraId="6DEB13B3">
      <w:pPr>
        <w:rPr>
          <w:rFonts w:ascii="仿宋" w:hAnsi="仿宋" w:cs="仿宋"/>
          <w:color w:val="auto"/>
        </w:rPr>
      </w:pPr>
      <w:r>
        <w:rPr>
          <w:rFonts w:hint="eastAsia" w:ascii="仿宋" w:hAnsi="仿宋" w:cs="仿宋"/>
          <w:color w:val="auto"/>
        </w:rPr>
        <w:t>对纳入规划、行动计划、年度计划的重点项目，实行绿色通道制度，简化审批核准程序，优先保障规划选址、土地供应和融资安排，确保如期完成。强化项目建设全过程管理，推进项目精益管理，提高项目建设的协调服务水平。</w:t>
      </w:r>
    </w:p>
    <w:p w14:paraId="2DC01787">
      <w:pPr>
        <w:pStyle w:val="4"/>
        <w:spacing w:before="654" w:after="654"/>
        <w:rPr>
          <w:color w:val="auto"/>
        </w:rPr>
      </w:pPr>
      <w:bookmarkStart w:id="1353" w:name="_Toc7838"/>
      <w:bookmarkStart w:id="1354" w:name="_Toc7670"/>
      <w:bookmarkStart w:id="1355" w:name="_Toc9872"/>
      <w:bookmarkStart w:id="1356" w:name="_Toc16939"/>
      <w:bookmarkStart w:id="1357" w:name="_Toc23268"/>
      <w:bookmarkStart w:id="1358" w:name="_Toc21444"/>
      <w:bookmarkStart w:id="1359" w:name="_Toc28318"/>
      <w:bookmarkStart w:id="1360" w:name="_Toc31181"/>
      <w:bookmarkStart w:id="1361" w:name="_Toc2425"/>
      <w:bookmarkStart w:id="1362" w:name="_Toc31945"/>
      <w:bookmarkStart w:id="1363" w:name="_Toc2020"/>
      <w:bookmarkStart w:id="1364" w:name="_Toc28312"/>
      <w:bookmarkStart w:id="1365" w:name="_Toc1012"/>
      <w:bookmarkStart w:id="1366" w:name="_Toc26447"/>
      <w:bookmarkStart w:id="1367" w:name="_Toc11403"/>
      <w:bookmarkStart w:id="1368" w:name="_Toc14130"/>
      <w:bookmarkStart w:id="1369" w:name="_Toc27627"/>
      <w:r>
        <w:rPr>
          <w:rFonts w:hint="eastAsia"/>
          <w:color w:val="auto"/>
        </w:rPr>
        <w:t>建立和完善规划实施保障机制</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14:paraId="142340B5">
      <w:pPr>
        <w:rPr>
          <w:rFonts w:ascii="仿宋" w:hAnsi="仿宋" w:cs="仿宋"/>
          <w:color w:val="auto"/>
        </w:rPr>
      </w:pPr>
      <w:r>
        <w:rPr>
          <w:rFonts w:hint="eastAsia" w:ascii="仿宋" w:hAnsi="仿宋" w:cs="仿宋"/>
          <w:color w:val="auto"/>
        </w:rPr>
        <w:t>完善规划体系，强化政策引导和要素保障，制定规划年度实施方案，建立保障规划实施的长效机制，狠抓各项工作落实。</w:t>
      </w:r>
    </w:p>
    <w:p w14:paraId="2A5772AE">
      <w:pPr>
        <w:ind w:firstLine="643"/>
        <w:rPr>
          <w:rFonts w:ascii="仿宋" w:hAnsi="仿宋" w:cs="仿宋"/>
          <w:color w:val="auto"/>
        </w:rPr>
      </w:pPr>
      <w:bookmarkStart w:id="1370" w:name="_Toc11691"/>
      <w:bookmarkStart w:id="1371" w:name="_Toc8633"/>
      <w:r>
        <w:rPr>
          <w:rFonts w:hint="eastAsia" w:ascii="仿宋" w:hAnsi="仿宋" w:cs="仿宋"/>
          <w:b/>
          <w:bCs/>
          <w:color w:val="auto"/>
        </w:rPr>
        <w:t>强化目标任务衔接</w:t>
      </w:r>
      <w:bookmarkEnd w:id="1370"/>
      <w:bookmarkEnd w:id="1371"/>
      <w:r>
        <w:rPr>
          <w:rFonts w:hint="eastAsia" w:ascii="仿宋" w:hAnsi="仿宋" w:cs="仿宋"/>
          <w:color w:val="auto"/>
        </w:rPr>
        <w:t>。强化规划纲要在全县经济社会发展规划、城乡建设规划、土地利用规划、环境保护规划等各部门各专项规划中的基础性、战略性地位，分解纲要确定的目标、主要任务、重大项目落实到县级专项规划及国民经济和社会发展的年度计划，加强与总体规划各项指标的衔接。</w:t>
      </w:r>
    </w:p>
    <w:p w14:paraId="2B93340A">
      <w:pPr>
        <w:ind w:firstLine="643"/>
        <w:rPr>
          <w:rFonts w:ascii="仿宋" w:hAnsi="仿宋" w:cs="仿宋"/>
          <w:color w:val="auto"/>
        </w:rPr>
      </w:pPr>
      <w:bookmarkStart w:id="1372" w:name="_Toc24370"/>
      <w:bookmarkStart w:id="1373" w:name="_Toc4877"/>
      <w:r>
        <w:rPr>
          <w:rFonts w:hint="eastAsia" w:ascii="仿宋" w:hAnsi="仿宋" w:cs="仿宋"/>
          <w:b/>
          <w:bCs/>
          <w:color w:val="auto"/>
        </w:rPr>
        <w:t>加强政策引导</w:t>
      </w:r>
      <w:bookmarkEnd w:id="1372"/>
      <w:bookmarkEnd w:id="1373"/>
      <w:r>
        <w:rPr>
          <w:rFonts w:hint="eastAsia" w:ascii="仿宋" w:hAnsi="仿宋" w:cs="仿宋"/>
          <w:color w:val="auto"/>
        </w:rPr>
        <w:t>。围绕发展重点领域，研究制定一系列能够有效解决突出矛盾、营造公平环境、激发社会活力的重大政策举措，为各项发展目标提供有力支撑。重点围绕完善现代市场体系、推动经济转型升级和创新驱动发展、提高民生保障水平、促进城乡一体化发展、推进资源节约和环境保护、提升文化软实力等重点领域和关键环节，加强政策储备、研究制定和协调落实，推动形成有效的政策预期和导向。</w:t>
      </w:r>
    </w:p>
    <w:p w14:paraId="25A6FD4A">
      <w:pPr>
        <w:ind w:firstLine="643"/>
        <w:rPr>
          <w:rFonts w:ascii="仿宋" w:hAnsi="仿宋" w:cs="仿宋"/>
          <w:color w:val="auto"/>
        </w:rPr>
      </w:pPr>
      <w:bookmarkStart w:id="1374" w:name="_Toc20940"/>
      <w:bookmarkStart w:id="1375" w:name="_Toc5704"/>
      <w:r>
        <w:rPr>
          <w:rFonts w:hint="eastAsia" w:ascii="仿宋" w:hAnsi="仿宋" w:cs="仿宋"/>
          <w:b/>
          <w:bCs/>
          <w:color w:val="auto"/>
        </w:rPr>
        <w:t>强化要素保障</w:t>
      </w:r>
      <w:bookmarkEnd w:id="1374"/>
      <w:bookmarkEnd w:id="1375"/>
      <w:r>
        <w:rPr>
          <w:rFonts w:hint="eastAsia" w:ascii="仿宋" w:hAnsi="仿宋" w:cs="仿宋"/>
          <w:color w:val="auto"/>
        </w:rPr>
        <w:t>。加强资金、土地、能源、人才投入、科技投入等要素对规划实施的保障作用。优化财政支出结构和政府投资结构，优先安排涉及民生、公共服务和城乡一体化等领域的财政支出和项目投入，集中财力保证政府投资重大项目的资金需求。科学调控土地供应，合理调整用地结构，优化土地资源配置和空间布局，优先保证保障性住房、重点发展平台开发、公共服务改善、重大基础设施和高端产业项目建设等方面的土地需求。注重需求侧管理和供给保障能力建设，完善能源和重要商品物资管理。</w:t>
      </w:r>
    </w:p>
    <w:p w14:paraId="1A29D4C8">
      <w:pPr>
        <w:pStyle w:val="4"/>
        <w:spacing w:before="654" w:after="654"/>
        <w:rPr>
          <w:color w:val="auto"/>
        </w:rPr>
      </w:pPr>
      <w:bookmarkStart w:id="1376" w:name="_Toc17177"/>
      <w:bookmarkStart w:id="1377" w:name="_Toc28635"/>
      <w:bookmarkStart w:id="1378" w:name="_Toc25385"/>
      <w:bookmarkStart w:id="1379" w:name="_Toc27361"/>
      <w:bookmarkStart w:id="1380" w:name="_Toc16423"/>
      <w:bookmarkStart w:id="1381" w:name="_Toc22254"/>
      <w:bookmarkStart w:id="1382" w:name="_Toc11714"/>
      <w:bookmarkStart w:id="1383" w:name="_Toc27531"/>
      <w:bookmarkStart w:id="1384" w:name="_Toc865"/>
      <w:bookmarkStart w:id="1385" w:name="_Toc8977"/>
      <w:bookmarkStart w:id="1386" w:name="_Toc20284"/>
      <w:bookmarkStart w:id="1387" w:name="_Toc22821"/>
      <w:bookmarkStart w:id="1388" w:name="_Toc23769"/>
      <w:bookmarkStart w:id="1389" w:name="_Toc22747"/>
      <w:bookmarkStart w:id="1390" w:name="_Toc9119"/>
      <w:bookmarkStart w:id="1391" w:name="_Toc19677"/>
      <w:bookmarkStart w:id="1392" w:name="_Toc24403"/>
      <w:r>
        <w:rPr>
          <w:rFonts w:hint="eastAsia"/>
          <w:color w:val="auto"/>
        </w:rPr>
        <w:t>加强规划监督考评</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76CC7BD4">
      <w:pPr>
        <w:rPr>
          <w:rFonts w:ascii="仿宋" w:hAnsi="仿宋" w:cs="仿宋"/>
          <w:color w:val="auto"/>
        </w:rPr>
      </w:pPr>
      <w:r>
        <w:rPr>
          <w:rFonts w:hint="eastAsia" w:ascii="仿宋" w:hAnsi="仿宋" w:cs="仿宋"/>
          <w:color w:val="auto"/>
        </w:rPr>
        <w:t>完善规划实施监督评估制度，强化组织实施，扩大公众参与，落实规划目标任务。</w:t>
      </w:r>
    </w:p>
    <w:p w14:paraId="5A33B67D">
      <w:pPr>
        <w:ind w:firstLine="643"/>
        <w:rPr>
          <w:rFonts w:ascii="仿宋" w:hAnsi="仿宋" w:cs="仿宋"/>
          <w:color w:val="auto"/>
        </w:rPr>
      </w:pPr>
      <w:bookmarkStart w:id="1393" w:name="_Toc22140"/>
      <w:bookmarkStart w:id="1394" w:name="_Toc31144"/>
      <w:r>
        <w:rPr>
          <w:rFonts w:hint="eastAsia" w:ascii="仿宋" w:hAnsi="仿宋" w:cs="仿宋"/>
          <w:b/>
          <w:bCs/>
          <w:color w:val="auto"/>
        </w:rPr>
        <w:t>加强指标约束</w:t>
      </w:r>
      <w:bookmarkEnd w:id="1393"/>
      <w:bookmarkEnd w:id="1394"/>
      <w:r>
        <w:rPr>
          <w:rFonts w:hint="eastAsia" w:ascii="仿宋" w:hAnsi="仿宋" w:cs="仿宋"/>
          <w:b/>
          <w:bCs/>
          <w:color w:val="auto"/>
        </w:rPr>
        <w:t>，做好跟踪监测。</w:t>
      </w:r>
      <w:r>
        <w:rPr>
          <w:rFonts w:hint="eastAsia" w:ascii="仿宋" w:hAnsi="仿宋" w:cs="仿宋"/>
          <w:color w:val="auto"/>
        </w:rPr>
        <w:t>对纳入规划指标、政策措施和重大项目实施情况及时跟踪监测。</w:t>
      </w:r>
    </w:p>
    <w:p w14:paraId="33C92494">
      <w:pPr>
        <w:ind w:firstLine="643"/>
        <w:rPr>
          <w:rFonts w:ascii="仿宋" w:hAnsi="仿宋" w:cs="仿宋"/>
          <w:color w:val="auto"/>
        </w:rPr>
      </w:pPr>
      <w:bookmarkStart w:id="1395" w:name="_Toc31026"/>
      <w:bookmarkStart w:id="1396" w:name="_Toc9971"/>
      <w:r>
        <w:rPr>
          <w:rFonts w:hint="eastAsia" w:ascii="仿宋" w:hAnsi="仿宋" w:cs="仿宋"/>
          <w:b/>
          <w:bCs/>
          <w:color w:val="auto"/>
        </w:rPr>
        <w:t>加强评估考核</w:t>
      </w:r>
      <w:bookmarkEnd w:id="1395"/>
      <w:bookmarkEnd w:id="1396"/>
      <w:r>
        <w:rPr>
          <w:rFonts w:hint="eastAsia" w:ascii="仿宋" w:hAnsi="仿宋" w:cs="仿宋"/>
          <w:color w:val="auto"/>
        </w:rPr>
        <w:t>。强化对规划有关结构优化、民生改善、资源节约、生态环境、社会环境和基本公共服务等方面目标任务完成情况的综合评价考核，建立科学合理的各级政府考核机制。考核结果作为各级政府领导班子调整和领导干部选拔任用、奖励惩戒的重要依据。完善规划年度考核和中期评估制度，检查规划落实情况，分析规划实施效果，及时查找问题、解决问题。</w:t>
      </w:r>
    </w:p>
    <w:p w14:paraId="5675E81A">
      <w:pPr>
        <w:ind w:firstLine="643"/>
        <w:rPr>
          <w:rFonts w:ascii="仿宋" w:hAnsi="仿宋" w:cs="仿宋"/>
          <w:color w:val="auto"/>
        </w:rPr>
      </w:pPr>
      <w:bookmarkStart w:id="1397" w:name="_Toc2343"/>
      <w:bookmarkStart w:id="1398" w:name="_Toc19778"/>
      <w:r>
        <w:rPr>
          <w:rFonts w:hint="eastAsia" w:ascii="仿宋" w:hAnsi="仿宋" w:cs="仿宋"/>
          <w:b/>
          <w:bCs/>
          <w:color w:val="auto"/>
        </w:rPr>
        <w:t>加强社会监督</w:t>
      </w:r>
      <w:bookmarkEnd w:id="1397"/>
      <w:bookmarkEnd w:id="1398"/>
      <w:r>
        <w:rPr>
          <w:rFonts w:hint="eastAsia" w:ascii="仿宋" w:hAnsi="仿宋" w:cs="仿宋"/>
          <w:b/>
          <w:bCs/>
          <w:color w:val="auto"/>
        </w:rPr>
        <w:t>。</w:t>
      </w:r>
      <w:r>
        <w:rPr>
          <w:rFonts w:hint="eastAsia" w:ascii="仿宋" w:hAnsi="仿宋" w:cs="仿宋"/>
          <w:color w:val="auto"/>
        </w:rPr>
        <w:t>加大规划宣传力度，使公众深入了解“十四五”经济社会发展宏伟蓝图，进一步凝聚社会共识，激发发展热情。积极探索创新公众参与形式，拓宽公众参与渠道，完善规划实施的公众参与和民主监督机制。</w:t>
      </w:r>
    </w:p>
    <w:p w14:paraId="314B473A">
      <w:pPr>
        <w:pStyle w:val="4"/>
        <w:spacing w:before="654" w:after="654"/>
        <w:rPr>
          <w:color w:val="auto"/>
        </w:rPr>
      </w:pPr>
      <w:bookmarkStart w:id="1399" w:name="_Toc29622"/>
      <w:bookmarkStart w:id="1400" w:name="_Toc25787"/>
      <w:bookmarkStart w:id="1401" w:name="_Toc18597"/>
      <w:bookmarkStart w:id="1402" w:name="_Toc22112"/>
      <w:bookmarkStart w:id="1403" w:name="_Toc20171"/>
      <w:bookmarkStart w:id="1404" w:name="_Toc20603"/>
      <w:bookmarkStart w:id="1405" w:name="_Toc15359"/>
      <w:bookmarkStart w:id="1406" w:name="_Toc8895"/>
      <w:bookmarkStart w:id="1407" w:name="_Toc13356"/>
      <w:bookmarkStart w:id="1408" w:name="_Toc1470"/>
      <w:bookmarkStart w:id="1409" w:name="_Toc31364"/>
      <w:bookmarkStart w:id="1410" w:name="_Toc14913"/>
      <w:bookmarkStart w:id="1411" w:name="_Toc14075"/>
      <w:bookmarkStart w:id="1412" w:name="_Toc12161"/>
      <w:bookmarkStart w:id="1413" w:name="_Toc16333"/>
      <w:bookmarkStart w:id="1414" w:name="_Toc13332"/>
      <w:bookmarkStart w:id="1415" w:name="_Toc29248"/>
      <w:r>
        <w:rPr>
          <w:rFonts w:hint="eastAsia"/>
          <w:color w:val="auto"/>
        </w:rPr>
        <w:t>强化目标任务分解</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14:paraId="38F84CE5">
      <w:pPr>
        <w:rPr>
          <w:rFonts w:ascii="仿宋" w:hAnsi="仿宋" w:cs="仿宋"/>
          <w:color w:val="auto"/>
        </w:rPr>
      </w:pPr>
      <w:r>
        <w:rPr>
          <w:rFonts w:hint="eastAsia" w:ascii="仿宋" w:hAnsi="仿宋" w:cs="仿宋"/>
          <w:color w:val="auto"/>
        </w:rPr>
        <w:t>统筹全局、合理制定年度实施行动计划、年度重点项目计划，分解本规划确定的发展目标、重点任务和重大项目。</w:t>
      </w:r>
    </w:p>
    <w:p w14:paraId="39F4E547">
      <w:pPr>
        <w:rPr>
          <w:rFonts w:ascii="仿宋" w:hAnsi="仿宋" w:cs="仿宋"/>
          <w:color w:val="auto"/>
        </w:rPr>
      </w:pPr>
      <w:r>
        <w:rPr>
          <w:rFonts w:hint="eastAsia" w:ascii="仿宋" w:hAnsi="仿宋" w:cs="仿宋"/>
          <w:color w:val="auto"/>
        </w:rPr>
        <w:t>组织协调各部门，确保规划提出的目标任务有方案、按计划、分步骤得到有效落实。</w:t>
      </w:r>
    </w:p>
    <w:p w14:paraId="3B451504">
      <w:pPr>
        <w:pStyle w:val="2"/>
        <w:rPr>
          <w:rFonts w:ascii="仿宋" w:hAnsi="仿宋" w:cs="仿宋"/>
          <w:color w:val="auto"/>
        </w:rPr>
      </w:pPr>
    </w:p>
    <w:p w14:paraId="37747D9F">
      <w:pPr>
        <w:pStyle w:val="2"/>
        <w:rPr>
          <w:rFonts w:ascii="仿宋" w:hAnsi="仿宋" w:cs="仿宋"/>
          <w:color w:val="auto"/>
        </w:rPr>
      </w:pPr>
    </w:p>
    <w:p w14:paraId="4C5EE4B8">
      <w:pPr>
        <w:pStyle w:val="2"/>
        <w:rPr>
          <w:rFonts w:ascii="仿宋" w:hAnsi="仿宋" w:cs="仿宋"/>
          <w:color w:val="auto"/>
        </w:rPr>
      </w:pPr>
      <w:r>
        <w:rPr>
          <w:rFonts w:hint="eastAsia" w:ascii="仿宋" w:hAnsi="仿宋" w:cs="仿宋"/>
          <w:color w:val="auto"/>
        </w:rPr>
        <w:t>附表1：仁化县“十三五”主要经济指标完成情况</w:t>
      </w:r>
    </w:p>
    <w:p w14:paraId="309B37A7">
      <w:pPr>
        <w:pStyle w:val="74"/>
        <w:jc w:val="both"/>
        <w:rPr>
          <w:rFonts w:ascii="仿宋" w:hAnsi="仿宋" w:cs="仿宋"/>
          <w:b w:val="0"/>
          <w:color w:val="auto"/>
          <w:sz w:val="32"/>
        </w:rPr>
      </w:pPr>
      <w:r>
        <w:rPr>
          <w:rFonts w:hint="eastAsia" w:ascii="仿宋" w:hAnsi="仿宋" w:cs="仿宋"/>
          <w:b w:val="0"/>
          <w:color w:val="auto"/>
          <w:sz w:val="32"/>
        </w:rPr>
        <w:t>附表2：仁化县“十四五”经济社会发展主要目标</w:t>
      </w:r>
    </w:p>
    <w:p w14:paraId="377C0C29">
      <w:pPr>
        <w:pStyle w:val="2"/>
        <w:rPr>
          <w:rFonts w:ascii="仿宋" w:hAnsi="仿宋" w:cs="仿宋"/>
          <w:color w:val="auto"/>
        </w:rPr>
      </w:pPr>
      <w:r>
        <w:rPr>
          <w:rFonts w:hint="eastAsia" w:ascii="仿宋" w:hAnsi="仿宋" w:cs="仿宋"/>
          <w:color w:val="auto"/>
        </w:rPr>
        <w:t>附表3：仁化县“十四五”重大项目表</w:t>
      </w:r>
    </w:p>
    <w:sectPr>
      <w:pgSz w:w="11906" w:h="16838"/>
      <w:pgMar w:top="1440" w:right="1474" w:bottom="1440" w:left="1587" w:header="851" w:footer="992" w:gutter="0"/>
      <w:pgNumType w:fmt="numberInDash"/>
      <w:cols w:space="0" w:num="1"/>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60101010101"/>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40AD0">
    <w:pPr>
      <w:pStyle w:val="1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3686F">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2DB4F">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78CF">
    <w:pPr>
      <w:pStyle w:val="1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B47A9">
    <w:pPr>
      <w:pStyle w:val="19"/>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008211">
                          <w:pPr>
                            <w:pStyle w:val="19"/>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- 13 -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SlMM0BAACnAwAADgAAAGRycy9lMm9Eb2MueG1srVPNjtMwEL4j8Q6W&#10;7zTZSkAV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5xZYejBzz9/nH/9Of/+zl4n&#10;eXqPFVXdeqqLw3s30NLMcaRgYj20waQv8WGUJ3FPF3FhiEymS6vlalVSSlJudgi/uL/uA8YP4AxL&#10;Rs0DvV4WVRw/YRxL55LUzbobpXV+QW3/CxDmGIG8AtPtxGScOFlx2A0TvZ1rTsSupzWouaWt50x/&#10;tKRy2pjZCLOxm42DD2rf5ZVK3dG/O0QaKU+aOoywxDA59H6Z67RraUH+9XPV/f+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D+SlMM0BAACnAwAADgAAAAAAAAABACAAAAAeAQAAZHJzL2Uy&#10;b0RvYy54bWxQSwUGAAAAAAYABgBZAQAAXQUAAAAA&#10;">
              <v:fill on="f" focussize="0,0"/>
              <v:stroke on="f"/>
              <v:imagedata o:title=""/>
              <o:lock v:ext="edit" aspectratio="f"/>
              <v:textbox inset="0mm,0mm,0mm,0mm" style="mso-fit-shape-to-text:t;">
                <w:txbxContent>
                  <w:p w14:paraId="1B008211">
                    <w:pPr>
                      <w:pStyle w:val="19"/>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- 13 -</w:t>
                    </w:r>
                    <w:r>
                      <w:rPr>
                        <w:rFonts w:hint="eastAsia" w:ascii="宋体" w:hAnsi="宋体" w:eastAsia="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9D1DD">
    <w:pPr>
      <w:pStyle w:val="1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8133AC">
                          <w:pPr>
                            <w:pStyle w:val="19"/>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q5BH88BAACqAwAADgAAAGRycy9lMm9Eb2MueG1srVPNjtMwEL4j8Q6W&#10;7zRpBaiKmq5A1SIkBEjLPoDrOI0l22N53CZ9AXgDTly481x9DsZO0oXlsgcuzvz5m/k+TzY3gzXs&#10;pAJqcDVfLkrOlJPQaHeo+f2X2xdrzjAK1wgDTtX8rJDfbJ8/2/S+UivowDQqMAJxWPW+5l2MvioK&#10;lJ2yAhfglaNkC8GKSG44FE0QPaFbU6zK8nXRQ2h8AKkQKbobk3xCDE8BhLbVUu1AHq1ycUQNyohI&#10;lLDTHvk2T9u2SsZPbYsqMlNzYhrzSU3I3qez2G5EdQjCd1pOI4injPCIkxXaUdMr1E5EwY5B/wNl&#10;tQyA0MaFBFuMRLIixGJZPtLmrhNeZS4kNfqr6Pj/YOXH0+fAdFPzl5w5YenBL9+/XX78uvz8ypbl&#10;6lVSqPdYUeGdp9I4vIWB9maOIwUT8aENNn2JEqM86Xu+6quGyGS6tF6t1yWlJOVmh/CLh+s+YHyn&#10;wLJk1DzQA2ZdxekDxrF0LkndHNxqY/IjGvdXgDDHiMpbMN1OTMaJkxWH/TDR20NzJnY9bULNHS0+&#10;Z+a9I6HT0sxGmI39bBx90Icub1Xqjv7NMdJIedLUYYQlhsmhJ8xcp3VLO/Knn6sefr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arkEfzwEAAKoDAAAOAAAAAAAAAAEAIAAAAB4BAABkcnMv&#10;ZTJvRG9jLnhtbFBLBQYAAAAABgAGAFkBAABfBQAAAAA=&#10;">
              <v:fill on="f" focussize="0,0"/>
              <v:stroke on="f"/>
              <v:imagedata o:title=""/>
              <o:lock v:ext="edit" aspectratio="f"/>
              <v:textbox inset="0mm,0mm,0mm,0mm" style="mso-fit-shape-to-text:t;">
                <w:txbxContent>
                  <w:p w14:paraId="5A8133AC">
                    <w:pPr>
                      <w:pStyle w:val="19"/>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0B41D">
    <w:pPr>
      <w:pStyle w:val="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A886C">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C54FA">
    <w:pPr>
      <w:pStyle w:val="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466CF"/>
    <w:multiLevelType w:val="multilevel"/>
    <w:tmpl w:val="A97466CF"/>
    <w:lvl w:ilvl="0" w:tentative="0">
      <w:start w:val="1"/>
      <w:numFmt w:val="chineseCounting"/>
      <w:suff w:val="nothing"/>
      <w:lvlText w:val="第%1章 "/>
      <w:lvlJc w:val="left"/>
      <w:pPr>
        <w:tabs>
          <w:tab w:val="left" w:pos="0"/>
        </w:tabs>
        <w:ind w:left="0" w:firstLine="402"/>
      </w:pPr>
      <w:rPr>
        <w:rFonts w:hint="eastAsia" w:ascii="宋体" w:hAnsi="宋体" w:eastAsia="宋体" w:cs="宋体"/>
      </w:rPr>
    </w:lvl>
    <w:lvl w:ilvl="1" w:tentative="0">
      <w:start w:val="1"/>
      <w:numFmt w:val="chineseCounting"/>
      <w:suff w:val="nothing"/>
      <w:lvlText w:val="第%2节、"/>
      <w:lvlJc w:val="left"/>
      <w:pPr>
        <w:ind w:left="0" w:firstLine="402"/>
      </w:pPr>
      <w:rPr>
        <w:rFonts w:hint="eastAsia" w:ascii="宋体" w:hAnsi="宋体" w:eastAsia="宋体" w:cs="宋体"/>
      </w:rPr>
    </w:lvl>
    <w:lvl w:ilvl="2" w:tentative="0">
      <w:start w:val="1"/>
      <w:numFmt w:val="chineseCounting"/>
      <w:suff w:val="nothing"/>
      <w:lvlText w:val="(%3)、"/>
      <w:lvlJc w:val="left"/>
      <w:pPr>
        <w:ind w:left="0" w:firstLine="402"/>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4A1E55A"/>
    <w:multiLevelType w:val="multilevel"/>
    <w:tmpl w:val="D4A1E55A"/>
    <w:lvl w:ilvl="0" w:tentative="0">
      <w:start w:val="1"/>
      <w:numFmt w:val="chineseCounting"/>
      <w:suff w:val="space"/>
      <w:lvlText w:val="第%1章"/>
      <w:lvlJc w:val="center"/>
      <w:pPr>
        <w:tabs>
          <w:tab w:val="left" w:pos="420"/>
        </w:tabs>
        <w:ind w:left="0" w:firstLine="0"/>
      </w:pPr>
      <w:rPr>
        <w:rFonts w:hint="eastAsia" w:ascii="宋体" w:hAnsi="宋体" w:eastAsia="宋体" w:cs="宋体"/>
        <w:b/>
        <w:sz w:val="44"/>
        <w:szCs w:val="44"/>
      </w:rPr>
    </w:lvl>
    <w:lvl w:ilvl="1" w:tentative="0">
      <w:start w:val="1"/>
      <w:numFmt w:val="chineseCounting"/>
      <w:suff w:val="space"/>
      <w:lvlText w:val="第%2节"/>
      <w:lvlJc w:val="left"/>
      <w:pPr>
        <w:tabs>
          <w:tab w:val="left" w:pos="420"/>
        </w:tabs>
        <w:ind w:left="0" w:firstLine="0"/>
      </w:pPr>
      <w:rPr>
        <w:rFonts w:hint="eastAsia" w:ascii="宋体" w:hAnsi="宋体" w:eastAsia="宋体" w:cs="宋体"/>
        <w:b/>
        <w:sz w:val="32"/>
        <w:szCs w:val="32"/>
      </w:rPr>
    </w:lvl>
    <w:lvl w:ilvl="2" w:tentative="0">
      <w:start w:val="1"/>
      <w:numFmt w:val="chineseCounting"/>
      <w:suff w:val="space"/>
      <w:lvlText w:val="（%3）"/>
      <w:lvlJc w:val="left"/>
      <w:pPr>
        <w:tabs>
          <w:tab w:val="left" w:pos="420"/>
        </w:tabs>
        <w:ind w:left="0" w:firstLine="0"/>
      </w:pPr>
      <w:rPr>
        <w:rFonts w:hint="eastAsia" w:ascii="宋体" w:hAnsi="宋体" w:eastAsia="宋体" w:cs="宋体"/>
        <w:b/>
        <w:sz w:val="32"/>
        <w:szCs w:val="32"/>
      </w:rPr>
    </w:lvl>
    <w:lvl w:ilvl="3" w:tentative="0">
      <w:start w:val="1"/>
      <w:numFmt w:val="decimal"/>
      <w:pStyle w:val="6"/>
      <w:suff w:val="space"/>
      <w:lvlText w:val="%4"/>
      <w:lvlJc w:val="left"/>
      <w:pPr>
        <w:tabs>
          <w:tab w:val="left" w:pos="420"/>
        </w:tabs>
        <w:ind w:left="0" w:firstLine="0"/>
      </w:pPr>
      <w:rPr>
        <w:rFonts w:hint="eastAsia" w:ascii="宋体" w:hAnsi="宋体" w:eastAsia="宋体" w:cs="宋体"/>
        <w:b/>
        <w:sz w:val="32"/>
        <w:szCs w:val="32"/>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E9C3A678"/>
    <w:multiLevelType w:val="multilevel"/>
    <w:tmpl w:val="E9C3A678"/>
    <w:lvl w:ilvl="0" w:tentative="0">
      <w:start w:val="1"/>
      <w:numFmt w:val="chineseCounting"/>
      <w:pStyle w:val="3"/>
      <w:suff w:val="nothing"/>
      <w:lvlText w:val="第%1章 "/>
      <w:lvlJc w:val="left"/>
      <w:pPr>
        <w:tabs>
          <w:tab w:val="left" w:pos="0"/>
        </w:tabs>
        <w:ind w:left="0" w:firstLine="402"/>
      </w:pPr>
      <w:rPr>
        <w:rFonts w:hint="eastAsia" w:ascii="Times New Roman" w:hAnsi="Times New Roman" w:eastAsia="仿宋" w:cs="宋体"/>
      </w:rPr>
    </w:lvl>
    <w:lvl w:ilvl="1" w:tentative="0">
      <w:start w:val="1"/>
      <w:numFmt w:val="chineseCounting"/>
      <w:pStyle w:val="4"/>
      <w:suff w:val="nothing"/>
      <w:lvlText w:val="第%2节 "/>
      <w:lvlJc w:val="left"/>
      <w:pPr>
        <w:tabs>
          <w:tab w:val="left" w:pos="0"/>
        </w:tabs>
        <w:ind w:left="0" w:firstLine="402"/>
      </w:pPr>
      <w:rPr>
        <w:rFonts w:hint="eastAsia" w:ascii="宋体" w:hAnsi="宋体" w:eastAsia="仿宋" w:cs="宋体"/>
      </w:rPr>
    </w:lvl>
    <w:lvl w:ilvl="2" w:tentative="0">
      <w:start w:val="1"/>
      <w:numFmt w:val="chineseCounting"/>
      <w:pStyle w:val="5"/>
      <w:suff w:val="nothing"/>
      <w:lvlText w:val="（%3）"/>
      <w:lvlJc w:val="left"/>
      <w:pPr>
        <w:tabs>
          <w:tab w:val="left" w:pos="0"/>
        </w:tabs>
        <w:ind w:left="0" w:firstLine="402"/>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60"/>
  <w:drawingGridVerticalSpacing w:val="218"/>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ZjEyYmY1NjA0YmEzZmQxNzRkZmI0OWRiZDczY2YifQ=="/>
  </w:docVars>
  <w:rsids>
    <w:rsidRoot w:val="00E240F2"/>
    <w:rsid w:val="00012B8D"/>
    <w:rsid w:val="000136FF"/>
    <w:rsid w:val="000354E9"/>
    <w:rsid w:val="00040649"/>
    <w:rsid w:val="00043237"/>
    <w:rsid w:val="0007238E"/>
    <w:rsid w:val="00074BF0"/>
    <w:rsid w:val="000903F2"/>
    <w:rsid w:val="000D0A71"/>
    <w:rsid w:val="000E0196"/>
    <w:rsid w:val="000E5420"/>
    <w:rsid w:val="001154EC"/>
    <w:rsid w:val="001268E0"/>
    <w:rsid w:val="00134F11"/>
    <w:rsid w:val="00150CFE"/>
    <w:rsid w:val="00156E41"/>
    <w:rsid w:val="001B35BB"/>
    <w:rsid w:val="001C50A0"/>
    <w:rsid w:val="001E7DE7"/>
    <w:rsid w:val="001F01DB"/>
    <w:rsid w:val="002050DE"/>
    <w:rsid w:val="0020720C"/>
    <w:rsid w:val="00207F35"/>
    <w:rsid w:val="00252955"/>
    <w:rsid w:val="00265553"/>
    <w:rsid w:val="002C60B5"/>
    <w:rsid w:val="002D36F7"/>
    <w:rsid w:val="00343445"/>
    <w:rsid w:val="00360EA9"/>
    <w:rsid w:val="003617CA"/>
    <w:rsid w:val="00362E4C"/>
    <w:rsid w:val="003732D6"/>
    <w:rsid w:val="00377141"/>
    <w:rsid w:val="00385592"/>
    <w:rsid w:val="00387E5B"/>
    <w:rsid w:val="003A5C09"/>
    <w:rsid w:val="003C482E"/>
    <w:rsid w:val="003C5A9C"/>
    <w:rsid w:val="003C6C57"/>
    <w:rsid w:val="003E10E6"/>
    <w:rsid w:val="004154ED"/>
    <w:rsid w:val="0042492D"/>
    <w:rsid w:val="00426455"/>
    <w:rsid w:val="004411EC"/>
    <w:rsid w:val="00470DB1"/>
    <w:rsid w:val="004730E9"/>
    <w:rsid w:val="004A4D30"/>
    <w:rsid w:val="004C1E21"/>
    <w:rsid w:val="004E7243"/>
    <w:rsid w:val="004F628F"/>
    <w:rsid w:val="00505B27"/>
    <w:rsid w:val="0050705C"/>
    <w:rsid w:val="0050757C"/>
    <w:rsid w:val="0053236E"/>
    <w:rsid w:val="0053412B"/>
    <w:rsid w:val="005404CB"/>
    <w:rsid w:val="0054783D"/>
    <w:rsid w:val="00571D03"/>
    <w:rsid w:val="005749BB"/>
    <w:rsid w:val="00586509"/>
    <w:rsid w:val="00590B96"/>
    <w:rsid w:val="00591289"/>
    <w:rsid w:val="005B0A58"/>
    <w:rsid w:val="005B35CD"/>
    <w:rsid w:val="005D59F8"/>
    <w:rsid w:val="005E0AC2"/>
    <w:rsid w:val="005E1E7A"/>
    <w:rsid w:val="00605E3E"/>
    <w:rsid w:val="006069E2"/>
    <w:rsid w:val="006130CA"/>
    <w:rsid w:val="006204E3"/>
    <w:rsid w:val="006267C5"/>
    <w:rsid w:val="00642223"/>
    <w:rsid w:val="00666F9E"/>
    <w:rsid w:val="00672372"/>
    <w:rsid w:val="006923C9"/>
    <w:rsid w:val="006A6494"/>
    <w:rsid w:val="006B65DD"/>
    <w:rsid w:val="006B768F"/>
    <w:rsid w:val="006C58F3"/>
    <w:rsid w:val="006E0BB9"/>
    <w:rsid w:val="006E4A18"/>
    <w:rsid w:val="006E5481"/>
    <w:rsid w:val="006F3034"/>
    <w:rsid w:val="006F4184"/>
    <w:rsid w:val="0071343E"/>
    <w:rsid w:val="00713A18"/>
    <w:rsid w:val="00743BC3"/>
    <w:rsid w:val="00755482"/>
    <w:rsid w:val="00763EAF"/>
    <w:rsid w:val="00767443"/>
    <w:rsid w:val="007A026A"/>
    <w:rsid w:val="007B7BFA"/>
    <w:rsid w:val="007C7E87"/>
    <w:rsid w:val="00846F9E"/>
    <w:rsid w:val="008B7882"/>
    <w:rsid w:val="008D4D2E"/>
    <w:rsid w:val="008D70F7"/>
    <w:rsid w:val="008E0E5A"/>
    <w:rsid w:val="008E73F0"/>
    <w:rsid w:val="00912138"/>
    <w:rsid w:val="00914E08"/>
    <w:rsid w:val="00932BA4"/>
    <w:rsid w:val="00937583"/>
    <w:rsid w:val="00947CAA"/>
    <w:rsid w:val="00951A8D"/>
    <w:rsid w:val="009761DD"/>
    <w:rsid w:val="00980277"/>
    <w:rsid w:val="009816FE"/>
    <w:rsid w:val="009A2EFC"/>
    <w:rsid w:val="009A7DD1"/>
    <w:rsid w:val="009E4139"/>
    <w:rsid w:val="009F5D2F"/>
    <w:rsid w:val="00A16E84"/>
    <w:rsid w:val="00A336AE"/>
    <w:rsid w:val="00A6017E"/>
    <w:rsid w:val="00A71718"/>
    <w:rsid w:val="00A90583"/>
    <w:rsid w:val="00A919D3"/>
    <w:rsid w:val="00AA0A8E"/>
    <w:rsid w:val="00AD15FB"/>
    <w:rsid w:val="00AD78AE"/>
    <w:rsid w:val="00AE6E69"/>
    <w:rsid w:val="00AF58AA"/>
    <w:rsid w:val="00B00B65"/>
    <w:rsid w:val="00B31F3E"/>
    <w:rsid w:val="00B370A5"/>
    <w:rsid w:val="00B45690"/>
    <w:rsid w:val="00B61604"/>
    <w:rsid w:val="00B82B0F"/>
    <w:rsid w:val="00BB4EEA"/>
    <w:rsid w:val="00BD56FB"/>
    <w:rsid w:val="00BD5A72"/>
    <w:rsid w:val="00BE63CE"/>
    <w:rsid w:val="00BF7FCB"/>
    <w:rsid w:val="00C171F3"/>
    <w:rsid w:val="00C72D23"/>
    <w:rsid w:val="00C86CCB"/>
    <w:rsid w:val="00C90650"/>
    <w:rsid w:val="00C953BB"/>
    <w:rsid w:val="00C962E7"/>
    <w:rsid w:val="00CC5F3F"/>
    <w:rsid w:val="00CC69D7"/>
    <w:rsid w:val="00CD0D81"/>
    <w:rsid w:val="00D3627C"/>
    <w:rsid w:val="00D752E0"/>
    <w:rsid w:val="00DB400E"/>
    <w:rsid w:val="00DD6DB1"/>
    <w:rsid w:val="00DE066F"/>
    <w:rsid w:val="00DE6CA2"/>
    <w:rsid w:val="00DF1CEE"/>
    <w:rsid w:val="00E240F2"/>
    <w:rsid w:val="00E3384D"/>
    <w:rsid w:val="00E45A46"/>
    <w:rsid w:val="00E5774D"/>
    <w:rsid w:val="00EE1572"/>
    <w:rsid w:val="00EE6C52"/>
    <w:rsid w:val="00F15420"/>
    <w:rsid w:val="00F2488E"/>
    <w:rsid w:val="00F30914"/>
    <w:rsid w:val="00F55573"/>
    <w:rsid w:val="00F72D41"/>
    <w:rsid w:val="00F735D8"/>
    <w:rsid w:val="00F803ED"/>
    <w:rsid w:val="00F967E9"/>
    <w:rsid w:val="00F974C3"/>
    <w:rsid w:val="00FA4E6F"/>
    <w:rsid w:val="00FB61AC"/>
    <w:rsid w:val="00FB6768"/>
    <w:rsid w:val="00FB6DA4"/>
    <w:rsid w:val="00FD2123"/>
    <w:rsid w:val="00FE37FE"/>
    <w:rsid w:val="00FF3A39"/>
    <w:rsid w:val="00FF7B29"/>
    <w:rsid w:val="0176098B"/>
    <w:rsid w:val="01B065BA"/>
    <w:rsid w:val="01C62D12"/>
    <w:rsid w:val="027038A8"/>
    <w:rsid w:val="02AF31EB"/>
    <w:rsid w:val="02CF1383"/>
    <w:rsid w:val="02D91A75"/>
    <w:rsid w:val="02ED2B37"/>
    <w:rsid w:val="03266037"/>
    <w:rsid w:val="033105B2"/>
    <w:rsid w:val="038C458E"/>
    <w:rsid w:val="039311D4"/>
    <w:rsid w:val="039819B6"/>
    <w:rsid w:val="03A417CF"/>
    <w:rsid w:val="03ED7094"/>
    <w:rsid w:val="03FE7B48"/>
    <w:rsid w:val="040E67E4"/>
    <w:rsid w:val="044D040D"/>
    <w:rsid w:val="0483692C"/>
    <w:rsid w:val="04BF5C61"/>
    <w:rsid w:val="050F342E"/>
    <w:rsid w:val="052531AF"/>
    <w:rsid w:val="053814A5"/>
    <w:rsid w:val="0559264B"/>
    <w:rsid w:val="055F08CD"/>
    <w:rsid w:val="056614D2"/>
    <w:rsid w:val="05681A7F"/>
    <w:rsid w:val="05826366"/>
    <w:rsid w:val="05C05755"/>
    <w:rsid w:val="05D1193B"/>
    <w:rsid w:val="062F5A6B"/>
    <w:rsid w:val="0654501D"/>
    <w:rsid w:val="066A1667"/>
    <w:rsid w:val="06891144"/>
    <w:rsid w:val="068A4783"/>
    <w:rsid w:val="06922624"/>
    <w:rsid w:val="06AB3136"/>
    <w:rsid w:val="06BB2320"/>
    <w:rsid w:val="06E2377B"/>
    <w:rsid w:val="079017C7"/>
    <w:rsid w:val="07C85D3A"/>
    <w:rsid w:val="07CC4E75"/>
    <w:rsid w:val="07FE2D2B"/>
    <w:rsid w:val="08334ABE"/>
    <w:rsid w:val="084B345C"/>
    <w:rsid w:val="08B14117"/>
    <w:rsid w:val="091D550C"/>
    <w:rsid w:val="092D3377"/>
    <w:rsid w:val="09B46C63"/>
    <w:rsid w:val="09BF57CC"/>
    <w:rsid w:val="09C51C62"/>
    <w:rsid w:val="0A116892"/>
    <w:rsid w:val="0A33526E"/>
    <w:rsid w:val="0A4B11E3"/>
    <w:rsid w:val="0A5F49AF"/>
    <w:rsid w:val="0A860516"/>
    <w:rsid w:val="0AA94A6F"/>
    <w:rsid w:val="0AB172DB"/>
    <w:rsid w:val="0AC54809"/>
    <w:rsid w:val="0B987230"/>
    <w:rsid w:val="0BC44475"/>
    <w:rsid w:val="0C341AAF"/>
    <w:rsid w:val="0C53062D"/>
    <w:rsid w:val="0C5B47C8"/>
    <w:rsid w:val="0C6C5291"/>
    <w:rsid w:val="0C806B20"/>
    <w:rsid w:val="0C813B8C"/>
    <w:rsid w:val="0C9159F1"/>
    <w:rsid w:val="0CCC0E00"/>
    <w:rsid w:val="0CCE0468"/>
    <w:rsid w:val="0CF50FC5"/>
    <w:rsid w:val="0D9254F0"/>
    <w:rsid w:val="0DA50EFE"/>
    <w:rsid w:val="0DA868B4"/>
    <w:rsid w:val="0DE55362"/>
    <w:rsid w:val="0EB17947"/>
    <w:rsid w:val="0EB374DA"/>
    <w:rsid w:val="0F09057F"/>
    <w:rsid w:val="0F271475"/>
    <w:rsid w:val="0F8360D3"/>
    <w:rsid w:val="0FDB73FB"/>
    <w:rsid w:val="10020288"/>
    <w:rsid w:val="104215DE"/>
    <w:rsid w:val="10640EE3"/>
    <w:rsid w:val="108809AE"/>
    <w:rsid w:val="10B85C06"/>
    <w:rsid w:val="111375D2"/>
    <w:rsid w:val="111C12F2"/>
    <w:rsid w:val="112D2602"/>
    <w:rsid w:val="1139705A"/>
    <w:rsid w:val="11A77C42"/>
    <w:rsid w:val="11EC5F45"/>
    <w:rsid w:val="12420B1C"/>
    <w:rsid w:val="1260095B"/>
    <w:rsid w:val="12657781"/>
    <w:rsid w:val="127F60A7"/>
    <w:rsid w:val="12A35D5F"/>
    <w:rsid w:val="12A7693D"/>
    <w:rsid w:val="12FD06D0"/>
    <w:rsid w:val="1341253C"/>
    <w:rsid w:val="137864AD"/>
    <w:rsid w:val="1383427E"/>
    <w:rsid w:val="139D78D6"/>
    <w:rsid w:val="13A42771"/>
    <w:rsid w:val="13A670D7"/>
    <w:rsid w:val="13B73634"/>
    <w:rsid w:val="13BC5412"/>
    <w:rsid w:val="13E02C76"/>
    <w:rsid w:val="1419064A"/>
    <w:rsid w:val="14357479"/>
    <w:rsid w:val="14420981"/>
    <w:rsid w:val="14567425"/>
    <w:rsid w:val="145B0511"/>
    <w:rsid w:val="14607674"/>
    <w:rsid w:val="1483033E"/>
    <w:rsid w:val="14907CF6"/>
    <w:rsid w:val="152F0F4D"/>
    <w:rsid w:val="154E0C6F"/>
    <w:rsid w:val="1640086F"/>
    <w:rsid w:val="1674085B"/>
    <w:rsid w:val="170555C2"/>
    <w:rsid w:val="17334E56"/>
    <w:rsid w:val="17365173"/>
    <w:rsid w:val="1746569A"/>
    <w:rsid w:val="175E345C"/>
    <w:rsid w:val="176B3A0B"/>
    <w:rsid w:val="17741068"/>
    <w:rsid w:val="178F3ACB"/>
    <w:rsid w:val="17DA6452"/>
    <w:rsid w:val="18446DD9"/>
    <w:rsid w:val="1868673E"/>
    <w:rsid w:val="188C7409"/>
    <w:rsid w:val="18C01B7D"/>
    <w:rsid w:val="18EB1A43"/>
    <w:rsid w:val="19064F87"/>
    <w:rsid w:val="190E4A97"/>
    <w:rsid w:val="19377317"/>
    <w:rsid w:val="194F13B7"/>
    <w:rsid w:val="196D7066"/>
    <w:rsid w:val="197D7590"/>
    <w:rsid w:val="19D570D4"/>
    <w:rsid w:val="1A186C86"/>
    <w:rsid w:val="1AA82C0B"/>
    <w:rsid w:val="1AB516F3"/>
    <w:rsid w:val="1AF709D0"/>
    <w:rsid w:val="1B915E00"/>
    <w:rsid w:val="1B931D33"/>
    <w:rsid w:val="1BC02EFB"/>
    <w:rsid w:val="1BFE75CD"/>
    <w:rsid w:val="1BFF7EB7"/>
    <w:rsid w:val="1C2115A5"/>
    <w:rsid w:val="1C5C4602"/>
    <w:rsid w:val="1C8D05BF"/>
    <w:rsid w:val="1D025EEB"/>
    <w:rsid w:val="1D0265A5"/>
    <w:rsid w:val="1D070D1F"/>
    <w:rsid w:val="1D194697"/>
    <w:rsid w:val="1D273234"/>
    <w:rsid w:val="1D275486"/>
    <w:rsid w:val="1D5A7A94"/>
    <w:rsid w:val="1D7D68CE"/>
    <w:rsid w:val="1D8E6F07"/>
    <w:rsid w:val="1E763DBF"/>
    <w:rsid w:val="1E800CFD"/>
    <w:rsid w:val="1F763132"/>
    <w:rsid w:val="1F8E013A"/>
    <w:rsid w:val="1FCC345D"/>
    <w:rsid w:val="1FD0048A"/>
    <w:rsid w:val="1FDF02FA"/>
    <w:rsid w:val="201C2429"/>
    <w:rsid w:val="206D6138"/>
    <w:rsid w:val="208B2133"/>
    <w:rsid w:val="20B37643"/>
    <w:rsid w:val="20DF18CB"/>
    <w:rsid w:val="20E04C8A"/>
    <w:rsid w:val="20E33A87"/>
    <w:rsid w:val="20EF105E"/>
    <w:rsid w:val="215D5E66"/>
    <w:rsid w:val="22027D52"/>
    <w:rsid w:val="220B7D0A"/>
    <w:rsid w:val="224B7113"/>
    <w:rsid w:val="224E6C37"/>
    <w:rsid w:val="22513794"/>
    <w:rsid w:val="226E42EE"/>
    <w:rsid w:val="22B32CAF"/>
    <w:rsid w:val="22CA0CCC"/>
    <w:rsid w:val="233C6AC7"/>
    <w:rsid w:val="23611C0F"/>
    <w:rsid w:val="239F1109"/>
    <w:rsid w:val="23A90F0D"/>
    <w:rsid w:val="241462C8"/>
    <w:rsid w:val="24475593"/>
    <w:rsid w:val="24EF5056"/>
    <w:rsid w:val="25057B8B"/>
    <w:rsid w:val="25B0059E"/>
    <w:rsid w:val="2654134F"/>
    <w:rsid w:val="269435A5"/>
    <w:rsid w:val="27105E5B"/>
    <w:rsid w:val="27194EAF"/>
    <w:rsid w:val="27917745"/>
    <w:rsid w:val="279558BA"/>
    <w:rsid w:val="27BC32C3"/>
    <w:rsid w:val="27CA29DD"/>
    <w:rsid w:val="27CD19C9"/>
    <w:rsid w:val="27D70D25"/>
    <w:rsid w:val="27F2080F"/>
    <w:rsid w:val="280349BB"/>
    <w:rsid w:val="282222CC"/>
    <w:rsid w:val="28412CD1"/>
    <w:rsid w:val="287E4A45"/>
    <w:rsid w:val="28A2502D"/>
    <w:rsid w:val="28B833F1"/>
    <w:rsid w:val="28B91727"/>
    <w:rsid w:val="28EF014D"/>
    <w:rsid w:val="28F300AD"/>
    <w:rsid w:val="291301FD"/>
    <w:rsid w:val="29206B45"/>
    <w:rsid w:val="295677C7"/>
    <w:rsid w:val="29C4067B"/>
    <w:rsid w:val="29C67377"/>
    <w:rsid w:val="29C82CBC"/>
    <w:rsid w:val="29D5085C"/>
    <w:rsid w:val="29D81BDE"/>
    <w:rsid w:val="2A2B7D64"/>
    <w:rsid w:val="2A3E1A95"/>
    <w:rsid w:val="2A6A46A8"/>
    <w:rsid w:val="2ADD4F29"/>
    <w:rsid w:val="2B1278E3"/>
    <w:rsid w:val="2B2C67FE"/>
    <w:rsid w:val="2B5C5993"/>
    <w:rsid w:val="2B7F3346"/>
    <w:rsid w:val="2BDA28AB"/>
    <w:rsid w:val="2C06701A"/>
    <w:rsid w:val="2C183676"/>
    <w:rsid w:val="2C1A325E"/>
    <w:rsid w:val="2C563424"/>
    <w:rsid w:val="2C743BE3"/>
    <w:rsid w:val="2D0960AD"/>
    <w:rsid w:val="2D3450D8"/>
    <w:rsid w:val="2D65059D"/>
    <w:rsid w:val="2E3D03E2"/>
    <w:rsid w:val="2E7F61C7"/>
    <w:rsid w:val="2E8C2FE2"/>
    <w:rsid w:val="2E8E2F07"/>
    <w:rsid w:val="2EB43FCC"/>
    <w:rsid w:val="2F0D3360"/>
    <w:rsid w:val="2F42499E"/>
    <w:rsid w:val="2F583176"/>
    <w:rsid w:val="2F5A416E"/>
    <w:rsid w:val="2FB11FCF"/>
    <w:rsid w:val="2FB34B42"/>
    <w:rsid w:val="2FC81A29"/>
    <w:rsid w:val="2FCB77B9"/>
    <w:rsid w:val="305E2F3B"/>
    <w:rsid w:val="30D52AD7"/>
    <w:rsid w:val="31046A6A"/>
    <w:rsid w:val="315F45EF"/>
    <w:rsid w:val="31943DEB"/>
    <w:rsid w:val="31AD55CB"/>
    <w:rsid w:val="31C33A8A"/>
    <w:rsid w:val="31D84BD1"/>
    <w:rsid w:val="32621A96"/>
    <w:rsid w:val="32787D94"/>
    <w:rsid w:val="332F7112"/>
    <w:rsid w:val="340202D4"/>
    <w:rsid w:val="3419405D"/>
    <w:rsid w:val="344548A7"/>
    <w:rsid w:val="346D1952"/>
    <w:rsid w:val="34D81EB6"/>
    <w:rsid w:val="3514722A"/>
    <w:rsid w:val="35721572"/>
    <w:rsid w:val="35722029"/>
    <w:rsid w:val="35A16F23"/>
    <w:rsid w:val="35D11C18"/>
    <w:rsid w:val="36022556"/>
    <w:rsid w:val="360A5734"/>
    <w:rsid w:val="367D7EC2"/>
    <w:rsid w:val="373E0557"/>
    <w:rsid w:val="375547C7"/>
    <w:rsid w:val="3774148E"/>
    <w:rsid w:val="377A1EF5"/>
    <w:rsid w:val="37A94805"/>
    <w:rsid w:val="37CB19BF"/>
    <w:rsid w:val="37D14D1C"/>
    <w:rsid w:val="37E12022"/>
    <w:rsid w:val="382813DC"/>
    <w:rsid w:val="384609A8"/>
    <w:rsid w:val="385B6857"/>
    <w:rsid w:val="38A97B64"/>
    <w:rsid w:val="39567023"/>
    <w:rsid w:val="39A50536"/>
    <w:rsid w:val="3A162D75"/>
    <w:rsid w:val="3A2A018A"/>
    <w:rsid w:val="3A466823"/>
    <w:rsid w:val="3A744FA7"/>
    <w:rsid w:val="3B0B009A"/>
    <w:rsid w:val="3B3235BB"/>
    <w:rsid w:val="3B590AD4"/>
    <w:rsid w:val="3B7725E1"/>
    <w:rsid w:val="3BC75159"/>
    <w:rsid w:val="3CAC52FA"/>
    <w:rsid w:val="3D123AA8"/>
    <w:rsid w:val="3D474016"/>
    <w:rsid w:val="3D5E6DD1"/>
    <w:rsid w:val="3D656E8C"/>
    <w:rsid w:val="3D7261FF"/>
    <w:rsid w:val="3D847853"/>
    <w:rsid w:val="3D870F2C"/>
    <w:rsid w:val="3DA2519B"/>
    <w:rsid w:val="3DE165F4"/>
    <w:rsid w:val="3E3501A2"/>
    <w:rsid w:val="3E404C30"/>
    <w:rsid w:val="3E5866A5"/>
    <w:rsid w:val="3EC00EBA"/>
    <w:rsid w:val="3F741B64"/>
    <w:rsid w:val="3F9C7E22"/>
    <w:rsid w:val="403C1411"/>
    <w:rsid w:val="40B845C7"/>
    <w:rsid w:val="40D26FB9"/>
    <w:rsid w:val="40D62267"/>
    <w:rsid w:val="411A0D50"/>
    <w:rsid w:val="4189462B"/>
    <w:rsid w:val="418F4760"/>
    <w:rsid w:val="41C754F6"/>
    <w:rsid w:val="41D548B4"/>
    <w:rsid w:val="41DB759C"/>
    <w:rsid w:val="41F23A86"/>
    <w:rsid w:val="421C5999"/>
    <w:rsid w:val="423E73A3"/>
    <w:rsid w:val="428404A3"/>
    <w:rsid w:val="428E7905"/>
    <w:rsid w:val="428F2F30"/>
    <w:rsid w:val="43062B0B"/>
    <w:rsid w:val="430D6299"/>
    <w:rsid w:val="43945CD2"/>
    <w:rsid w:val="439F3AFA"/>
    <w:rsid w:val="43AB20C9"/>
    <w:rsid w:val="43F77E5C"/>
    <w:rsid w:val="440605A6"/>
    <w:rsid w:val="440D0867"/>
    <w:rsid w:val="44F7398E"/>
    <w:rsid w:val="4507262A"/>
    <w:rsid w:val="4548416D"/>
    <w:rsid w:val="45AB4CF7"/>
    <w:rsid w:val="45EA79DF"/>
    <w:rsid w:val="461872E4"/>
    <w:rsid w:val="463924CF"/>
    <w:rsid w:val="46576824"/>
    <w:rsid w:val="46FB2FA2"/>
    <w:rsid w:val="4703020D"/>
    <w:rsid w:val="470D3AD2"/>
    <w:rsid w:val="474A5E46"/>
    <w:rsid w:val="477421E5"/>
    <w:rsid w:val="47A25224"/>
    <w:rsid w:val="47EE2AE4"/>
    <w:rsid w:val="483863EC"/>
    <w:rsid w:val="48532456"/>
    <w:rsid w:val="48736560"/>
    <w:rsid w:val="48AB1B68"/>
    <w:rsid w:val="48FC4FAA"/>
    <w:rsid w:val="4920772C"/>
    <w:rsid w:val="4965395C"/>
    <w:rsid w:val="4A0F0E31"/>
    <w:rsid w:val="4AD95528"/>
    <w:rsid w:val="4AF17631"/>
    <w:rsid w:val="4AFF043D"/>
    <w:rsid w:val="4B9C678B"/>
    <w:rsid w:val="4BC108A1"/>
    <w:rsid w:val="4BE34310"/>
    <w:rsid w:val="4BF4459E"/>
    <w:rsid w:val="4C023126"/>
    <w:rsid w:val="4C2F4BE4"/>
    <w:rsid w:val="4C5B68C2"/>
    <w:rsid w:val="4C8A1428"/>
    <w:rsid w:val="4D171A56"/>
    <w:rsid w:val="4D465A61"/>
    <w:rsid w:val="4D946175"/>
    <w:rsid w:val="4DBD79E5"/>
    <w:rsid w:val="4DD62924"/>
    <w:rsid w:val="4DEF3CD0"/>
    <w:rsid w:val="4E007CCC"/>
    <w:rsid w:val="4E066C27"/>
    <w:rsid w:val="4E547EEE"/>
    <w:rsid w:val="4E8A6F7C"/>
    <w:rsid w:val="4E8E460A"/>
    <w:rsid w:val="4EA654EF"/>
    <w:rsid w:val="4EA94ACC"/>
    <w:rsid w:val="4EE93147"/>
    <w:rsid w:val="4F18311E"/>
    <w:rsid w:val="4F217515"/>
    <w:rsid w:val="4F894663"/>
    <w:rsid w:val="4FA605BB"/>
    <w:rsid w:val="4FAF70FF"/>
    <w:rsid w:val="4FB43A4D"/>
    <w:rsid w:val="50230ED8"/>
    <w:rsid w:val="502E03E5"/>
    <w:rsid w:val="503131E8"/>
    <w:rsid w:val="50401E6C"/>
    <w:rsid w:val="506926E6"/>
    <w:rsid w:val="506F3BEE"/>
    <w:rsid w:val="508A2190"/>
    <w:rsid w:val="50AF0540"/>
    <w:rsid w:val="50D947F6"/>
    <w:rsid w:val="50E14B11"/>
    <w:rsid w:val="50EF45C1"/>
    <w:rsid w:val="510D3FC3"/>
    <w:rsid w:val="512850EE"/>
    <w:rsid w:val="513C1C64"/>
    <w:rsid w:val="51ED4A7E"/>
    <w:rsid w:val="522A08C2"/>
    <w:rsid w:val="523E6D7C"/>
    <w:rsid w:val="52414FA2"/>
    <w:rsid w:val="527121B8"/>
    <w:rsid w:val="528D01BD"/>
    <w:rsid w:val="53135E7F"/>
    <w:rsid w:val="5317561B"/>
    <w:rsid w:val="53183150"/>
    <w:rsid w:val="53A167E6"/>
    <w:rsid w:val="53C2609E"/>
    <w:rsid w:val="53E05B20"/>
    <w:rsid w:val="5417739A"/>
    <w:rsid w:val="541E109B"/>
    <w:rsid w:val="543E06B5"/>
    <w:rsid w:val="543E6097"/>
    <w:rsid w:val="54B11A28"/>
    <w:rsid w:val="54BE0769"/>
    <w:rsid w:val="54C2717B"/>
    <w:rsid w:val="54D64B89"/>
    <w:rsid w:val="54E9335D"/>
    <w:rsid w:val="552655F2"/>
    <w:rsid w:val="554D2CA7"/>
    <w:rsid w:val="55D558A6"/>
    <w:rsid w:val="55F57103"/>
    <w:rsid w:val="561B750D"/>
    <w:rsid w:val="56BE307D"/>
    <w:rsid w:val="56E10628"/>
    <w:rsid w:val="56E65C2E"/>
    <w:rsid w:val="56EA4F11"/>
    <w:rsid w:val="57974CD1"/>
    <w:rsid w:val="5845176C"/>
    <w:rsid w:val="586007E3"/>
    <w:rsid w:val="58626E25"/>
    <w:rsid w:val="588623EA"/>
    <w:rsid w:val="58B95403"/>
    <w:rsid w:val="58CC686A"/>
    <w:rsid w:val="58D54159"/>
    <w:rsid w:val="59100429"/>
    <w:rsid w:val="5A207C83"/>
    <w:rsid w:val="5A814BC1"/>
    <w:rsid w:val="5ABE3238"/>
    <w:rsid w:val="5B1C5688"/>
    <w:rsid w:val="5B2B6A2B"/>
    <w:rsid w:val="5B3A7DFA"/>
    <w:rsid w:val="5B456C44"/>
    <w:rsid w:val="5B6276F6"/>
    <w:rsid w:val="5B7A4CB9"/>
    <w:rsid w:val="5B811743"/>
    <w:rsid w:val="5BC1646C"/>
    <w:rsid w:val="5BCE54F6"/>
    <w:rsid w:val="5C690282"/>
    <w:rsid w:val="5C720C6C"/>
    <w:rsid w:val="5D4F612B"/>
    <w:rsid w:val="5D753A62"/>
    <w:rsid w:val="5DB2727D"/>
    <w:rsid w:val="5DEA460F"/>
    <w:rsid w:val="5E33389B"/>
    <w:rsid w:val="5E841491"/>
    <w:rsid w:val="5EB4233C"/>
    <w:rsid w:val="5EF255F4"/>
    <w:rsid w:val="5FB46B86"/>
    <w:rsid w:val="5FE364C8"/>
    <w:rsid w:val="600702A1"/>
    <w:rsid w:val="601A2042"/>
    <w:rsid w:val="602F2F5E"/>
    <w:rsid w:val="604A282E"/>
    <w:rsid w:val="60CC5200"/>
    <w:rsid w:val="60DB2768"/>
    <w:rsid w:val="61270AB5"/>
    <w:rsid w:val="618E59F2"/>
    <w:rsid w:val="61B3581F"/>
    <w:rsid w:val="62482294"/>
    <w:rsid w:val="62483815"/>
    <w:rsid w:val="625A30F8"/>
    <w:rsid w:val="62BF7A30"/>
    <w:rsid w:val="630D680D"/>
    <w:rsid w:val="631D40BE"/>
    <w:rsid w:val="6360235E"/>
    <w:rsid w:val="63C8657B"/>
    <w:rsid w:val="63DC7ABE"/>
    <w:rsid w:val="63FB5ED8"/>
    <w:rsid w:val="64030D31"/>
    <w:rsid w:val="646E0552"/>
    <w:rsid w:val="64904614"/>
    <w:rsid w:val="649852B6"/>
    <w:rsid w:val="64E66349"/>
    <w:rsid w:val="65630C07"/>
    <w:rsid w:val="659D2D5C"/>
    <w:rsid w:val="65EF78DF"/>
    <w:rsid w:val="65F8531D"/>
    <w:rsid w:val="66090034"/>
    <w:rsid w:val="66212B2A"/>
    <w:rsid w:val="66222BA8"/>
    <w:rsid w:val="66240A2D"/>
    <w:rsid w:val="66A260EB"/>
    <w:rsid w:val="66B2448E"/>
    <w:rsid w:val="67112D40"/>
    <w:rsid w:val="6772322B"/>
    <w:rsid w:val="67A777BB"/>
    <w:rsid w:val="67AD5ED9"/>
    <w:rsid w:val="67D65220"/>
    <w:rsid w:val="67D80E61"/>
    <w:rsid w:val="67F254EA"/>
    <w:rsid w:val="68051A08"/>
    <w:rsid w:val="680B28B1"/>
    <w:rsid w:val="68B56602"/>
    <w:rsid w:val="68DB574E"/>
    <w:rsid w:val="6917508C"/>
    <w:rsid w:val="69356EB7"/>
    <w:rsid w:val="69406B11"/>
    <w:rsid w:val="695C0DCD"/>
    <w:rsid w:val="69A70F54"/>
    <w:rsid w:val="6A067925"/>
    <w:rsid w:val="6A221FEA"/>
    <w:rsid w:val="6A4E5A2D"/>
    <w:rsid w:val="6A7863EF"/>
    <w:rsid w:val="6A835415"/>
    <w:rsid w:val="6A942EA2"/>
    <w:rsid w:val="6A94710C"/>
    <w:rsid w:val="6B6B1297"/>
    <w:rsid w:val="6B7E6B12"/>
    <w:rsid w:val="6BC45860"/>
    <w:rsid w:val="6BDB7903"/>
    <w:rsid w:val="6C543716"/>
    <w:rsid w:val="6C9E6EBC"/>
    <w:rsid w:val="6CB646AA"/>
    <w:rsid w:val="6CC20D27"/>
    <w:rsid w:val="6CD16DBB"/>
    <w:rsid w:val="6D0B1AD9"/>
    <w:rsid w:val="6D5C7151"/>
    <w:rsid w:val="6D930FD8"/>
    <w:rsid w:val="6DCE1123"/>
    <w:rsid w:val="6E4E56C8"/>
    <w:rsid w:val="6E593C97"/>
    <w:rsid w:val="6ED0049C"/>
    <w:rsid w:val="6ED03993"/>
    <w:rsid w:val="6F2A6923"/>
    <w:rsid w:val="6FDD5D2D"/>
    <w:rsid w:val="7021455A"/>
    <w:rsid w:val="70CD1957"/>
    <w:rsid w:val="712C212B"/>
    <w:rsid w:val="714F4B63"/>
    <w:rsid w:val="71585282"/>
    <w:rsid w:val="71C62729"/>
    <w:rsid w:val="71E27285"/>
    <w:rsid w:val="72042B1C"/>
    <w:rsid w:val="7207294B"/>
    <w:rsid w:val="722D71A4"/>
    <w:rsid w:val="72443B3D"/>
    <w:rsid w:val="72E86718"/>
    <w:rsid w:val="732705D6"/>
    <w:rsid w:val="73525DF7"/>
    <w:rsid w:val="73D52B5F"/>
    <w:rsid w:val="74600EF2"/>
    <w:rsid w:val="74917625"/>
    <w:rsid w:val="74A51E7F"/>
    <w:rsid w:val="74E11CF0"/>
    <w:rsid w:val="74FF7DFC"/>
    <w:rsid w:val="750A167D"/>
    <w:rsid w:val="750E2E70"/>
    <w:rsid w:val="753B4046"/>
    <w:rsid w:val="757B49CF"/>
    <w:rsid w:val="75BB13E0"/>
    <w:rsid w:val="76025238"/>
    <w:rsid w:val="760C450B"/>
    <w:rsid w:val="764A2074"/>
    <w:rsid w:val="7693535D"/>
    <w:rsid w:val="77B12220"/>
    <w:rsid w:val="783A1A43"/>
    <w:rsid w:val="789877C2"/>
    <w:rsid w:val="794901D9"/>
    <w:rsid w:val="794D1363"/>
    <w:rsid w:val="79A628D4"/>
    <w:rsid w:val="79AD798E"/>
    <w:rsid w:val="79B12D9C"/>
    <w:rsid w:val="79B629E2"/>
    <w:rsid w:val="7A4524C9"/>
    <w:rsid w:val="7A802C25"/>
    <w:rsid w:val="7AA8015B"/>
    <w:rsid w:val="7AAC7955"/>
    <w:rsid w:val="7ADE3235"/>
    <w:rsid w:val="7B247F56"/>
    <w:rsid w:val="7B6E3319"/>
    <w:rsid w:val="7B8A119C"/>
    <w:rsid w:val="7B974197"/>
    <w:rsid w:val="7B993B74"/>
    <w:rsid w:val="7B9A2D4C"/>
    <w:rsid w:val="7BFA4207"/>
    <w:rsid w:val="7C0343FA"/>
    <w:rsid w:val="7C0A479A"/>
    <w:rsid w:val="7C195BE1"/>
    <w:rsid w:val="7C2B5827"/>
    <w:rsid w:val="7C573F78"/>
    <w:rsid w:val="7C865C82"/>
    <w:rsid w:val="7C8E0FB9"/>
    <w:rsid w:val="7CC300F0"/>
    <w:rsid w:val="7E080DCB"/>
    <w:rsid w:val="7E2B2544"/>
    <w:rsid w:val="7E536C60"/>
    <w:rsid w:val="7F01683A"/>
    <w:rsid w:val="7F164EEF"/>
    <w:rsid w:val="7F1A7B84"/>
    <w:rsid w:val="7FF95347"/>
    <w:rsid w:val="7FFF4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640" w:firstLineChars="200"/>
      <w:jc w:val="both"/>
    </w:pPr>
    <w:rPr>
      <w:rFonts w:eastAsia="仿宋" w:asciiTheme="minorHAnsi" w:hAnsiTheme="minorHAnsi" w:cstheme="minorBidi"/>
      <w:kern w:val="2"/>
      <w:sz w:val="32"/>
      <w:szCs w:val="22"/>
      <w:lang w:val="en-US" w:eastAsia="zh-CN" w:bidi="ar-SA"/>
    </w:rPr>
  </w:style>
  <w:style w:type="paragraph" w:styleId="3">
    <w:name w:val="heading 1"/>
    <w:basedOn w:val="1"/>
    <w:next w:val="1"/>
    <w:link w:val="34"/>
    <w:qFormat/>
    <w:uiPriority w:val="9"/>
    <w:pPr>
      <w:keepNext/>
      <w:keepLines/>
      <w:numPr>
        <w:ilvl w:val="0"/>
        <w:numId w:val="1"/>
      </w:numPr>
      <w:tabs>
        <w:tab w:val="left" w:pos="420"/>
        <w:tab w:val="clear" w:pos="0"/>
      </w:tabs>
      <w:spacing w:beforeLines="50" w:afterLines="50"/>
      <w:ind w:firstLine="0" w:firstLineChars="0"/>
      <w:jc w:val="center"/>
      <w:outlineLvl w:val="0"/>
    </w:pPr>
    <w:rPr>
      <w:b/>
      <w:bCs/>
      <w:kern w:val="44"/>
      <w:sz w:val="36"/>
      <w:szCs w:val="44"/>
    </w:rPr>
  </w:style>
  <w:style w:type="paragraph" w:styleId="4">
    <w:name w:val="heading 2"/>
    <w:basedOn w:val="1"/>
    <w:next w:val="1"/>
    <w:link w:val="36"/>
    <w:unhideWhenUsed/>
    <w:qFormat/>
    <w:uiPriority w:val="9"/>
    <w:pPr>
      <w:keepNext/>
      <w:keepLines/>
      <w:numPr>
        <w:ilvl w:val="1"/>
        <w:numId w:val="1"/>
      </w:numPr>
      <w:tabs>
        <w:tab w:val="left" w:pos="420"/>
        <w:tab w:val="clear" w:pos="0"/>
      </w:tabs>
      <w:spacing w:beforeLines="150" w:afterLines="150" w:line="240" w:lineRule="auto"/>
      <w:ind w:firstLine="0" w:firstLineChars="0"/>
      <w:jc w:val="center"/>
      <w:outlineLvl w:val="1"/>
    </w:pPr>
    <w:rPr>
      <w:rFonts w:asciiTheme="majorHAnsi" w:hAnsiTheme="majorHAnsi" w:cstheme="majorBidi"/>
      <w:b/>
      <w:bCs/>
      <w:szCs w:val="32"/>
    </w:rPr>
  </w:style>
  <w:style w:type="paragraph" w:styleId="5">
    <w:name w:val="heading 3"/>
    <w:basedOn w:val="1"/>
    <w:next w:val="1"/>
    <w:link w:val="37"/>
    <w:unhideWhenUsed/>
    <w:qFormat/>
    <w:uiPriority w:val="9"/>
    <w:pPr>
      <w:keepNext/>
      <w:keepLines/>
      <w:numPr>
        <w:ilvl w:val="2"/>
        <w:numId w:val="1"/>
      </w:numPr>
      <w:tabs>
        <w:tab w:val="left" w:pos="420"/>
        <w:tab w:val="clear" w:pos="0"/>
      </w:tabs>
      <w:spacing w:beforeLines="50" w:afterLines="50"/>
      <w:ind w:firstLine="0" w:firstLineChars="0"/>
      <w:jc w:val="left"/>
      <w:outlineLvl w:val="2"/>
    </w:pPr>
    <w:rPr>
      <w:b/>
      <w:bCs/>
      <w:szCs w:val="32"/>
    </w:rPr>
  </w:style>
  <w:style w:type="paragraph" w:styleId="6">
    <w:name w:val="heading 4"/>
    <w:basedOn w:val="1"/>
    <w:next w:val="1"/>
    <w:link w:val="38"/>
    <w:unhideWhenUsed/>
    <w:qFormat/>
    <w:uiPriority w:val="9"/>
    <w:pPr>
      <w:keepNext/>
      <w:keepLines/>
      <w:numPr>
        <w:ilvl w:val="3"/>
        <w:numId w:val="2"/>
      </w:numPr>
      <w:spacing w:before="280" w:after="290" w:line="376" w:lineRule="auto"/>
      <w:outlineLvl w:val="3"/>
    </w:pPr>
    <w:rPr>
      <w:rFonts w:asciiTheme="majorHAnsi" w:hAnsiTheme="majorHAnsi" w:cstheme="majorBidi"/>
      <w:b/>
      <w:bCs/>
      <w:szCs w:val="28"/>
    </w:rPr>
  </w:style>
  <w:style w:type="paragraph" w:styleId="7">
    <w:name w:val="heading 5"/>
    <w:basedOn w:val="1"/>
    <w:next w:val="1"/>
    <w:link w:val="39"/>
    <w:unhideWhenUsed/>
    <w:qFormat/>
    <w:uiPriority w:val="9"/>
    <w:pPr>
      <w:keepNext/>
      <w:keepLines/>
      <w:numPr>
        <w:ilvl w:val="4"/>
        <w:numId w:val="2"/>
      </w:numPr>
      <w:spacing w:before="280" w:after="290" w:line="376" w:lineRule="auto"/>
      <w:outlineLvl w:val="4"/>
    </w:pPr>
    <w:rPr>
      <w:b/>
      <w:bCs/>
      <w:szCs w:val="28"/>
    </w:rPr>
  </w:style>
  <w:style w:type="paragraph" w:styleId="8">
    <w:name w:val="heading 6"/>
    <w:basedOn w:val="1"/>
    <w:next w:val="1"/>
    <w:link w:val="40"/>
    <w:semiHidden/>
    <w:unhideWhenUsed/>
    <w:qFormat/>
    <w:uiPriority w:val="9"/>
    <w:pPr>
      <w:keepNext/>
      <w:keepLines/>
      <w:numPr>
        <w:ilvl w:val="5"/>
        <w:numId w:val="2"/>
      </w:numPr>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41"/>
    <w:semiHidden/>
    <w:unhideWhenUsed/>
    <w:qFormat/>
    <w:uiPriority w:val="9"/>
    <w:pPr>
      <w:keepNext/>
      <w:keepLines/>
      <w:numPr>
        <w:ilvl w:val="6"/>
        <w:numId w:val="2"/>
      </w:numPr>
      <w:spacing w:before="240" w:after="64" w:line="320" w:lineRule="auto"/>
      <w:outlineLvl w:val="6"/>
    </w:pPr>
    <w:rPr>
      <w:b/>
      <w:bCs/>
      <w:sz w:val="24"/>
      <w:szCs w:val="24"/>
    </w:rPr>
  </w:style>
  <w:style w:type="paragraph" w:styleId="10">
    <w:name w:val="heading 8"/>
    <w:basedOn w:val="1"/>
    <w:next w:val="1"/>
    <w:link w:val="42"/>
    <w:semiHidden/>
    <w:unhideWhenUsed/>
    <w:qFormat/>
    <w:uiPriority w:val="9"/>
    <w:pPr>
      <w:keepNext/>
      <w:keepLines/>
      <w:numPr>
        <w:ilvl w:val="7"/>
        <w:numId w:val="2"/>
      </w:numPr>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43"/>
    <w:semiHidden/>
    <w:unhideWhenUsed/>
    <w:qFormat/>
    <w:uiPriority w:val="9"/>
    <w:pPr>
      <w:keepNext/>
      <w:keepLines/>
      <w:numPr>
        <w:ilvl w:val="8"/>
        <w:numId w:val="2"/>
      </w:numPr>
      <w:spacing w:before="240" w:after="64" w:line="320" w:lineRule="auto"/>
      <w:outlineLvl w:val="8"/>
    </w:pPr>
    <w:rPr>
      <w:rFonts w:asciiTheme="majorHAnsi" w:hAnsiTheme="majorHAnsi" w:eastAsiaTheme="majorEastAsia" w:cstheme="majorBidi"/>
      <w:sz w:val="21"/>
      <w:szCs w:val="21"/>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12">
    <w:name w:val="Normal Indent"/>
    <w:basedOn w:val="1"/>
    <w:qFormat/>
    <w:uiPriority w:val="0"/>
    <w:pPr>
      <w:ind w:firstLine="200"/>
    </w:pPr>
    <w:rPr>
      <w:rFonts w:ascii="Times New Roman" w:hAnsi="Times New Roman" w:eastAsia="宋体" w:cs="Times New Roman"/>
      <w:sz w:val="24"/>
    </w:rPr>
  </w:style>
  <w:style w:type="paragraph" w:styleId="13">
    <w:name w:val="Document Map"/>
    <w:basedOn w:val="1"/>
    <w:link w:val="35"/>
    <w:semiHidden/>
    <w:unhideWhenUsed/>
    <w:qFormat/>
    <w:uiPriority w:val="99"/>
    <w:rPr>
      <w:rFonts w:ascii="宋体" w:eastAsia="宋体"/>
      <w:sz w:val="18"/>
      <w:szCs w:val="18"/>
    </w:rPr>
  </w:style>
  <w:style w:type="paragraph" w:styleId="14">
    <w:name w:val="annotation text"/>
    <w:basedOn w:val="1"/>
    <w:semiHidden/>
    <w:unhideWhenUsed/>
    <w:qFormat/>
    <w:uiPriority w:val="99"/>
    <w:pPr>
      <w:jc w:val="left"/>
    </w:pPr>
  </w:style>
  <w:style w:type="paragraph" w:styleId="15">
    <w:name w:val="Body Text"/>
    <w:basedOn w:val="1"/>
    <w:qFormat/>
    <w:uiPriority w:val="0"/>
    <w:pPr>
      <w:tabs>
        <w:tab w:val="left" w:pos="1620"/>
      </w:tabs>
      <w:spacing w:line="460" w:lineRule="exact"/>
    </w:pPr>
    <w:rPr>
      <w:rFonts w:ascii="FangSong_GB2312" w:eastAsia="FangSong_GB2312"/>
    </w:rPr>
  </w:style>
  <w:style w:type="paragraph" w:styleId="16">
    <w:name w:val="Body Text Indent"/>
    <w:basedOn w:val="1"/>
    <w:semiHidden/>
    <w:unhideWhenUsed/>
    <w:qFormat/>
    <w:uiPriority w:val="99"/>
    <w:pPr>
      <w:spacing w:after="120"/>
      <w:ind w:left="420" w:leftChars="200"/>
    </w:pPr>
  </w:style>
  <w:style w:type="paragraph" w:styleId="17">
    <w:name w:val="toc 3"/>
    <w:basedOn w:val="1"/>
    <w:next w:val="1"/>
    <w:semiHidden/>
    <w:unhideWhenUsed/>
    <w:qFormat/>
    <w:uiPriority w:val="39"/>
    <w:pPr>
      <w:ind w:left="840" w:leftChars="400"/>
    </w:pPr>
  </w:style>
  <w:style w:type="paragraph" w:styleId="18">
    <w:name w:val="Balloon Text"/>
    <w:basedOn w:val="1"/>
    <w:link w:val="44"/>
    <w:semiHidden/>
    <w:unhideWhenUsed/>
    <w:qFormat/>
    <w:uiPriority w:val="99"/>
    <w:rPr>
      <w:sz w:val="18"/>
      <w:szCs w:val="18"/>
    </w:rPr>
  </w:style>
  <w:style w:type="paragraph" w:styleId="19">
    <w:name w:val="footer"/>
    <w:basedOn w:val="1"/>
    <w:unhideWhenUsed/>
    <w:qFormat/>
    <w:uiPriority w:val="99"/>
    <w:pPr>
      <w:tabs>
        <w:tab w:val="center" w:pos="4153"/>
        <w:tab w:val="right" w:pos="8306"/>
      </w:tabs>
      <w:jc w:val="left"/>
    </w:pPr>
    <w:rPr>
      <w:sz w:val="18"/>
    </w:rPr>
  </w:style>
  <w:style w:type="paragraph" w:styleId="20">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21">
    <w:name w:val="toc 1"/>
    <w:basedOn w:val="1"/>
    <w:next w:val="1"/>
    <w:semiHidden/>
    <w:unhideWhenUsed/>
    <w:qFormat/>
    <w:uiPriority w:val="39"/>
  </w:style>
  <w:style w:type="paragraph" w:styleId="22">
    <w:name w:val="toc 2"/>
    <w:basedOn w:val="1"/>
    <w:next w:val="1"/>
    <w:semiHidden/>
    <w:unhideWhenUsed/>
    <w:qFormat/>
    <w:uiPriority w:val="39"/>
    <w:pPr>
      <w:ind w:left="420" w:leftChars="200"/>
    </w:pPr>
  </w:style>
  <w:style w:type="paragraph" w:styleId="23">
    <w:name w:val="Normal (Web)"/>
    <w:basedOn w:val="1"/>
    <w:unhideWhenUsed/>
    <w:qFormat/>
    <w:uiPriority w:val="99"/>
    <w:rPr>
      <w:sz w:val="24"/>
      <w:szCs w:val="24"/>
    </w:rPr>
  </w:style>
  <w:style w:type="paragraph" w:styleId="24">
    <w:name w:val="Body Text First Indent 2"/>
    <w:basedOn w:val="16"/>
    <w:link w:val="65"/>
    <w:semiHidden/>
    <w:unhideWhenUsed/>
    <w:qFormat/>
    <w:uiPriority w:val="99"/>
    <w:pPr>
      <w:ind w:firstLine="420"/>
    </w:pPr>
  </w:style>
  <w:style w:type="paragraph" w:customStyle="1" w:styleId="27">
    <w:name w:val="Plain Text1"/>
    <w:basedOn w:val="28"/>
    <w:qFormat/>
    <w:uiPriority w:val="0"/>
    <w:rPr>
      <w:rFonts w:hint="eastAsia" w:ascii="宋体" w:hAnsi="Courier New"/>
    </w:rPr>
  </w:style>
  <w:style w:type="paragraph" w:customStyle="1" w:styleId="28">
    <w:name w:val="正文 New New New New New New"/>
    <w:next w:val="29"/>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纯文本1"/>
    <w:basedOn w:val="28"/>
    <w:qFormat/>
    <w:uiPriority w:val="0"/>
    <w:rPr>
      <w:rFonts w:hint="eastAsia" w:ascii="宋体" w:hAnsi="Courier New"/>
    </w:rPr>
  </w:style>
  <w:style w:type="paragraph" w:styleId="30">
    <w:name w:val="List Paragraph"/>
    <w:basedOn w:val="1"/>
    <w:qFormat/>
    <w:uiPriority w:val="34"/>
    <w:pPr>
      <w:ind w:firstLine="420"/>
    </w:pPr>
  </w:style>
  <w:style w:type="paragraph" w:customStyle="1" w:styleId="31">
    <w:name w:val="正文 New New New New New New New New New New New"/>
    <w:basedOn w:val="1"/>
    <w:next w:val="32"/>
    <w:qFormat/>
    <w:uiPriority w:val="0"/>
    <w:rPr>
      <w:rFonts w:ascii="Calibri" w:hAnsi="Calibri" w:eastAsia="宋体" w:cs="宋体"/>
      <w:sz w:val="21"/>
      <w:szCs w:val="21"/>
    </w:rPr>
  </w:style>
  <w:style w:type="paragraph" w:customStyle="1" w:styleId="32">
    <w:name w:val="正文首行缩进 2 New New New New"/>
    <w:basedOn w:val="33"/>
    <w:qFormat/>
    <w:uiPriority w:val="0"/>
    <w:pPr>
      <w:ind w:firstLine="480"/>
    </w:pPr>
  </w:style>
  <w:style w:type="paragraph" w:customStyle="1" w:styleId="33">
    <w:name w:val="正文缩进 New New New New"/>
    <w:basedOn w:val="31"/>
    <w:qFormat/>
    <w:uiPriority w:val="0"/>
    <w:pPr>
      <w:ind w:firstLine="200"/>
    </w:pPr>
    <w:rPr>
      <w:rFonts w:ascii="Times New Roman" w:hAnsi="Times New Roman" w:cs="Times New Roman"/>
      <w:sz w:val="24"/>
    </w:rPr>
  </w:style>
  <w:style w:type="character" w:customStyle="1" w:styleId="34">
    <w:name w:val="标题 1 Char"/>
    <w:basedOn w:val="26"/>
    <w:link w:val="3"/>
    <w:qFormat/>
    <w:uiPriority w:val="9"/>
    <w:rPr>
      <w:rFonts w:eastAsia="仿宋" w:asciiTheme="minorHAnsi" w:hAnsiTheme="minorHAnsi" w:cstheme="minorBidi"/>
      <w:b/>
      <w:bCs/>
      <w:kern w:val="44"/>
      <w:sz w:val="36"/>
      <w:szCs w:val="44"/>
    </w:rPr>
  </w:style>
  <w:style w:type="character" w:customStyle="1" w:styleId="35">
    <w:name w:val="文档结构图 Char"/>
    <w:basedOn w:val="26"/>
    <w:link w:val="13"/>
    <w:semiHidden/>
    <w:qFormat/>
    <w:uiPriority w:val="99"/>
    <w:rPr>
      <w:rFonts w:ascii="宋体" w:eastAsia="宋体"/>
      <w:sz w:val="18"/>
      <w:szCs w:val="18"/>
    </w:rPr>
  </w:style>
  <w:style w:type="character" w:customStyle="1" w:styleId="36">
    <w:name w:val="标题 2 Char"/>
    <w:basedOn w:val="26"/>
    <w:link w:val="4"/>
    <w:qFormat/>
    <w:uiPriority w:val="9"/>
    <w:rPr>
      <w:rFonts w:eastAsia="仿宋" w:asciiTheme="majorHAnsi" w:hAnsiTheme="majorHAnsi" w:cstheme="majorBidi"/>
      <w:b/>
      <w:bCs/>
      <w:sz w:val="32"/>
      <w:szCs w:val="32"/>
    </w:rPr>
  </w:style>
  <w:style w:type="character" w:customStyle="1" w:styleId="37">
    <w:name w:val="标题 3 Char"/>
    <w:basedOn w:val="26"/>
    <w:link w:val="5"/>
    <w:qFormat/>
    <w:uiPriority w:val="9"/>
    <w:rPr>
      <w:rFonts w:eastAsia="仿宋" w:asciiTheme="minorHAnsi" w:hAnsiTheme="minorHAnsi" w:cstheme="minorBidi"/>
      <w:b/>
      <w:bCs/>
      <w:kern w:val="2"/>
      <w:sz w:val="32"/>
      <w:szCs w:val="32"/>
    </w:rPr>
  </w:style>
  <w:style w:type="character" w:customStyle="1" w:styleId="38">
    <w:name w:val="标题 4 Char"/>
    <w:basedOn w:val="26"/>
    <w:link w:val="6"/>
    <w:qFormat/>
    <w:uiPriority w:val="9"/>
    <w:rPr>
      <w:rFonts w:eastAsia="仿宋" w:asciiTheme="majorHAnsi" w:hAnsiTheme="majorHAnsi" w:cstheme="majorBidi"/>
      <w:b/>
      <w:bCs/>
      <w:kern w:val="2"/>
      <w:sz w:val="32"/>
      <w:szCs w:val="28"/>
    </w:rPr>
  </w:style>
  <w:style w:type="character" w:customStyle="1" w:styleId="39">
    <w:name w:val="标题 5 Char"/>
    <w:basedOn w:val="26"/>
    <w:link w:val="7"/>
    <w:semiHidden/>
    <w:qFormat/>
    <w:uiPriority w:val="9"/>
    <w:rPr>
      <w:b/>
      <w:bCs/>
      <w:sz w:val="28"/>
      <w:szCs w:val="28"/>
    </w:rPr>
  </w:style>
  <w:style w:type="character" w:customStyle="1" w:styleId="40">
    <w:name w:val="标题 6 Char"/>
    <w:basedOn w:val="26"/>
    <w:link w:val="8"/>
    <w:semiHidden/>
    <w:qFormat/>
    <w:uiPriority w:val="9"/>
    <w:rPr>
      <w:rFonts w:asciiTheme="majorHAnsi" w:hAnsiTheme="majorHAnsi" w:eastAsiaTheme="majorEastAsia" w:cstheme="majorBidi"/>
      <w:b/>
      <w:bCs/>
      <w:sz w:val="24"/>
      <w:szCs w:val="24"/>
    </w:rPr>
  </w:style>
  <w:style w:type="character" w:customStyle="1" w:styleId="41">
    <w:name w:val="标题 7 Char"/>
    <w:basedOn w:val="26"/>
    <w:link w:val="9"/>
    <w:semiHidden/>
    <w:qFormat/>
    <w:uiPriority w:val="9"/>
    <w:rPr>
      <w:b/>
      <w:bCs/>
      <w:sz w:val="24"/>
      <w:szCs w:val="24"/>
    </w:rPr>
  </w:style>
  <w:style w:type="character" w:customStyle="1" w:styleId="42">
    <w:name w:val="标题 8 Char"/>
    <w:basedOn w:val="26"/>
    <w:link w:val="10"/>
    <w:semiHidden/>
    <w:qFormat/>
    <w:uiPriority w:val="9"/>
    <w:rPr>
      <w:rFonts w:asciiTheme="majorHAnsi" w:hAnsiTheme="majorHAnsi" w:eastAsiaTheme="majorEastAsia" w:cstheme="majorBidi"/>
      <w:sz w:val="24"/>
      <w:szCs w:val="24"/>
    </w:rPr>
  </w:style>
  <w:style w:type="character" w:customStyle="1" w:styleId="43">
    <w:name w:val="标题 9 Char"/>
    <w:basedOn w:val="26"/>
    <w:link w:val="11"/>
    <w:semiHidden/>
    <w:qFormat/>
    <w:uiPriority w:val="9"/>
    <w:rPr>
      <w:rFonts w:asciiTheme="majorHAnsi" w:hAnsiTheme="majorHAnsi" w:eastAsiaTheme="majorEastAsia" w:cstheme="majorBidi"/>
      <w:szCs w:val="21"/>
    </w:rPr>
  </w:style>
  <w:style w:type="character" w:customStyle="1" w:styleId="44">
    <w:name w:val="批注框文本 Char"/>
    <w:basedOn w:val="26"/>
    <w:link w:val="18"/>
    <w:semiHidden/>
    <w:qFormat/>
    <w:uiPriority w:val="99"/>
    <w:rPr>
      <w:sz w:val="18"/>
      <w:szCs w:val="18"/>
    </w:rPr>
  </w:style>
  <w:style w:type="paragraph" w:customStyle="1" w:styleId="45">
    <w:name w:val="正文 New New"/>
    <w:basedOn w:val="1"/>
    <w:qFormat/>
    <w:uiPriority w:val="0"/>
    <w:rPr>
      <w:rFonts w:ascii="Times New Roman" w:hAnsi="Times New Roman" w:cs="Segoe Print"/>
    </w:rPr>
  </w:style>
  <w:style w:type="paragraph" w:customStyle="1" w:styleId="46">
    <w:name w:val="p16"/>
    <w:basedOn w:val="1"/>
    <w:qFormat/>
    <w:uiPriority w:val="0"/>
    <w:pPr>
      <w:widowControl/>
    </w:pPr>
    <w:rPr>
      <w:rFonts w:ascii="宋体" w:hAnsi="宋体" w:cs="宋体"/>
      <w:kern w:val="0"/>
    </w:rPr>
  </w:style>
  <w:style w:type="paragraph" w:customStyle="1" w:styleId="47">
    <w:name w:val="正文 New New New New New New New New New New New New New New New New New New New New New New New New New New New New New"/>
    <w:basedOn w:val="1"/>
    <w:qFormat/>
    <w:uiPriority w:val="0"/>
    <w:rPr>
      <w:rFonts w:ascii="FangSong_GB2312" w:hAnsi="Times New Roman" w:eastAsia="宋体"/>
      <w:szCs w:val="32"/>
    </w:rPr>
  </w:style>
  <w:style w:type="paragraph" w:customStyle="1" w:styleId="48">
    <w:name w:val="正文 New New New New New New New New New New New New New New New New New New New New New New New New"/>
    <w:basedOn w:val="1"/>
    <w:next w:val="24"/>
    <w:qFormat/>
    <w:uiPriority w:val="0"/>
    <w:rPr>
      <w:rFonts w:eastAsia="宋体"/>
      <w:sz w:val="21"/>
    </w:r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2">
    <w:name w:val="font21"/>
    <w:basedOn w:val="26"/>
    <w:qFormat/>
    <w:uiPriority w:val="0"/>
    <w:rPr>
      <w:rFonts w:hint="eastAsia" w:ascii="宋体" w:hAnsi="宋体" w:eastAsia="宋体" w:cs="宋体"/>
      <w:color w:val="000000"/>
      <w:sz w:val="24"/>
      <w:szCs w:val="24"/>
      <w:u w:val="none"/>
      <w:vertAlign w:val="subscript"/>
    </w:rPr>
  </w:style>
  <w:style w:type="character" w:customStyle="1" w:styleId="53">
    <w:name w:val="font31"/>
    <w:basedOn w:val="26"/>
    <w:qFormat/>
    <w:uiPriority w:val="0"/>
    <w:rPr>
      <w:rFonts w:hint="eastAsia" w:ascii="宋体" w:hAnsi="宋体" w:eastAsia="宋体" w:cs="宋体"/>
      <w:color w:val="000000"/>
      <w:sz w:val="24"/>
      <w:szCs w:val="24"/>
      <w:u w:val="none"/>
    </w:rPr>
  </w:style>
  <w:style w:type="character" w:customStyle="1" w:styleId="54">
    <w:name w:val="font11"/>
    <w:basedOn w:val="26"/>
    <w:qFormat/>
    <w:uiPriority w:val="0"/>
    <w:rPr>
      <w:rFonts w:hint="eastAsia" w:ascii="宋体" w:hAnsi="宋体" w:eastAsia="宋体" w:cs="宋体"/>
      <w:color w:val="000000"/>
      <w:sz w:val="24"/>
      <w:szCs w:val="24"/>
      <w:u w:val="none"/>
      <w:vertAlign w:val="superscript"/>
    </w:rPr>
  </w:style>
  <w:style w:type="character" w:customStyle="1" w:styleId="55">
    <w:name w:val="font231"/>
    <w:basedOn w:val="26"/>
    <w:qFormat/>
    <w:uiPriority w:val="0"/>
    <w:rPr>
      <w:rFonts w:hint="eastAsia" w:ascii="宋体" w:hAnsi="宋体" w:eastAsia="宋体" w:cs="宋体"/>
      <w:b/>
      <w:color w:val="000000"/>
      <w:sz w:val="22"/>
      <w:szCs w:val="22"/>
      <w:u w:val="none"/>
    </w:rPr>
  </w:style>
  <w:style w:type="character" w:customStyle="1" w:styleId="56">
    <w:name w:val="font171"/>
    <w:basedOn w:val="26"/>
    <w:qFormat/>
    <w:uiPriority w:val="0"/>
    <w:rPr>
      <w:rFonts w:hint="default" w:ascii="Times New Roman" w:hAnsi="Times New Roman" w:cs="Times New Roman"/>
      <w:b/>
      <w:color w:val="000000"/>
      <w:sz w:val="22"/>
      <w:szCs w:val="22"/>
      <w:u w:val="none"/>
    </w:rPr>
  </w:style>
  <w:style w:type="character" w:customStyle="1" w:styleId="57">
    <w:name w:val="font191"/>
    <w:basedOn w:val="26"/>
    <w:qFormat/>
    <w:uiPriority w:val="0"/>
    <w:rPr>
      <w:rFonts w:hint="eastAsia" w:ascii="宋体" w:hAnsi="宋体" w:eastAsia="宋体" w:cs="宋体"/>
      <w:color w:val="000000"/>
      <w:sz w:val="18"/>
      <w:szCs w:val="18"/>
      <w:u w:val="none"/>
    </w:rPr>
  </w:style>
  <w:style w:type="character" w:customStyle="1" w:styleId="58">
    <w:name w:val="font112"/>
    <w:basedOn w:val="26"/>
    <w:qFormat/>
    <w:uiPriority w:val="0"/>
    <w:rPr>
      <w:rFonts w:hint="eastAsia" w:ascii="宋体" w:hAnsi="宋体" w:eastAsia="宋体" w:cs="宋体"/>
      <w:color w:val="333333"/>
      <w:sz w:val="18"/>
      <w:szCs w:val="18"/>
      <w:u w:val="none"/>
    </w:rPr>
  </w:style>
  <w:style w:type="character" w:customStyle="1" w:styleId="59">
    <w:name w:val="font151"/>
    <w:basedOn w:val="26"/>
    <w:qFormat/>
    <w:uiPriority w:val="0"/>
    <w:rPr>
      <w:rFonts w:hint="eastAsia" w:ascii="宋体" w:hAnsi="宋体" w:eastAsia="宋体" w:cs="宋体"/>
      <w:color w:val="000000"/>
      <w:sz w:val="18"/>
      <w:szCs w:val="18"/>
      <w:u w:val="none"/>
    </w:rPr>
  </w:style>
  <w:style w:type="character" w:customStyle="1" w:styleId="60">
    <w:name w:val="font141"/>
    <w:basedOn w:val="26"/>
    <w:qFormat/>
    <w:uiPriority w:val="0"/>
    <w:rPr>
      <w:rFonts w:hint="default" w:ascii="Times New Roman" w:hAnsi="Times New Roman" w:cs="Times New Roman"/>
      <w:color w:val="000000"/>
      <w:sz w:val="18"/>
      <w:szCs w:val="18"/>
      <w:u w:val="none"/>
    </w:rPr>
  </w:style>
  <w:style w:type="character" w:customStyle="1" w:styleId="61">
    <w:name w:val="font221"/>
    <w:basedOn w:val="26"/>
    <w:qFormat/>
    <w:uiPriority w:val="0"/>
    <w:rPr>
      <w:rFonts w:hint="default" w:ascii="Times New Roman" w:hAnsi="Times New Roman" w:cs="Times New Roman"/>
      <w:color w:val="000000"/>
      <w:sz w:val="18"/>
      <w:szCs w:val="18"/>
      <w:u w:val="none"/>
    </w:rPr>
  </w:style>
  <w:style w:type="character" w:customStyle="1" w:styleId="62">
    <w:name w:val="bjh-p"/>
    <w:basedOn w:val="26"/>
    <w:qFormat/>
    <w:uiPriority w:val="0"/>
  </w:style>
  <w:style w:type="paragraph" w:customStyle="1" w:styleId="63">
    <w:name w:val="样式1"/>
    <w:basedOn w:val="1"/>
    <w:qFormat/>
    <w:uiPriority w:val="0"/>
    <w:pPr>
      <w:ind w:firstLine="200"/>
    </w:pPr>
    <w:rPr>
      <w:rFonts w:ascii="FangSong_GB2312" w:hAnsi="Courier New" w:eastAsia="FangSong_GB2312"/>
      <w:spacing w:val="4"/>
      <w:szCs w:val="28"/>
    </w:rPr>
  </w:style>
  <w:style w:type="character" w:customStyle="1" w:styleId="64">
    <w:name w:val="15"/>
    <w:basedOn w:val="26"/>
    <w:qFormat/>
    <w:uiPriority w:val="0"/>
    <w:rPr>
      <w:rFonts w:hint="default" w:ascii="Times New Roman" w:hAnsi="Times New Roman" w:cs="Times New Roman"/>
    </w:rPr>
  </w:style>
  <w:style w:type="character" w:customStyle="1" w:styleId="65">
    <w:name w:val="正文首行缩进 2 Char"/>
    <w:link w:val="24"/>
    <w:qFormat/>
    <w:uiPriority w:val="99"/>
  </w:style>
  <w:style w:type="paragraph" w:customStyle="1" w:styleId="66">
    <w:name w:val="正文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_Style 5"/>
    <w:basedOn w:val="1"/>
    <w:qFormat/>
    <w:uiPriority w:val="0"/>
    <w:pPr>
      <w:ind w:firstLine="200"/>
    </w:pPr>
    <w:rPr>
      <w:rFonts w:cs="宋体"/>
      <w:sz w:val="24"/>
      <w:szCs w:val="24"/>
    </w:rPr>
  </w:style>
  <w:style w:type="character" w:customStyle="1" w:styleId="68">
    <w:name w:val="font101"/>
    <w:basedOn w:val="26"/>
    <w:qFormat/>
    <w:uiPriority w:val="0"/>
    <w:rPr>
      <w:rFonts w:hint="eastAsia" w:ascii="宋体" w:hAnsi="宋体" w:eastAsia="宋体" w:cs="宋体"/>
      <w:b/>
      <w:color w:val="000000"/>
      <w:sz w:val="22"/>
      <w:szCs w:val="22"/>
      <w:u w:val="none"/>
    </w:rPr>
  </w:style>
  <w:style w:type="character" w:customStyle="1" w:styleId="69">
    <w:name w:val="font181"/>
    <w:basedOn w:val="26"/>
    <w:qFormat/>
    <w:uiPriority w:val="0"/>
    <w:rPr>
      <w:rFonts w:hint="default" w:ascii="Times New Roman" w:hAnsi="Times New Roman" w:cs="Times New Roman"/>
      <w:b/>
      <w:color w:val="000000"/>
      <w:sz w:val="22"/>
      <w:szCs w:val="22"/>
      <w:u w:val="none"/>
    </w:rPr>
  </w:style>
  <w:style w:type="character" w:customStyle="1" w:styleId="70">
    <w:name w:val="font131"/>
    <w:basedOn w:val="26"/>
    <w:qFormat/>
    <w:uiPriority w:val="0"/>
    <w:rPr>
      <w:rFonts w:hint="default" w:ascii="Times New Roman" w:hAnsi="Times New Roman" w:cs="Times New Roman"/>
      <w:color w:val="FF0000"/>
      <w:sz w:val="18"/>
      <w:szCs w:val="18"/>
      <w:u w:val="none"/>
    </w:rPr>
  </w:style>
  <w:style w:type="character" w:customStyle="1" w:styleId="71">
    <w:name w:val="font81"/>
    <w:basedOn w:val="26"/>
    <w:qFormat/>
    <w:uiPriority w:val="0"/>
    <w:rPr>
      <w:rFonts w:hint="eastAsia" w:ascii="宋体" w:hAnsi="宋体" w:eastAsia="宋体" w:cs="宋体"/>
      <w:color w:val="000000"/>
      <w:sz w:val="18"/>
      <w:szCs w:val="18"/>
      <w:u w:val="none"/>
    </w:rPr>
  </w:style>
  <w:style w:type="character" w:customStyle="1" w:styleId="72">
    <w:name w:val="font121"/>
    <w:basedOn w:val="26"/>
    <w:qFormat/>
    <w:uiPriority w:val="0"/>
    <w:rPr>
      <w:rFonts w:hint="eastAsia" w:ascii="宋体" w:hAnsi="宋体" w:eastAsia="宋体" w:cs="宋体"/>
      <w:color w:val="000000"/>
      <w:sz w:val="18"/>
      <w:szCs w:val="18"/>
      <w:u w:val="none"/>
    </w:rPr>
  </w:style>
  <w:style w:type="character" w:customStyle="1" w:styleId="73">
    <w:name w:val="font91"/>
    <w:basedOn w:val="26"/>
    <w:qFormat/>
    <w:uiPriority w:val="0"/>
    <w:rPr>
      <w:rFonts w:hint="default" w:ascii="Times New Roman" w:hAnsi="Times New Roman" w:cs="Times New Roman"/>
      <w:color w:val="000000"/>
      <w:sz w:val="18"/>
      <w:szCs w:val="18"/>
      <w:u w:val="none"/>
    </w:rPr>
  </w:style>
  <w:style w:type="paragraph" w:customStyle="1" w:styleId="74">
    <w:name w:val="图表标题"/>
    <w:basedOn w:val="1"/>
    <w:qFormat/>
    <w:uiPriority w:val="0"/>
    <w:pPr>
      <w:jc w:val="center"/>
    </w:pPr>
    <w:rPr>
      <w:b/>
      <w:sz w:val="28"/>
    </w:rPr>
  </w:style>
  <w:style w:type="paragraph" w:customStyle="1" w:styleId="75">
    <w:name w:val="图表"/>
    <w:basedOn w:val="74"/>
    <w:qFormat/>
    <w:uiPriority w:val="0"/>
    <w:pPr>
      <w:spacing w:line="240" w:lineRule="auto"/>
      <w:ind w:firstLine="0" w:firstLineChars="0"/>
    </w:pPr>
    <w:rPr>
      <w:b w:val="0"/>
      <w:sz w:val="24"/>
    </w:rPr>
  </w:style>
  <w:style w:type="paragraph" w:customStyle="1" w:styleId="76">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77">
    <w:name w:val="font71"/>
    <w:basedOn w:val="26"/>
    <w:qFormat/>
    <w:uiPriority w:val="0"/>
    <w:rPr>
      <w:rFonts w:hint="default" w:ascii="Times New Roman" w:hAnsi="Times New Roman" w:cs="Times New Roman"/>
      <w:color w:val="000000"/>
      <w:sz w:val="20"/>
      <w:szCs w:val="20"/>
      <w:u w:val="none"/>
    </w:rPr>
  </w:style>
  <w:style w:type="character" w:customStyle="1" w:styleId="78">
    <w:name w:val="font41"/>
    <w:basedOn w:val="26"/>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ADABD1-597A-4DCF-AD9C-EAB31FA02002}">
  <ds:schemaRefs/>
</ds:datastoreItem>
</file>

<file path=docProps/app.xml><?xml version="1.0" encoding="utf-8"?>
<Properties xmlns="http://schemas.openxmlformats.org/officeDocument/2006/extended-properties" xmlns:vt="http://schemas.openxmlformats.org/officeDocument/2006/docPropsVTypes">
  <Template>Normal</Template>
  <Pages>146</Pages>
  <Words>27816</Words>
  <Characters>28376</Characters>
  <Lines>540</Lines>
  <Paragraphs>152</Paragraphs>
  <TotalTime>9</TotalTime>
  <ScaleCrop>false</ScaleCrop>
  <LinksUpToDate>false</LinksUpToDate>
  <CharactersWithSpaces>28823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2021-02-03T01:58:00Z</dcterms:created>
  <dc:creator>Administrator</dc:creator>
  <cp:lastModifiedBy>拔丝地瓜</cp:lastModifiedBy>
  <cp:lastPrinted>2021-06-28T07:27:00Z</cp:lastPrinted>
  <dcterms:modified xsi:type="dcterms:W3CDTF">2026-07-23T01:42:27Z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ribbonExt">
    <vt:lpwstr>{"WPSExtOfficeTab":{"OnGetEnabled":false,"OnGetVisible":false}}</vt:lpwstr>
  </property>
  <property fmtid="{D5CDD505-2E9C-101B-9397-08002B2CF9AE}" pid="4" name="ICV">
    <vt:lpwstr>406F08617DE543628EE1F1F23E8D42D3_13</vt:lpwstr>
  </property>
</Properties>
</file>