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第五次全国经济普查公报（第四号）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bCs/>
          <w:color w:val="0C0C0C"/>
          <w:kern w:val="0"/>
          <w:sz w:val="44"/>
          <w:szCs w:val="44"/>
          <w:shd w:val="clear" w:color="auto" w:fill="FFFFFF"/>
          <w:lang w:val="en-US" w:eastAsia="zh-CN" w:bidi="ar"/>
        </w:rPr>
        <w:t>——第三产业基本情况之一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仁化县</w:t>
      </w:r>
      <w:r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仁化县</w:t>
      </w:r>
      <w:r>
        <w:rPr>
          <w:rFonts w:hint="eastAsia" w:ascii="Times New Roman" w:hAnsi="Times New Roman" w:eastAsia="方正楷体_GBK" w:cs="方正楷体_GBK"/>
          <w:color w:val="0C0C0C"/>
          <w:kern w:val="2"/>
          <w:sz w:val="32"/>
          <w:szCs w:val="32"/>
          <w:lang w:val="en-US" w:eastAsia="zh-CN" w:bidi="ar-SA"/>
        </w:rPr>
        <w:t>第五次全国经济普查领导小组办公室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baseline"/>
        <w:rPr>
          <w:rFonts w:hint="default" w:ascii="Times New Roman" w:hAnsi="Times New Roman" w:cs="Times New Roman"/>
          <w:color w:val="0C0C0C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日</w:t>
      </w:r>
      <w:r>
        <w:rPr>
          <w:rFonts w:hint="eastAsia" w:ascii="Times New Roman" w:hAnsi="Times New Roman" w:eastAsia="方正楷体_GBK" w:cs="Times New Roman"/>
          <w:color w:val="0C0C0C"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cs="Times New Roman"/>
          <w:color w:val="0C0C0C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eastAsia" w:ascii="Times New Roman" w:hAnsi="Times New Roman" w:cs="Times New Roman"/>
          <w:color w:val="0C0C0C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根据第五次全国经济普查结果，现将我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第三产业（不含金融业）中批发和零售业，交通运输、仓储和邮政业，住宿和餐饮业，信息传输、软件和信息技术服务业，房地产业，租赁和商务服务业的主要数据公布如下：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一、批发和零售业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center"/>
        <w:rPr>
          <w:rFonts w:hint="eastAsia" w:ascii="Times New Roman" w:hAnsi="Times New Roman" w:cs="Times New Roman"/>
          <w:color w:val="0C0C0C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2023年末，全</w:t>
      </w:r>
      <w:r>
        <w:rPr>
          <w:rFonts w:hint="eastAsia" w:cs="Times New Roman"/>
          <w:color w:val="0C0C0C"/>
          <w:spacing w:val="-6"/>
          <w:sz w:val="32"/>
          <w:szCs w:val="32"/>
          <w:u w:val="none"/>
          <w:lang w:val="en-US" w:eastAsia="zh-CN"/>
        </w:rPr>
        <w:t>县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共有批发和零售业企业法人单位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270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1038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74.1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2.8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center"/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在批发和零售业企业法人单位中，批发业占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40.4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%，零售业占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59.6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%。在批发和零售业企业法人单位从业人员中，批发业占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38.9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%，零售业占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61.1</w:t>
      </w:r>
      <w:r>
        <w:rPr>
          <w:rFonts w:hint="eastAsia" w:ascii="Times New Roman" w:hAnsi="Times New Roman" w:cs="Times New Roman"/>
          <w:color w:val="0C0C0C"/>
          <w:sz w:val="32"/>
          <w:szCs w:val="32"/>
          <w:u w:val="none"/>
          <w:lang w:val="en-US" w:eastAsia="zh-CN"/>
        </w:rPr>
        <w:t>%（详见表4-1）。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　按行业中类分组的批发和零售业企业法人单位数和从业人员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1704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21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02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75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1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270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批发业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109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农、林、牧、渔产品批发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纺织、服装及家庭用品批发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矿产品、建材及化工产品批发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机械设备、五金产品及电子产品批发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贸易经纪与代理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其他批发业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零售业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161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综合零售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纺织、服装及日用品专门零售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汽车、摩托车、零配件和燃料及其他动力销售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家用电器及电子产品专门零售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五金、家具及室内装饰材料专门零售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21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货摊、无店铺及其他零售业</w:t>
            </w:r>
          </w:p>
        </w:tc>
        <w:tc>
          <w:tcPr>
            <w:tcW w:w="1026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755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在批发和零售业企业法人单位中，内资企业占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99.2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%，港澳台投资企业占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0.4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%，外商投资企业占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0.4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在批发和零售业企业法人单位从业人员中，内资企业占</w:t>
      </w:r>
      <w:r>
        <w:rPr>
          <w:rFonts w:hint="eastAsia" w:cs="Times New Roman"/>
          <w:color w:val="0C0C0C"/>
          <w:spacing w:val="-6"/>
          <w:sz w:val="32"/>
          <w:szCs w:val="32"/>
          <w:u w:val="none"/>
          <w:lang w:val="en-US" w:eastAsia="zh-CN"/>
        </w:rPr>
        <w:t>99.4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%，港澳台投资企业占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0.1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%，外商投资企业占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0.5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%（详见表4-2）。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表4-2　按登记注册统计类别分组的批发和零售业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30"/>
        <w:gridCol w:w="2575"/>
        <w:gridCol w:w="21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2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55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32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212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5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5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268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港澳台投资企业</w:t>
            </w:r>
          </w:p>
        </w:tc>
        <w:tc>
          <w:tcPr>
            <w:tcW w:w="15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2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155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2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其他统计类别</w:t>
            </w:r>
          </w:p>
        </w:tc>
        <w:tc>
          <w:tcPr>
            <w:tcW w:w="1550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2023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年末，批发和零售业企业法人单位资产总计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9.09亿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75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%；负债合计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7.1亿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116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center"/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2023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年，批发和零售业企业法人单位全年实现营业收入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9.18亿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元，比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2018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3.2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%（详见表</w:t>
      </w:r>
      <w:r>
        <w:rPr>
          <w:rFonts w:hint="eastAsia" w:ascii="Times New Roman" w:hAnsi="Times New Roman" w:eastAsia="方正仿宋_GBK" w:cs="Times New Roman"/>
          <w:color w:val="0C0C0C"/>
          <w:kern w:val="2"/>
          <w:sz w:val="32"/>
          <w:szCs w:val="32"/>
          <w:u w:val="none"/>
          <w:lang w:val="en-US" w:eastAsia="zh-CN" w:bidi="ar-SA"/>
        </w:rPr>
        <w:t>4-3</w:t>
      </w:r>
      <w:r>
        <w:rPr>
          <w:rFonts w:hint="eastAsia" w:ascii="Times New Roman" w:hAnsi="Times New Roman" w:cs="Times New Roman"/>
          <w:color w:val="0C0C0C"/>
          <w:spacing w:val="-6"/>
          <w:sz w:val="32"/>
          <w:szCs w:val="32"/>
          <w:u w:val="none"/>
          <w:lang w:val="en-US" w:eastAsia="zh-CN"/>
        </w:rPr>
        <w:t>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表4-3　按行业中类分组的批发和零售业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 企业法人单位主要经济指标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3"/>
        <w:gridCol w:w="1585"/>
        <w:gridCol w:w="1495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47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5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9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89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95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9.09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7.10</w:t>
            </w:r>
          </w:p>
        </w:tc>
        <w:tc>
          <w:tcPr>
            <w:tcW w:w="89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批发业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5.79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4.48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农、林、牧、渔产品批发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0.19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0.12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0.93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0.66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纺织、服装及家庭用品批发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0.28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0.24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0.19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0.14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0.11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0.08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矿产品、建材及化工产品批发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3.79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3.04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机械设备、五金产品及电子产品批发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0.18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0.14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贸易经纪与代理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其他批发业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0.13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0.06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零售业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3.30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2.62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综合零售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0.28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0.31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食品、饮料及烟草制品专门零售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0.52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0.30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纺织、服装及日用品专门零售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...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文化、体育用品及器材专门零售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0.17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0.16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医药及医疗器材专门零售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0.03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汽车、摩托车、零配件和燃料及其他动力销售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1.27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0.92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家用电器及电子产品专门零售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0.33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0.29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五金、家具及室内装饰材料专门零售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0.52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0.48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47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货摊、无店铺及其他零售业</w:t>
            </w:r>
          </w:p>
        </w:tc>
        <w:tc>
          <w:tcPr>
            <w:tcW w:w="954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0.18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0.13</w:t>
            </w:r>
          </w:p>
        </w:tc>
        <w:tc>
          <w:tcPr>
            <w:tcW w:w="897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0.18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二、交通运输、仓储和邮政业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共有交通运输、仓储和邮政业企业法人单位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425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75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172.4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%（详见表4-4）。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表4-4　按行业大类分组的交通运输、仓储和邮政业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98"/>
        <w:gridCol w:w="2330"/>
        <w:gridCol w:w="2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6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40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4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40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430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铁路运输业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道路运输业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水上运输业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航空运输业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管道运输业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多式联运和运输代理业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装卸搬运和仓储业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6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邮政业</w:t>
            </w:r>
          </w:p>
        </w:tc>
        <w:tc>
          <w:tcPr>
            <w:tcW w:w="1403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30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在交通运输、仓储和邮政业企业法人单位中，内资企业占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91.4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%，港澳台投资企业占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8.6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在交通运输、仓储和邮政业企业法人单位从业人员中，内资企业占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91.1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%，港澳台投资企业占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8.9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%（详见表4-5）。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表4-5　按登记注册统计类别分组的交通运输、仓储和邮政业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7"/>
        <w:gridCol w:w="2314"/>
        <w:gridCol w:w="23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0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39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39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39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139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港澳台投资企业</w:t>
            </w:r>
          </w:p>
        </w:tc>
        <w:tc>
          <w:tcPr>
            <w:tcW w:w="139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39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1393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398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1393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  <w:tc>
          <w:tcPr>
            <w:tcW w:w="1398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2023年末，交通运输、仓储和邮政业企业法人单位资产总计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3.69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284.5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%；负债合计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3.02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309.1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2023年，交通运输、仓储和邮政业企业法人单位全年实现营业收入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1.38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144.5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%（详见表4-6）。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表4-6　按行业大类分组的交通运输、仓储和邮政业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企业法人单位主要经济指标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70"/>
        <w:gridCol w:w="1577"/>
        <w:gridCol w:w="1577"/>
        <w:gridCol w:w="1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14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94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94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95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3.69</w:t>
            </w:r>
          </w:p>
        </w:tc>
        <w:tc>
          <w:tcPr>
            <w:tcW w:w="94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3.02</w:t>
            </w:r>
          </w:p>
        </w:tc>
        <w:tc>
          <w:tcPr>
            <w:tcW w:w="95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铁路运输业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道路运输业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2.88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2.13</w:t>
            </w: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水上运输业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0.60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0.80</w:t>
            </w: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航空运输业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管道运输业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多式联运和运输代理业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0.05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装卸搬运和仓储业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0.15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0.08</w:t>
            </w: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48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邮政业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  <w:tc>
          <w:tcPr>
            <w:tcW w:w="94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0.00</w:t>
            </w:r>
          </w:p>
        </w:tc>
        <w:tc>
          <w:tcPr>
            <w:tcW w:w="951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三、住宿和餐饮业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共有住宿和餐饮业企业法人单位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851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43.2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35.0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在住宿和餐饮业企业法人单位中，住宿业占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54.7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%，餐饮业占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45.3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%。在住宿和餐饮业企业法人单位从业人员中，住宿业占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58.3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%，餐饮业占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41.7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%（详见表4-7）。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表4-7　按行业中类分组的住宿和餐饮业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企业法人单位数和从业人员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95"/>
        <w:gridCol w:w="2649"/>
        <w:gridCol w:w="1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tblHeader/>
          <w:jc w:val="center"/>
        </w:trPr>
        <w:tc>
          <w:tcPr>
            <w:tcW w:w="369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64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96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住宿业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旅游饭店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一般旅馆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民宿服务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露营地服务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其他住宿业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餐饮业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正餐服务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快餐服务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饮料及冷饮服务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餐饮配送及外卖送餐服务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369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其他餐饮业</w:t>
            </w:r>
          </w:p>
        </w:tc>
        <w:tc>
          <w:tcPr>
            <w:tcW w:w="264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62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%，港澳台投资企业占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%，外商投资企业占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在住宿和餐饮业企业法人单位从业人员中，内资企业占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100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%，港澳台投资企业占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%，外商投资企业占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%（详见表4-8）。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表4-8　按登记注册统计类别分组的住宿和餐饮业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2676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20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1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18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187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118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18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187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187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2023年末，住宿和餐饮业企业法人单位资产总计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2.8亿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47.6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</w:t>
      </w: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负债合计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2.77亿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30.8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/>
          <w:color w:val="0C0C0C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2023年，住宿和餐饮业企业法人单位全年实现营业收入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1.5亿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元，比2018年增长</w:t>
      </w:r>
      <w:r>
        <w:rPr>
          <w:rFonts w:hint="eastAsia" w:cs="Times New Roman"/>
          <w:color w:val="0C0C0C"/>
          <w:sz w:val="32"/>
          <w:szCs w:val="32"/>
          <w:u w:val="none"/>
          <w:lang w:val="en-US" w:eastAsia="zh-CN"/>
        </w:rPr>
        <w:t>32.7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%（详见表4-9）。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表4-9　按行业中类分组的住宿和餐饮业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 企业法人单位主要经济指标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24"/>
        <w:gridCol w:w="1560"/>
        <w:gridCol w:w="1561"/>
        <w:gridCol w:w="15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18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9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  <w:tc>
          <w:tcPr>
            <w:tcW w:w="93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Fonts w:hint="eastAsia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亿</w:t>
            </w: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2.80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2.77</w:t>
            </w:r>
          </w:p>
        </w:tc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住宿业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2.28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2.53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旅游饭店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0.79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1.01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一般旅馆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1.12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1.28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民宿服务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0.23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0.13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/>
              <w:jc w:val="both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露营地服务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0.04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其他住宿业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0.09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0.06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餐饮业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0.52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0.24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正餐服务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0.52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0.24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快餐服务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饮料及冷饮服务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餐饮配送及外卖送餐服务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181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420" w:firstLineChars="20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其他餐饮业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0.0003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0.0003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四、信息传输、软件和信息技术服务业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共有信息传输、软件和信息技术服务业企业法人单位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101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58.3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%（详见表4-10）。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表4-10　按行业大类分组的信息传输、软件和信息技术服务业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4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3"/>
        <w:gridCol w:w="2674"/>
        <w:gridCol w:w="1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78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48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28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20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7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电信、广播电视和卫星传输服务</w:t>
            </w:r>
          </w:p>
        </w:tc>
        <w:tc>
          <w:tcPr>
            <w:tcW w:w="28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互联网和相关服务</w:t>
            </w:r>
          </w:p>
        </w:tc>
        <w:tc>
          <w:tcPr>
            <w:tcW w:w="28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78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软件和信息技术服务业</w:t>
            </w:r>
          </w:p>
        </w:tc>
        <w:tc>
          <w:tcPr>
            <w:tcW w:w="280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57" w:leftChars="0" w:right="57" w:rightChars="0"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05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33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在信息传输、软件和信息技术服务业企业法人单位中，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在信息传输、软件和信息技术服务业企业法人单位从业人员中，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内资企业（详见表4-11）。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表4-11　按登记注册统计类别分组的信息传输、软件和信息技术服务业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8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2676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0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1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18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11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1611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2023年末，信息传输、软件和信息技术服务业企业法人单位资产总计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0.47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1291.9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%；负债合计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0.27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1015.2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2023年，信息传输、软件和信息技术服务业企业法人单位全年实现营业收入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0.21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315.3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%（详见表4-12）。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表4-12　按行业大类分组的信息传输、软件和信息技术服务业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企业法人单位主要经济指标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6"/>
        <w:gridCol w:w="1495"/>
        <w:gridCol w:w="1495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97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50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9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90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90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7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0.47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0.27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电信、广播电视和卫星传输服务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0.20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0.10</w:t>
            </w:r>
          </w:p>
        </w:tc>
        <w:tc>
          <w:tcPr>
            <w:tcW w:w="90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97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互联网和相关服务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01" w:type="pct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97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软件和信息技术服务业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0.26</w:t>
            </w:r>
          </w:p>
        </w:tc>
        <w:tc>
          <w:tcPr>
            <w:tcW w:w="900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0.17</w:t>
            </w:r>
          </w:p>
        </w:tc>
        <w:tc>
          <w:tcPr>
            <w:tcW w:w="901" w:type="pct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0.07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五、房地产业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0" w:firstLineChars="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共有房地产业企业法人单位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61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下降14.1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%。其中，房地产开发经营企业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个，物业管理企业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个，房地产中介服务企业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个，分别比2018年末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下降14.3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%、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增长50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300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房地产业企业法人单位从业人员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651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下降12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%。其中，房地产开发经营企业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249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人,比2018年末下降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</w:t>
      </w:r>
      <w:r>
        <w:rPr>
          <w:rFonts w:hint="eastAsia" w:ascii="Times New Roman" w:hAnsi="Times New Roman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物业管理企业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360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人，房地产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租赁经营23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55.2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下降71.9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%（详见表4-15）。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表4-15　按行业中类分组的房地产业企业法人单位数和从业人员</w:t>
      </w:r>
    </w:p>
    <w:tbl>
      <w:tblPr>
        <w:tblStyle w:val="11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57"/>
        <w:gridCol w:w="2685"/>
        <w:gridCol w:w="25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0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1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54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16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 w:val="0"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房地产开发经营</w:t>
            </w:r>
          </w:p>
        </w:tc>
        <w:tc>
          <w:tcPr>
            <w:tcW w:w="161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物业管理</w:t>
            </w:r>
          </w:p>
        </w:tc>
        <w:tc>
          <w:tcPr>
            <w:tcW w:w="161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房地产中介服务</w:t>
            </w:r>
          </w:p>
        </w:tc>
        <w:tc>
          <w:tcPr>
            <w:tcW w:w="161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房地产租赁经营</w:t>
            </w:r>
          </w:p>
        </w:tc>
        <w:tc>
          <w:tcPr>
            <w:tcW w:w="1616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40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其他房地产业</w:t>
            </w:r>
          </w:p>
        </w:tc>
        <w:tc>
          <w:tcPr>
            <w:tcW w:w="1616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在房地产业企业法人单位中，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在房地产业企业法人单位从业人员中，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内资企（详见表4-16）。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表4-16　按登记注册统计类别分组的房地产业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55"/>
        <w:gridCol w:w="2676"/>
        <w:gridCol w:w="1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201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61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（万个）</w:t>
            </w:r>
          </w:p>
        </w:tc>
        <w:tc>
          <w:tcPr>
            <w:tcW w:w="118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（万人）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8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8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8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201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81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73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房地产业企业法人单位资产总计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47.25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下降7.8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%。其中，房地产开发经营企业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45.48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亿元，物业管理企业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亿元，房地产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租赁经营业1.57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/>
          <w:lang w:val="en-US" w:eastAsia="zh-CN"/>
        </w:rPr>
        <w:t>分别比2018年末下降7.4%、增长566.7%和下降25.9%。房地产业企业法人单位负债合计40.11亿元，比2018年末下降10.8%。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2023年，房地产业企业法人单位全年实现营业收入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4.81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下降32.7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%（详见表4-17）。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表4-17　按行业中类分组的房地产业企业法人单位主要经济指标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6"/>
        <w:gridCol w:w="1573"/>
        <w:gridCol w:w="1573"/>
        <w:gridCol w:w="1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8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64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47.25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40.11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b/>
                <w:bCs/>
                <w:i w:val="0"/>
                <w:color w:val="0C0C0C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房地产开发经营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45.48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39.31</w:t>
            </w:r>
          </w:p>
        </w:tc>
        <w:tc>
          <w:tcPr>
            <w:tcW w:w="16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物业管理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0.17</w:t>
            </w:r>
          </w:p>
        </w:tc>
        <w:tc>
          <w:tcPr>
            <w:tcW w:w="16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房地产中介服务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0.01</w:t>
            </w:r>
          </w:p>
        </w:tc>
        <w:tc>
          <w:tcPr>
            <w:tcW w:w="16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房地产租赁经营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1.57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0.63</w:t>
            </w:r>
          </w:p>
        </w:tc>
        <w:tc>
          <w:tcPr>
            <w:tcW w:w="1643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其他房地产业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1643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43" w:firstLineChars="20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sz w:val="32"/>
          <w:szCs w:val="32"/>
          <w:highlight w:val="none"/>
        </w:rPr>
      </w:pPr>
      <w:r>
        <w:rPr>
          <w:rFonts w:hint="eastAsia" w:cs="仿宋_GB2312"/>
          <w:b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六、租赁和商务服务业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0" w:firstLineChars="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（一）企业法人单位数和从业人员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2023年末，全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县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共有租赁和商务服务业企业法人单位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1337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个，从业人员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559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人，分别比2018年末增长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1895.5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下降71.5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在租赁和商务服务业企业法人单位中，租赁业占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0.9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%，商务服务业占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99.1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%。在租赁和商务服务业企业法人单位从业人员中，租赁业占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14.8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%，商务服务业占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85.2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%（详见表4-18）。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表4-18　按行业大类分组的租赁和商务服务业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  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48"/>
        <w:gridCol w:w="2571"/>
        <w:gridCol w:w="2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2016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54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43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016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54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1337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6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租赁业</w:t>
            </w:r>
          </w:p>
        </w:tc>
        <w:tc>
          <w:tcPr>
            <w:tcW w:w="1548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50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16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商务服务业</w:t>
            </w:r>
          </w:p>
        </w:tc>
        <w:tc>
          <w:tcPr>
            <w:tcW w:w="1548" w:type="pct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1325</w:t>
            </w:r>
          </w:p>
        </w:tc>
        <w:tc>
          <w:tcPr>
            <w:tcW w:w="250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right"/>
              <w:textAlignment w:val="center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476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内资企业。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在租赁和商务服务业企业法人单位从业人员中，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全部为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内资企业（详见表4-19）。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表4-19　按登记注册统计类别分组的租赁和商务服务业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企业法人单位数和从业人员</w:t>
      </w:r>
    </w:p>
    <w:tbl>
      <w:tblPr>
        <w:tblStyle w:val="11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8"/>
        <w:gridCol w:w="2551"/>
        <w:gridCol w:w="2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22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</w:p>
        </w:tc>
        <w:tc>
          <w:tcPr>
            <w:tcW w:w="1536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企业法人单位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（个）</w:t>
            </w:r>
          </w:p>
        </w:tc>
        <w:tc>
          <w:tcPr>
            <w:tcW w:w="1441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从业人员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22" w:type="pc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26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1337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内资企业</w:t>
            </w:r>
          </w:p>
        </w:tc>
        <w:tc>
          <w:tcPr>
            <w:tcW w:w="26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1337</w:t>
            </w: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" w:eastAsia="zh-CN" w:bidi="ar"/>
              </w:rPr>
              <w:t>港澳台</w:t>
            </w: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投资企业</w:t>
            </w:r>
          </w:p>
        </w:tc>
        <w:tc>
          <w:tcPr>
            <w:tcW w:w="26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2022" w:type="pct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外商投资企业</w:t>
            </w:r>
          </w:p>
        </w:tc>
        <w:tc>
          <w:tcPr>
            <w:tcW w:w="26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23" w:hRule="atLeast"/>
          <w:jc w:val="center"/>
        </w:trPr>
        <w:tc>
          <w:tcPr>
            <w:tcW w:w="2022" w:type="pct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rightChars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其他统计类别</w:t>
            </w:r>
          </w:p>
        </w:tc>
        <w:tc>
          <w:tcPr>
            <w:tcW w:w="268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 w:val="0"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  <w:tc>
          <w:tcPr>
            <w:tcW w:w="2516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Times New Roman" w:hAnsi="Times New Roman" w:eastAsia="楷体_GB2312" w:cs="楷体_GB2312"/>
          <w:i w:val="0"/>
          <w:caps w:val="0"/>
          <w:color w:val="0C0C0C"/>
          <w:spacing w:val="0"/>
          <w:kern w:val="0"/>
          <w:sz w:val="32"/>
          <w:szCs w:val="32"/>
          <w:highlight w:val="none"/>
          <w:lang w:val="en-US" w:eastAsia="zh-CN" w:bidi="ar"/>
        </w:rPr>
        <w:t>（二）主要经济指标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2023年末，租赁和商务服务业企业法人单位资产总计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18.04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下降22.4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%。其中，租赁业企业法人单位资产总计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0.73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亿元，商务服务业企业法人单位资产总计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17.31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亿元，分别比2018年末增长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4653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%和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下降25.5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%。租赁和商务服务业企业法人单位负债合计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7.96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比2018年末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下降22.2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616" w:firstLineChars="200"/>
        <w:jc w:val="both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2023年，租赁和商务服务业企业法人单位全年实现营业收入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亿元，比2018年</w:t>
      </w:r>
      <w:r>
        <w:rPr>
          <w:rFonts w:hint="eastAsia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下降25.8</w:t>
      </w:r>
      <w:r>
        <w:rPr>
          <w:rFonts w:hint="eastAsia" w:ascii="Times New Roman" w:hAnsi="Times New Roman" w:eastAsia="方正仿宋_GBK" w:cs="Times New Roman"/>
          <w:color w:val="0C0C0C"/>
          <w:spacing w:val="-6"/>
          <w:kern w:val="2"/>
          <w:sz w:val="32"/>
          <w:szCs w:val="32"/>
          <w:u w:val="none"/>
          <w:lang w:val="en-US" w:eastAsia="zh-CN" w:bidi="ar-SA"/>
        </w:rPr>
        <w:t>%（详见表4-20）。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20"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表4-</w:t>
      </w:r>
      <w:r>
        <w:rPr>
          <w:rFonts w:hint="default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" w:eastAsia="zh-CN" w:bidi="ar"/>
        </w:rPr>
        <w:t>20</w:t>
      </w: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>　按行业大类分组的租赁和商务服务业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ind w:left="0" w:right="0" w:firstLine="0" w:firstLineChars="0"/>
        <w:jc w:val="center"/>
        <w:textAlignment w:val="auto"/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i w:val="0"/>
          <w:caps w:val="0"/>
          <w:color w:val="0C0C0C"/>
          <w:spacing w:val="0"/>
          <w:kern w:val="0"/>
          <w:sz w:val="24"/>
          <w:szCs w:val="24"/>
          <w:highlight w:val="none"/>
          <w:lang w:val="en-US" w:eastAsia="zh-CN" w:bidi="ar"/>
        </w:rPr>
        <w:t xml:space="preserve">  企业法人单位主要经济指标</w:t>
      </w:r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6"/>
        <w:gridCol w:w="1574"/>
        <w:gridCol w:w="1574"/>
        <w:gridCol w:w="1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80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资产总计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6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负债合计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营业收入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57"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b/>
                <w:bCs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（亿元）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合　计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18.04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7.96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b/>
                <w:bCs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租赁业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0.73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0.44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0.26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57" w:firstLine="0" w:firstLineChars="0"/>
              <w:jc w:val="left"/>
              <w:textAlignment w:val="auto"/>
              <w:rPr>
                <w:rFonts w:hint="eastAsia" w:ascii="Times New Roman" w:hAnsi="Times New Roman" w:eastAsia="宋体" w:cs="宋体"/>
                <w:color w:val="0C0C0C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C0C0C"/>
                <w:kern w:val="0"/>
                <w:sz w:val="21"/>
                <w:szCs w:val="21"/>
                <w:highlight w:val="none"/>
                <w:lang w:val="en-US" w:eastAsia="zh-CN" w:bidi="ar"/>
              </w:rPr>
              <w:t>商务服务业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17.31</w:t>
            </w:r>
          </w:p>
        </w:tc>
        <w:tc>
          <w:tcPr>
            <w:tcW w:w="164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7.52</w:t>
            </w:r>
          </w:p>
        </w:tc>
        <w:tc>
          <w:tcPr>
            <w:tcW w:w="1641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 w:cs="宋体"/>
                <w:color w:val="0C0C0C"/>
                <w:kern w:val="2"/>
                <w:sz w:val="21"/>
                <w:szCs w:val="21"/>
                <w:highlight w:val="none"/>
                <w:lang w:val="en-US" w:eastAsia="zh-CN" w:bidi="ar-SA"/>
              </w:rPr>
              <w:t>1.74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 w:val="0"/>
          <w:bCs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注释：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56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[1]登记注册统计</w:t>
      </w:r>
      <w:bookmarkStart w:id="0" w:name="_GoBack"/>
      <w:bookmarkEnd w:id="0"/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类别：根据国家统计局、国家市场监督管理总局《关于市场主体统计分类的划分规定》（国统字〔2023〕14号）确定，包括内资企业、港澳台投资企业和外商投资企业，以及农民专业合作社（联合社）等其他统计类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both"/>
        <w:textAlignment w:val="auto"/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_GBK" w:cs="仿宋_GB2312"/>
          <w:i w:val="0"/>
          <w:caps w:val="0"/>
          <w:color w:val="0C0C0C"/>
          <w:spacing w:val="0"/>
          <w:kern w:val="0"/>
          <w:sz w:val="28"/>
          <w:szCs w:val="28"/>
          <w:highlight w:val="none"/>
          <w:lang w:val="en-US" w:eastAsia="zh-CN" w:bidi="ar"/>
        </w:rPr>
        <w:t>[2]表中的合计数和部分计算数据因小数取舍而产生的误差，均未作机械调整。为保证数据精确度，个别数据保留2位小数。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[3]金融业由金融系统普查登记，数据无法分劈到县级。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[4]铁路运输业由铁路部门普查登记，数据无法分劈到县级。</w:t>
      </w: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color w:val="auto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4A6B"/>
    <w:rsid w:val="025253FC"/>
    <w:rsid w:val="054509D5"/>
    <w:rsid w:val="0AAA6944"/>
    <w:rsid w:val="108C4244"/>
    <w:rsid w:val="11742A22"/>
    <w:rsid w:val="171D4A6B"/>
    <w:rsid w:val="1B294C6D"/>
    <w:rsid w:val="1B2F415E"/>
    <w:rsid w:val="222408EF"/>
    <w:rsid w:val="26461A1E"/>
    <w:rsid w:val="28B779A7"/>
    <w:rsid w:val="3D5B1105"/>
    <w:rsid w:val="466D59E6"/>
    <w:rsid w:val="4AFD2722"/>
    <w:rsid w:val="4F233906"/>
    <w:rsid w:val="5084191E"/>
    <w:rsid w:val="5ADA0F05"/>
    <w:rsid w:val="6CC61A3E"/>
    <w:rsid w:val="73CD6304"/>
    <w:rsid w:val="7D1B1392"/>
    <w:rsid w:val="7E0D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200" w:firstLineChars="200"/>
      <w:jc w:val="both"/>
      <w:textAlignment w:val="center"/>
    </w:pPr>
    <w:rPr>
      <w:rFonts w:ascii="Times New Roman" w:hAnsi="Times New Roman" w:eastAsia="方正仿宋_GBK" w:cs="Times New Roman"/>
      <w:kern w:val="2"/>
      <w:sz w:val="30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Normal Indent"/>
    <w:basedOn w:val="1"/>
    <w:next w:val="1"/>
    <w:qFormat/>
    <w:uiPriority w:val="0"/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Title"/>
    <w:basedOn w:val="1"/>
    <w:next w:val="1"/>
    <w:qFormat/>
    <w:uiPriority w:val="10"/>
    <w:pPr>
      <w:widowControl/>
      <w:ind w:firstLine="0" w:firstLineChars="0"/>
      <w:jc w:val="center"/>
    </w:pPr>
    <w:rPr>
      <w:rFonts w:eastAsia="方正小标宋简体"/>
      <w:b/>
      <w:bCs/>
      <w:sz w:val="4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Body Text First Indent"/>
    <w:basedOn w:val="5"/>
    <w:next w:val="2"/>
    <w:unhideWhenUsed/>
    <w:qFormat/>
    <w:uiPriority w:val="99"/>
    <w:pPr>
      <w:autoSpaceDE/>
      <w:autoSpaceDN/>
      <w:spacing w:after="120"/>
      <w:ind w:left="0" w:firstLine="420" w:firstLineChars="100"/>
      <w:jc w:val="both"/>
    </w:pPr>
    <w:rPr>
      <w:rFonts w:ascii="等线" w:hAnsi="等线" w:eastAsia="等线" w:cs="Times New Roman"/>
      <w:kern w:val="2"/>
      <w:sz w:val="21"/>
      <w:szCs w:val="22"/>
      <w:lang w:val="en-US" w:bidi="ar-SA"/>
    </w:rPr>
  </w:style>
  <w:style w:type="character" w:styleId="13">
    <w:name w:val="footnote reference"/>
    <w:basedOn w:val="12"/>
    <w:unhideWhenUsed/>
    <w:qFormat/>
    <w:uiPriority w:val="99"/>
    <w:rPr>
      <w:rFonts w:ascii="Calibri" w:hAnsi="Calibri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2025-03-12T03:54:00Z</dcterms:created>
  <dc:creator>lenovo</dc:creator>
  <cp:lastModifiedBy>lenovo</cp:lastModifiedBy>
  <dcterms:modified xsi:type="dcterms:W3CDTF">2026-03-16T08:57:41Z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BAB6E7DC90404FCC81619743100F0F29</vt:lpwstr>
  </property>
</Properties>
</file>