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DA8F1"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4415F24D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704584F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19117049">
      <w:pPr>
        <w:spacing w:line="72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0"/>
          <w:szCs w:val="30"/>
        </w:rPr>
        <w:t>考核—仁化县“五清”及“清四乱”专项行动经费</w:t>
      </w:r>
    </w:p>
    <w:p w14:paraId="5107AB26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BB46741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 w14:paraId="1E1AED1A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18224345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163712C3">
      <w:pPr>
        <w:spacing w:line="720" w:lineRule="auto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钟永鸿</w:t>
      </w:r>
    </w:p>
    <w:p w14:paraId="48310B26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654EBD4E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6800393</w:t>
      </w:r>
    </w:p>
    <w:p w14:paraId="2C0C3DBE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845ABCF">
      <w:pPr>
        <w:spacing w:line="720" w:lineRule="auto"/>
        <w:rPr>
          <w:rFonts w:hint="default" w:ascii="仿宋_GB2312" w:hAnsi="宋体" w:eastAsia="仿宋_GB2312"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>2025年2月26日</w:t>
      </w:r>
    </w:p>
    <w:p w14:paraId="78DB66EE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15638354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41BD8A66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6F5D81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FA9F167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3C9AB9C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 w14:paraId="16CC68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2024年年初预算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下达</w:t>
      </w:r>
      <w:r>
        <w:rPr>
          <w:rFonts w:hint="eastAsia" w:ascii="仿宋" w:hAnsi="仿宋" w:eastAsia="仿宋" w:cs="仿宋"/>
          <w:sz w:val="32"/>
          <w:szCs w:val="32"/>
        </w:rPr>
        <w:t>考核—仁化县“五清”及“清四乱”专项行动经费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，资金分配方式、主要用途、绩效目标等情况如下：</w:t>
      </w:r>
    </w:p>
    <w:p w14:paraId="5916E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评价年度该项目到位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县级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资金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40万元，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根据《广东省河长办关于持续深入推进河湖“清四乱”常态化规范化工作的通知(粤河长办函〔2021〕63 号)、《韶关市河长办转发水利部办公厅关于深入推进河湖“清四乱”常态化规范化的通知》等文件要求深入推进河湖“清四乱”常态化、规范化工作，持续改善河湖面貌。项目实施内容如下：</w:t>
      </w:r>
    </w:p>
    <w:p w14:paraId="7EED7AD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仁化县红山镇河道卫生清理整治项目</w:t>
      </w:r>
    </w:p>
    <w:p w14:paraId="6F2B712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4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2024年9月18日，红山镇召开会议讨论该项目的相关事宜，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项目主要是清理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红山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镇黎屋水新白至鱼皇段河道周边建筑垃圾、砍挖水生类植物。2024年9月20日签定施工合同，2024年9月21日开始进行清运工作，工期10天，施工现场由红山镇河长办工作人员进行监督。2024年9月30日进行验收工作，已完成投资49638.63元。</w:t>
      </w:r>
    </w:p>
    <w:p w14:paraId="21B57E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2、扶溪镇扶中村河湖“四乱”清理</w:t>
      </w:r>
    </w:p>
    <w:p w14:paraId="6DBAB4A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4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2024年10月8日，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扶溪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镇召开河湖清四乱专题会议讨论该项目的相关事宜，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项目主要是清理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扶溪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镇扶中水畔田至扶中桥河道生活垃圾、固体废物等物体。2024年10月9日签定施工合同，2024年10月9日开始进行清运工作，施工现场由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扶溪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镇河长办工作人员进行监督。2024年10月17进行验收工作，已完成投资2400元。</w:t>
      </w:r>
    </w:p>
    <w:p w14:paraId="09865E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3、董塘镇河道四乱五清整治清运项目</w:t>
      </w:r>
    </w:p>
    <w:p w14:paraId="21DB1BA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4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2024年10月8日，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董塘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镇召开会议讨论该项目的相关事宜，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项目主要是清理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董塘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镇河道范围内倾倒的建筑垃圾、乱堆的固体废物等杂物及外运。2024年10月10日签定施工合同，2024年10月11日开始进行清运工作，工期9天，施工现场由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董塘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镇相关人员进行监督。2024年10月19日进行验收工作，已完成投资59891.77元。</w:t>
      </w:r>
    </w:p>
    <w:p w14:paraId="6C1A2A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4、长江镇河道四乱五清整治清运项目</w:t>
      </w:r>
    </w:p>
    <w:p w14:paraId="0BA9C33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4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2024年10月18日，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长江镇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召开会议讨论该项目的相关事宜，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项目主要是清理河道范围内倾倒的建筑垃圾、乱堆的固体废物等杂物及外运。2024年10月25日签定施工合同，2024年11月1日开始进行清运工作，工期11天，施工现场由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长江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镇河长办工作人员进行监督。2024年11月11日进行验收工作，已完成投资49806.87元。</w:t>
      </w:r>
    </w:p>
    <w:p w14:paraId="1E913D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5、石塘镇河道四乱五清整治清运</w:t>
      </w:r>
    </w:p>
    <w:p w14:paraId="6521562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4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2024年9月27日，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石塘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镇召开会议讨论该项目的相关事宜，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项目主要是清理河道范围内倾倒的建筑垃圾、乱堆的固体废物等杂物及外运。2024年9月28日签定施工合同，2024年9月28日开始进行清运工作，工期10天，施工现场由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石塘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相关工作人员进行监督。2024年10月7日已完工，已完成投资49878.08元。</w:t>
      </w:r>
    </w:p>
    <w:p w14:paraId="2163AF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6、大桥镇河道四乱五清整治清运项目</w:t>
      </w:r>
    </w:p>
    <w:p w14:paraId="31167D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4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2024年9月23日，大桥镇召开河湖清四乱专题会议讨论该项目的相关事宜，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主要是清理长坝茨菇塘河道清淤、障碍物等清理。2024年10月11日签定施工合同，2024年10月13日开始进行清运工作，工期12天，施工现场由大桥镇河长办工作人员进行监督。2024年10月28日进行验收工作，已完成投资49713.4元。</w:t>
      </w:r>
    </w:p>
    <w:p w14:paraId="413021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7、周田镇灵溪河（老周田段及下洞段）河道“四乱”整治清运项目</w:t>
      </w:r>
    </w:p>
    <w:p w14:paraId="2651040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4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2024年8月23日，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周田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镇召开会议讨论该项目的相关事宜，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项目主要是清理灵溪河河床内的树木及杂草，淤泥进行清理，河岸边清理杂草，保证河水流畅通等。2024年9月18日签定施工合同，2024年9月19日开始进行清运工作，工期10天，施工现场由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周田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河长办工作人员进行监督。2024年9月29日进行验收工作，已完成投资49729.26元。</w:t>
      </w:r>
    </w:p>
    <w:p w14:paraId="2CFBF1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8、仁化县城口镇上赛村黄沙桥组河段河湖“四乱”清理项目</w:t>
      </w:r>
    </w:p>
    <w:p w14:paraId="550696B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40"/>
        <w:textAlignment w:val="auto"/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2024年10月15日，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城口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镇召开会议讨论该项目的相关事宜，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项目主要是清理清运上寨村黄沙桥组河段垃圾和障碍物等。2024年10月17日签定施工合同，2024年10月18日开始进行清运工作，施工现场由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城口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河长办工作人员进行监督。2024年11月8日进行验收工作，已完成投资34938.38元。</w:t>
      </w:r>
    </w:p>
    <w:p w14:paraId="7D128A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9、2024年仁化县河湖“四乱”整治行动</w:t>
      </w:r>
    </w:p>
    <w:p w14:paraId="27BF2A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项目主要是对城口镇、锦江丹霞山风景区河湖进行清四乱整治工作。2024年1月2日签定施工合同，施工现场由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水务局水政大队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和河长办工作人员进行监督工作。2024年11月11日进行验收，已完成投资44640元。</w:t>
      </w:r>
    </w:p>
    <w:p w14:paraId="3DADB3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10、河道管理范围内乱搭清理整治及警示牌界桩安装合同</w:t>
      </w:r>
    </w:p>
    <w:p w14:paraId="586C3F8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4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2024年8月5日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签订合同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项目主要是对彩虹营地乱搭乱建进行拆除，康溪砂厂安装警示牌和要桩等、麻塘清理四乱。2024年12月2日进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行验收工作，已完成投资9360元。</w:t>
      </w:r>
    </w:p>
    <w:p w14:paraId="3731E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二、自评情况</w:t>
      </w:r>
    </w:p>
    <w:p w14:paraId="684F5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（一）自评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、等级</w:t>
      </w:r>
    </w:p>
    <w:p w14:paraId="2A88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08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8"/>
          <w:sz w:val="32"/>
          <w:szCs w:val="32"/>
          <w:lang w:val="en-US" w:eastAsia="zh-CN"/>
        </w:rPr>
        <w:t>该项目决策依据充分、目标明确、程序合理；项目资金到位及时，资金管理规范，项目的组织管理良好；项目产出达到预期目标，项目效果优良。综上所述，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该项目自评分为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100分，评价等级为“优”。</w:t>
      </w:r>
    </w:p>
    <w:p w14:paraId="07507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（二）资金使用绩效</w:t>
      </w:r>
    </w:p>
    <w:p w14:paraId="36892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1.资金支出情况。</w:t>
      </w:r>
    </w:p>
    <w:p w14:paraId="6952D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县财政局下达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考核—仁化县“五清”及“清四乱”专项行动经费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400000元，已完成支付399996.39元，结余资金3.61元。</w:t>
      </w:r>
    </w:p>
    <w:p w14:paraId="0F9F9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2.资金完成绩效目标情况。</w:t>
      </w:r>
    </w:p>
    <w:p w14:paraId="46C64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从绩效评价情况看，我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在项目实施过程中严格按照相关资金管理规定，切实加强对资金的监督和管理，确保专款专用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，积极发挥财政资金引领作用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已按期实现目标。</w:t>
      </w:r>
    </w:p>
    <w:p w14:paraId="4211511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资金分用途使用绩效。</w:t>
      </w:r>
    </w:p>
    <w:p w14:paraId="6E4FC33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项目通过讨论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按照合同要求有序推进，预算安排合理，投入有保障。预算执行进度与事项完成进度基本匹配，实际支付未超过预算计划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资金管理、支付符合有关制度规定，没有发生超范围、超标准支出，虚列支出，截留、挤占、挪用资金，以及其他不符合制度规定支出。规范执行会计核算制度，支出凭证符合规定；建立财务管理制度、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专项资金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管理制度等有效管理机制。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通过实施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仁化县“五清”及“清四乱”专项行动工作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满足目标质量要求，发挥应有效益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项目实施后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有效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lang w:eastAsia="zh-CN"/>
        </w:rPr>
        <w:t>改善和保护保护河道水生态环境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、保障河道行洪安全通道畅通、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河道周边群众生活环境。</w:t>
      </w:r>
    </w:p>
    <w:p w14:paraId="2D3D16C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资金使用绩效存在的问题</w:t>
      </w:r>
    </w:p>
    <w:p w14:paraId="2CB79B71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0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无</w:t>
      </w:r>
    </w:p>
    <w:p w14:paraId="7D5CC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三、改进意见</w:t>
      </w:r>
    </w:p>
    <w:p w14:paraId="41202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无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F42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47E7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47E7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E003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8015F"/>
    <w:multiLevelType w:val="singleLevel"/>
    <w:tmpl w:val="D6C801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EC0A45"/>
    <w:multiLevelType w:val="singleLevel"/>
    <w:tmpl w:val="E7EC0A4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CE9E33"/>
    <w:multiLevelType w:val="singleLevel"/>
    <w:tmpl w:val="3ECE9E3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abstractNum w:abstractNumId="3">
    <w:nsid w:val="505DC03B"/>
    <w:multiLevelType w:val="singleLevel"/>
    <w:tmpl w:val="505DC03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jg1MTI2MzA3MTljMDMyNDQ5NDE1Y2Y1M2E2NzkifQ=="/>
  </w:docVars>
  <w:rsids>
    <w:rsidRoot w:val="0BFE5C14"/>
    <w:rsid w:val="00C41E06"/>
    <w:rsid w:val="025D7FCE"/>
    <w:rsid w:val="08AD0A98"/>
    <w:rsid w:val="099A00A9"/>
    <w:rsid w:val="09E341BB"/>
    <w:rsid w:val="0BFE5C14"/>
    <w:rsid w:val="0F122CCC"/>
    <w:rsid w:val="11AE5ECB"/>
    <w:rsid w:val="1A0F6F89"/>
    <w:rsid w:val="1C9B0567"/>
    <w:rsid w:val="1CFE1F6A"/>
    <w:rsid w:val="1DA95362"/>
    <w:rsid w:val="1E40406E"/>
    <w:rsid w:val="1EDE4CF4"/>
    <w:rsid w:val="1F3C2C76"/>
    <w:rsid w:val="20E47DD2"/>
    <w:rsid w:val="2265761B"/>
    <w:rsid w:val="234114AC"/>
    <w:rsid w:val="2790006B"/>
    <w:rsid w:val="2AB23619"/>
    <w:rsid w:val="2C692CDF"/>
    <w:rsid w:val="2DE123DA"/>
    <w:rsid w:val="30F7146C"/>
    <w:rsid w:val="31972AA8"/>
    <w:rsid w:val="31BB7C45"/>
    <w:rsid w:val="31DD71C7"/>
    <w:rsid w:val="374D7B3C"/>
    <w:rsid w:val="38B42CE3"/>
    <w:rsid w:val="3A6207E6"/>
    <w:rsid w:val="401A1367"/>
    <w:rsid w:val="411F144C"/>
    <w:rsid w:val="42F145B3"/>
    <w:rsid w:val="448619E0"/>
    <w:rsid w:val="48A3021A"/>
    <w:rsid w:val="49C84069"/>
    <w:rsid w:val="4A8C0135"/>
    <w:rsid w:val="4B752BBC"/>
    <w:rsid w:val="4D836900"/>
    <w:rsid w:val="4EF244F7"/>
    <w:rsid w:val="5303104D"/>
    <w:rsid w:val="531B09E9"/>
    <w:rsid w:val="5835317B"/>
    <w:rsid w:val="5C9C3688"/>
    <w:rsid w:val="5F622211"/>
    <w:rsid w:val="60377AD3"/>
    <w:rsid w:val="64C61820"/>
    <w:rsid w:val="680F1B4E"/>
    <w:rsid w:val="6B703889"/>
    <w:rsid w:val="6B9F5F4C"/>
    <w:rsid w:val="6CFE24A2"/>
    <w:rsid w:val="6F100D32"/>
    <w:rsid w:val="738C5AD1"/>
    <w:rsid w:val="79922D65"/>
    <w:rsid w:val="7B9E7BB0"/>
    <w:rsid w:val="7C1D5434"/>
    <w:rsid w:val="7E093D27"/>
    <w:rsid w:val="7F2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/>
      <w:ind w:firstLine="200" w:firstLineChars="200"/>
    </w:pPr>
    <w:rPr>
      <w:rFonts w:ascii="宋体" w:hAnsi="Calibri" w:eastAsia="宋体" w:cs="Times New Roman"/>
      <w:szCs w:val="24"/>
    </w:rPr>
  </w:style>
  <w:style w:type="paragraph" w:styleId="3">
    <w:name w:val="Plain Text"/>
    <w:basedOn w:val="1"/>
    <w:autoRedefine/>
    <w:unhideWhenUsed/>
    <w:qFormat/>
    <w:uiPriority w:val="99"/>
    <w:pPr>
      <w:spacing w:beforeLines="0" w:afterLines="0"/>
    </w:pPr>
    <w:rPr>
      <w:rFonts w:hint="eastAsia" w:ascii="宋体" w:hAnsi="Courier New" w:eastAsia="宋体"/>
      <w:sz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2250</Words>
  <Characters>2515</Characters>
  <Lines>0</Lines>
  <Paragraphs>0</Paragraphs>
  <TotalTime>32</TotalTime>
  <ScaleCrop>false</ScaleCrop>
  <LinksUpToDate>false</LinksUpToDate>
  <CharactersWithSpaces>2528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戴凤</cp:lastModifiedBy>
  <dcterms:modified xsi:type="dcterms:W3CDTF">2025-11-06T06:41:45Z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eyJoZGlkIjoiNzY0NDMxOWY5YjllM2E3NGMwMjk0Zjg4YTljNDVlMWUiLCJ1c2VySWQiOiI0MTQ3NTU1MjYifQ==</vt:lpwstr>
  </property>
</Properties>
</file>