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项目名称：外聘事务专项费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lang w:eastAsia="zh-CN"/>
        </w:rPr>
      </w:pPr>
      <w:r>
        <w:rPr>
          <w:rFonts w:hint="eastAsia" w:ascii="仿宋_GB2312" w:hAnsi="宋体" w:eastAsia="仿宋_GB2312"/>
          <w:sz w:val="32"/>
        </w:rPr>
        <w:t>项目单位：（公章）</w:t>
      </w:r>
      <w:r>
        <w:rPr>
          <w:rFonts w:hint="eastAsia" w:ascii="仿宋_GB2312" w:hAnsi="宋体" w:eastAsia="仿宋_GB2312"/>
          <w:sz w:val="32"/>
          <w:lang w:eastAsia="zh-CN"/>
        </w:rPr>
        <w:t>仁化县财政局</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刘蓁蓁</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6357051</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2025.3.18</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2024年度仁化县财政局</w:t>
      </w:r>
      <w:r>
        <w:rPr>
          <w:rFonts w:hint="eastAsia" w:ascii="仿宋_GB2312" w:eastAsia="仿宋_GB2312"/>
          <w:sz w:val="32"/>
          <w:szCs w:val="32"/>
          <w:lang w:eastAsia="zh-CN"/>
        </w:rPr>
        <w:t>外聘事务专项费评价金额为</w:t>
      </w:r>
      <w:r>
        <w:rPr>
          <w:rFonts w:hint="eastAsia" w:ascii="仿宋_GB2312" w:eastAsia="仿宋_GB2312"/>
          <w:sz w:val="32"/>
          <w:szCs w:val="32"/>
          <w:lang w:val="en-US" w:eastAsia="zh-CN"/>
        </w:rPr>
        <w:t>285万元。</w:t>
      </w:r>
      <w:r>
        <w:rPr>
          <w:rFonts w:hint="eastAsia" w:ascii="仿宋_GB2312" w:eastAsia="仿宋_GB2312"/>
          <w:sz w:val="32"/>
          <w:szCs w:val="32"/>
          <w:highlight w:val="none"/>
          <w:lang w:val="en-US" w:eastAsia="zh-CN"/>
        </w:rPr>
        <w:t>主要用</w:t>
      </w:r>
      <w:r>
        <w:rPr>
          <w:rFonts w:hint="eastAsia" w:ascii="仿宋_GB2312" w:eastAsia="仿宋_GB2312"/>
          <w:sz w:val="32"/>
          <w:szCs w:val="32"/>
          <w:lang w:val="en-US" w:eastAsia="zh-CN"/>
        </w:rPr>
        <w:t>于报表编制工作，加强行政事业单位国有资产监督管理，聘请中介机构按省财政厅</w:t>
      </w:r>
      <w:bookmarkStart w:id="0" w:name="_GoBack"/>
      <w:bookmarkEnd w:id="0"/>
      <w:r>
        <w:rPr>
          <w:rFonts w:hint="eastAsia" w:ascii="仿宋_GB2312" w:eastAsia="仿宋_GB2312"/>
          <w:sz w:val="32"/>
          <w:szCs w:val="32"/>
          <w:lang w:val="en-US" w:eastAsia="zh-CN"/>
        </w:rPr>
        <w:t>要求及时编制发行新增专项债券所需发行材料，对重点项目进行监督检查，对预决算公开进行检查，开展绩效评估、绩效评价、构建部门整体支出核心指标体系等。</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line="360" w:lineRule="auto"/>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按照县级项目支出绩效自评表，本项目绩效自评</w:t>
      </w:r>
      <w:r>
        <w:rPr>
          <w:rFonts w:hint="eastAsia" w:ascii="仿宋_GB2312" w:eastAsia="仿宋_GB2312"/>
          <w:sz w:val="32"/>
          <w:szCs w:val="32"/>
          <w:highlight w:val="none"/>
          <w:lang w:val="en-US" w:eastAsia="zh-CN"/>
        </w:rPr>
        <w:t>96.44</w:t>
      </w:r>
      <w:r>
        <w:rPr>
          <w:rFonts w:hint="eastAsia" w:ascii="仿宋_GB2312" w:eastAsia="仿宋_GB2312"/>
          <w:sz w:val="32"/>
          <w:szCs w:val="32"/>
          <w:highlight w:val="none"/>
        </w:rPr>
        <w:t>分。</w:t>
      </w:r>
    </w:p>
    <w:p>
      <w:pPr>
        <w:numPr>
          <w:ilvl w:val="0"/>
          <w:numId w:val="1"/>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资金使用绩效</w:t>
      </w:r>
    </w:p>
    <w:p>
      <w:pPr>
        <w:numPr>
          <w:ilvl w:val="0"/>
          <w:numId w:val="0"/>
        </w:numPr>
        <w:snapToGrid w:val="0"/>
        <w:spacing w:beforeLines="0" w:afterLines="0" w:line="360" w:lineRule="auto"/>
        <w:ind w:left="960" w:leftChars="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资金支出情况。</w:t>
      </w:r>
    </w:p>
    <w:p>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年度安排</w:t>
      </w:r>
      <w:r>
        <w:rPr>
          <w:rFonts w:hint="eastAsia" w:ascii="仿宋_GB2312" w:eastAsia="仿宋_GB2312"/>
          <w:sz w:val="32"/>
          <w:szCs w:val="32"/>
          <w:highlight w:val="none"/>
          <w:lang w:eastAsia="zh-CN"/>
        </w:rPr>
        <w:t>年初</w:t>
      </w:r>
      <w:r>
        <w:rPr>
          <w:rFonts w:hint="eastAsia" w:ascii="仿宋_GB2312" w:eastAsia="仿宋_GB2312"/>
          <w:sz w:val="32"/>
          <w:szCs w:val="32"/>
          <w:highlight w:val="none"/>
        </w:rPr>
        <w:t>预算资金</w:t>
      </w:r>
      <w:r>
        <w:rPr>
          <w:rFonts w:hint="eastAsia" w:ascii="仿宋_GB2312" w:eastAsia="仿宋_GB2312"/>
          <w:sz w:val="32"/>
          <w:szCs w:val="32"/>
          <w:highlight w:val="none"/>
          <w:lang w:val="en-US" w:eastAsia="zh-CN"/>
        </w:rPr>
        <w:t>285</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全年预算资金</w:t>
      </w:r>
      <w:r>
        <w:rPr>
          <w:rFonts w:hint="eastAsia" w:ascii="仿宋_GB2312" w:eastAsia="仿宋_GB2312"/>
          <w:sz w:val="32"/>
          <w:szCs w:val="32"/>
          <w:highlight w:val="none"/>
          <w:lang w:val="en-US" w:eastAsia="zh-CN"/>
        </w:rPr>
        <w:t>285万元，</w:t>
      </w:r>
      <w:r>
        <w:rPr>
          <w:rFonts w:hint="eastAsia" w:ascii="仿宋_GB2312" w:eastAsia="仿宋_GB2312"/>
          <w:sz w:val="32"/>
          <w:szCs w:val="32"/>
          <w:highlight w:val="none"/>
        </w:rPr>
        <w:t>实际支出</w:t>
      </w:r>
      <w:r>
        <w:rPr>
          <w:rFonts w:hint="eastAsia" w:ascii="仿宋_GB2312" w:eastAsia="仿宋_GB2312"/>
          <w:sz w:val="32"/>
          <w:szCs w:val="32"/>
          <w:highlight w:val="none"/>
          <w:lang w:val="en-US" w:eastAsia="zh-CN"/>
        </w:rPr>
        <w:t>192.96</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p>
    <w:p>
      <w:pPr>
        <w:numPr>
          <w:ilvl w:val="0"/>
          <w:numId w:val="0"/>
        </w:numPr>
        <w:snapToGrid w:val="0"/>
        <w:spacing w:beforeLines="0" w:afterLines="0" w:line="360" w:lineRule="auto"/>
        <w:ind w:left="960" w:leftChars="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p>
    <w:p>
      <w:pPr>
        <w:snapToGrid w:val="0"/>
        <w:spacing w:beforeLines="0" w:afterLines="0" w:line="360" w:lineRule="auto"/>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1.聘请专业人员编制政府权责发生制财务报表、部门和企业的决算报表，提高编制质量，完成2023年度的政府权责发生制财务报表、部门和企业的决算报表编制工作，反映政府财务状况和运营情况，通过对当前经济形势的分析，对未来财政收支缺口的预测，以及对财政可持续性的评估等，为中长期财政发展和宏观调控服务。</w:t>
      </w:r>
    </w:p>
    <w:p>
      <w:pPr>
        <w:snapToGrid w:val="0"/>
        <w:spacing w:beforeLines="0" w:afterLines="0" w:line="360" w:lineRule="auto"/>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2.加强行政事业单位国有资产监督管理，规范行政事业单位资产清查工作，真实反映行政事业单位的资产及财务状况，完善资产管理制度，提高资产使用效益。</w:t>
      </w:r>
    </w:p>
    <w:p>
      <w:pPr>
        <w:snapToGrid w:val="0"/>
        <w:spacing w:beforeLines="0" w:afterLines="0" w:line="360" w:lineRule="auto"/>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3.聘请中介机构按省财政厅要求及时编制发行新增专项债券所需发行材料。</w:t>
      </w:r>
    </w:p>
    <w:p>
      <w:pPr>
        <w:snapToGrid w:val="0"/>
        <w:spacing w:beforeLines="0" w:afterLines="0" w:line="360" w:lineRule="auto"/>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4.通过对重点项目进行监督检查，提升资金使用规范性。通过对预决算公开进行检查，规范预决算公开，顺利通过上级考核。</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highlight w:val="none"/>
          <w:lang w:val="en-US" w:eastAsia="zh-CN"/>
        </w:rPr>
        <w:t>5.开展了冷链物流等3个事前评估项目，6个复核项目，8个重点评价，25个核心指标体系，25个部门整体评价，基本完成了年初目标。</w:t>
      </w:r>
      <w:r>
        <w:rPr>
          <w:rFonts w:hint="eastAsia" w:ascii="仿宋_GB2312" w:eastAsia="仿宋_GB2312"/>
          <w:sz w:val="32"/>
          <w:szCs w:val="32"/>
        </w:rPr>
        <w:t xml:space="preserve">  </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（三）资金使用绩效存在的问题</w:t>
      </w:r>
    </w:p>
    <w:p>
      <w:pPr>
        <w:pStyle w:val="2"/>
        <w:rPr>
          <w:rFonts w:hint="eastAsia" w:eastAsia="仿宋_GB2312"/>
          <w:lang w:eastAsia="zh-CN"/>
        </w:rPr>
      </w:pPr>
      <w:r>
        <w:rPr>
          <w:rFonts w:hint="eastAsia" w:ascii="仿宋_GB2312" w:eastAsia="仿宋_GB2312"/>
          <w:sz w:val="32"/>
          <w:szCs w:val="32"/>
          <w:lang w:eastAsia="zh-CN"/>
        </w:rPr>
        <w:t>无。</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无</w:t>
      </w:r>
      <w:r>
        <w:rPr>
          <w:rFonts w:hint="eastAsia" w:ascii="仿宋_GB2312" w:eastAsia="仿宋_GB2312"/>
          <w:sz w:val="32"/>
          <w:szCs w:val="32"/>
        </w:rPr>
        <w:t>。</w:t>
      </w:r>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84776"/>
    <w:multiLevelType w:val="singleLevel"/>
    <w:tmpl w:val="705847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99A00A9"/>
    <w:rsid w:val="0ABF1BFB"/>
    <w:rsid w:val="0BFE5C14"/>
    <w:rsid w:val="1507139B"/>
    <w:rsid w:val="1EDE4CF4"/>
    <w:rsid w:val="27327EBB"/>
    <w:rsid w:val="2DE123DA"/>
    <w:rsid w:val="2FC15977"/>
    <w:rsid w:val="32A1671D"/>
    <w:rsid w:val="36565F2C"/>
    <w:rsid w:val="42F145B3"/>
    <w:rsid w:val="57025F93"/>
    <w:rsid w:val="5A2303F9"/>
    <w:rsid w:val="5C6C15BD"/>
    <w:rsid w:val="6CFE24A2"/>
    <w:rsid w:val="73522870"/>
    <w:rsid w:val="738A6DC8"/>
    <w:rsid w:val="E4ED7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9</TotalTime>
  <ScaleCrop>false</ScaleCrop>
  <LinksUpToDate>false</LinksUpToDate>
  <CharactersWithSpaces>208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2021-02-26T11:06:00Z</dcterms:created>
  <dc:creator>Administrator</dc:creator>
  <cp:lastModifiedBy>LZZ</cp:lastModifiedBy>
  <dcterms:modified xsi:type="dcterms:W3CDTF">2025-10-30T15:29:10Z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ribbonExt">
    <vt:lpwstr>{"WPSExtOfficeTab":{"OnGetEnabled":false,"OnGetVisible":false}}</vt:lpwstr>
  </property>
  <property fmtid="{D5CDD505-2E9C-101B-9397-08002B2CF9AE}" pid="4" name="ICV">
    <vt:lpwstr>C027F89FCEF2450CBD4524083FF9C4EB</vt:lpwstr>
  </property>
</Properties>
</file>