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  <w:lang w:eastAsia="zh-CN"/>
        </w:rPr>
        <w:t>县配套法律援助办案经费</w:t>
      </w: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县配套法律援助办案经费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eastAsia="zh-CN"/>
        </w:rPr>
        <w:t>仁化县司法局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谢丽虹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6320348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2025.03.13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楷体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县配套法律援助资金情况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2024年县配套法律援助资金下达12.35万元，专项资金主要用于法律援助案件办案补贴及宣传。支出122665元，用于支付办案补贴，支出率为99.32%。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楷体" w:cs="Times New Roman"/>
          <w:b w:val="0"/>
          <w:bCs w:val="0"/>
          <w:sz w:val="32"/>
          <w:szCs w:val="32"/>
          <w:lang w:eastAsia="zh-CN"/>
        </w:rPr>
        <w:t>（二）绩效目标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县法律援助经济困难标准动态调整机制有效运行，法律援助门槛进一步降低，法律援助覆盖范围进一步扩大，法律援助申请手续进一步优化，法律援助知晓率、普及率进一步提高，农民工、老年人、残疾人、妇女、未成年人、军人军属等特殊群体合法权益得到有效维护，实现应援尽援。法律援助服务符合司法部标准，法律援助质量持续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。办理法律援助</w:t>
      </w:r>
      <w:r>
        <w:rPr>
          <w:rFonts w:hint="eastAsia" w:ascii="Times New Roman" w:hAns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案件数量在300</w:t>
      </w:r>
      <w:r>
        <w:rPr>
          <w:rFonts w:hint="eastAsia" w:asci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宗</w:t>
      </w:r>
      <w:r>
        <w:rPr>
          <w:rFonts w:hint="eastAsia" w:ascii="Times New Roman" w:hAns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以上，</w:t>
      </w:r>
      <w:r>
        <w:rPr>
          <w:rFonts w:hint="eastAsia" w:asci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受援人满意率达到96%，法律援助卷宗评估良好以上，法律援助事项接案及时率</w:t>
      </w:r>
      <w:r>
        <w:rPr>
          <w:rFonts w:hint="eastAsia" w:ascii="Times New Roman" w:hAns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100%，法律援助案件质量合格率</w:t>
      </w:r>
      <w:r>
        <w:rPr>
          <w:rFonts w:hint="eastAsia" w:asci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98</w:t>
      </w:r>
      <w:r>
        <w:rPr>
          <w:rFonts w:hint="eastAsia" w:ascii="Times New Roman" w:hAns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%</w:t>
      </w:r>
      <w:r>
        <w:rPr>
          <w:rFonts w:hint="eastAsia" w:ascii="Times New Roman" w:eastAsia="仿宋_GB2312" w:cs="Times New Roman"/>
          <w:smallCaps w:val="0"/>
          <w:kern w:val="2"/>
          <w:sz w:val="30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自评情况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楷体" w:cs="Times New Roman"/>
          <w:b w:val="0"/>
          <w:bCs w:val="0"/>
          <w:sz w:val="32"/>
          <w:szCs w:val="32"/>
          <w:lang w:eastAsia="zh-CN"/>
        </w:rPr>
        <w:t>（一）自评结论、分数、等级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绩效目标均达到了预期目标值。</w:t>
      </w:r>
      <w:r>
        <w:rPr>
          <w:rFonts w:hint="eastAsia" w:ascii="仿宋_GB2312" w:eastAsia="仿宋_GB2312"/>
          <w:sz w:val="32"/>
          <w:szCs w:val="32"/>
          <w:lang w:eastAsia="zh-CN"/>
        </w:rPr>
        <w:t>自评分数：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99.93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楷体" w:cs="Times New Roman"/>
          <w:b w:val="0"/>
          <w:bCs w:val="0"/>
          <w:sz w:val="32"/>
          <w:szCs w:val="32"/>
          <w:lang w:eastAsia="zh-CN"/>
        </w:rPr>
        <w:t>（二）资金使用绩效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年县配套法律援助资金下达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122665元，用于支付办案补贴，支出率为99.32%。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default" w:eastAsia="等线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2024年仁化县办理法律援助案件为331件；征询受援人意见，受援人满意率为100%；积极开展案卷质量评估工作，在法律援助案卷质量评估中，法律援助案件质量合格率为100%，法律援助卷宗评估良好；对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农民工、老年人、残疾人、妇女、未成年人、军人军属等特殊群体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应援尽援，受理特殊群体案件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法律援助应援尽援率为100%；及时受理申请人提交的法律援助申请，在法定期限内完成审查并指派，法律援助事项接案及时率为100%；均达到了绩效目标值。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eastAsia="等线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县配套法律援助资金主要用于支付法律援助案件办案补贴，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2024年县配套法律援助资金支出122665元，均用于支付法律援助案件补贴。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楷体" w:cs="Times New Roman"/>
          <w:b w:val="0"/>
          <w:bCs w:val="0"/>
          <w:sz w:val="32"/>
          <w:szCs w:val="32"/>
          <w:lang w:eastAsia="zh-CN"/>
        </w:rPr>
        <w:t>（三）资金使用绩效存在的问题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因个别承办律师案卷档案归档不及时，导致资金发放滞后。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三、改进意见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组织做好每年度法律援助办案经费需求测算，作为下一年度分配法律援助经费的依据；二是加强对法律援助案卷的监督和管理，严格要求承办律师按照规定时间移交档案，提高归档的效率，及时、足额支付法律援助办案补贴，务求专款用对用好用足，让人民群众实实在在感受到法律援助的获得感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53757"/>
    <w:multiLevelType w:val="multilevel"/>
    <w:tmpl w:val="67353757"/>
    <w:lvl w:ilvl="0" w:tentative="0">
      <w:start w:val="1"/>
      <w:numFmt w:val="chineseCountingThousand"/>
      <w:lvlText w:val="第%1章"/>
      <w:lvlJc w:val="left"/>
      <w:pPr>
        <w:tabs>
          <w:tab w:val="left" w:pos="1134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576" w:hanging="576"/>
      </w:pPr>
      <w:rPr>
        <w:rFonts w:hint="eastAsia"/>
        <w:lang w:val="zh-CN"/>
      </w:rPr>
    </w:lvl>
    <w:lvl w:ilvl="2" w:tentative="0">
      <w:start w:val="1"/>
      <w:numFmt w:val="decimal"/>
      <w:isLgl/>
      <w:lvlText w:val="%1.%2.%3"/>
      <w:lvlJc w:val="left"/>
      <w:pPr>
        <w:ind w:left="737" w:hanging="737"/>
      </w:pPr>
      <w:rPr>
        <w:rFonts w:hint="default" w:ascii="Arial" w:hAnsi="Arial" w:eastAsia="黑体"/>
        <w:b/>
        <w:i w:val="0"/>
        <w:lang w:val="en-US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 w:ascii="黑体" w:hAnsi="黑体" w:eastAsia="黑体"/>
        <w:b/>
        <w:sz w:val="24"/>
        <w:szCs w:val="28"/>
        <w:lang w:val="en-US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 w:ascii="宋体" w:hAnsi="宋体" w:eastAsia="宋体" w:cs="Arial Unicode MS"/>
        <w:b/>
        <w:sz w:val="24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  <w:sz w:val="28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7FA417C"/>
    <w:multiLevelType w:val="singleLevel"/>
    <w:tmpl w:val="77FA41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DE123DA"/>
    <w:rsid w:val="39BF3001"/>
    <w:rsid w:val="42F145B3"/>
    <w:rsid w:val="4D7243A0"/>
    <w:rsid w:val="57025F93"/>
    <w:rsid w:val="6CFE24A2"/>
    <w:rsid w:val="73555DFA"/>
    <w:rsid w:val="7B2BC191"/>
    <w:rsid w:val="7EFDF4DF"/>
    <w:rsid w:val="7EFDF719"/>
    <w:rsid w:val="7FFF3E70"/>
    <w:rsid w:val="DD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tabs>
        <w:tab w:val="left" w:pos="1134"/>
      </w:tabs>
      <w:spacing w:before="480" w:after="120"/>
      <w:jc w:val="left"/>
      <w:outlineLvl w:val="1"/>
    </w:pPr>
    <w:rPr>
      <w:rFonts w:ascii="Arial" w:hAnsi="Arial" w:eastAsia="黑体"/>
      <w:b/>
      <w:bCs/>
      <w:kern w:val="0"/>
      <w:sz w:val="28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00"/>
    </w:pPr>
    <w:rPr>
      <w:rFonts w:eastAsia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ind w:left="320"/>
      <w:jc w:val="left"/>
    </w:pPr>
    <w:rPr>
      <w:rFonts w:ascii="等线" w:eastAsia="等线"/>
      <w:smallCaps/>
      <w:sz w:val="20"/>
      <w:szCs w:val="20"/>
    </w:r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2021-02-28T03:06:00Z</dcterms:created>
  <dc:creator>Administrator</dc:creator>
  <cp:lastModifiedBy>lenovo</cp:lastModifiedBy>
  <dcterms:modified xsi:type="dcterms:W3CDTF">2025-03-13T16:36:07Z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