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highlight w:val="none"/>
        </w:rPr>
      </w:pPr>
      <w:r>
        <w:rPr>
          <w:rFonts w:hint="eastAsia" w:ascii="方正小标宋简体" w:hAnsi="宋体" w:eastAsia="方正小标宋简体"/>
          <w:b/>
          <w:bCs/>
          <w:sz w:val="52"/>
          <w:szCs w:val="52"/>
          <w:highlight w:val="none"/>
        </w:rPr>
        <w:t>财政支出项目绩效自评</w:t>
      </w:r>
      <w:r>
        <w:rPr>
          <w:rFonts w:hint="eastAsia" w:ascii="方正小标宋简体" w:hAnsi="宋体" w:eastAsia="方正小标宋简体"/>
          <w:b/>
          <w:sz w:val="52"/>
          <w:szCs w:val="52"/>
          <w:highlight w:val="none"/>
        </w:rPr>
        <w:t>报告</w:t>
      </w:r>
    </w:p>
    <w:p>
      <w:pPr>
        <w:spacing w:line="360" w:lineRule="auto"/>
        <w:ind w:firstLine="3200" w:firstLineChars="10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2024年度</w:t>
      </w:r>
      <w:r>
        <w:rPr>
          <w:rFonts w:hint="eastAsia" w:ascii="仿宋_GB2312" w:hAnsi="仿宋_GB2312" w:eastAsia="仿宋_GB2312" w:cs="仿宋_GB2312"/>
          <w:sz w:val="32"/>
          <w:szCs w:val="32"/>
          <w:highlight w:val="none"/>
          <w:lang w:eastAsia="zh-CN"/>
        </w:rPr>
        <w:t>）</w:t>
      </w:r>
    </w:p>
    <w:p>
      <w:pPr>
        <w:spacing w:line="720" w:lineRule="auto"/>
        <w:rPr>
          <w:rFonts w:hint="eastAsia" w:ascii="仿宋_GB2312" w:hAnsi="宋体" w:eastAsia="仿宋_GB2312"/>
          <w:sz w:val="32"/>
          <w:highlight w:val="none"/>
        </w:rPr>
      </w:pPr>
    </w:p>
    <w:p>
      <w:pPr>
        <w:spacing w:line="720" w:lineRule="auto"/>
        <w:ind w:left="1676" w:leftChars="0" w:hanging="1676" w:hangingChars="524"/>
        <w:rPr>
          <w:rFonts w:hint="eastAsia" w:ascii="仿宋_GB2312" w:hAnsi="宋体" w:eastAsia="仿宋_GB2312"/>
          <w:sz w:val="32"/>
          <w:highlight w:val="none"/>
        </w:rPr>
      </w:pPr>
      <w:r>
        <w:rPr>
          <w:rFonts w:hint="eastAsia" w:ascii="仿宋_GB2312" w:hAnsi="宋体" w:eastAsia="仿宋_GB2312"/>
          <w:sz w:val="32"/>
          <w:highlight w:val="none"/>
        </w:rPr>
        <w:t>项目名称：规委会效果图评审资料耗材费专家评审费</w:t>
      </w:r>
    </w:p>
    <w:p>
      <w:pPr>
        <w:spacing w:line="240" w:lineRule="auto"/>
        <w:ind w:firstLine="1449" w:firstLineChars="453"/>
        <w:rPr>
          <w:rFonts w:hint="eastAsia" w:ascii="仿宋_GB2312" w:hAnsi="宋体" w:eastAsia="仿宋_GB2312"/>
          <w:sz w:val="32"/>
          <w:highlight w:val="none"/>
        </w:rPr>
      </w:pPr>
    </w:p>
    <w:p>
      <w:pPr>
        <w:spacing w:line="240" w:lineRule="auto"/>
        <w:rPr>
          <w:rFonts w:hint="eastAsia" w:ascii="仿宋_GB2312" w:hAnsi="宋体" w:eastAsia="仿宋_GB2312"/>
          <w:sz w:val="32"/>
          <w:highlight w:val="none"/>
          <w:lang w:eastAsia="zh-CN"/>
        </w:rPr>
      </w:pPr>
      <w:r>
        <w:rPr>
          <w:rFonts w:hint="eastAsia" w:ascii="仿宋_GB2312" w:hAnsi="宋体" w:eastAsia="仿宋_GB2312"/>
          <w:sz w:val="32"/>
          <w:highlight w:val="none"/>
        </w:rPr>
        <w:t>项目单位：（公章）</w:t>
      </w:r>
      <w:r>
        <w:rPr>
          <w:rFonts w:hint="eastAsia" w:ascii="仿宋_GB2312" w:hAnsi="宋体" w:eastAsia="仿宋_GB2312"/>
          <w:sz w:val="32"/>
          <w:highlight w:val="none"/>
          <w:lang w:eastAsia="zh-CN"/>
        </w:rPr>
        <w:t>仁化县自然资源局</w:t>
      </w:r>
    </w:p>
    <w:p>
      <w:pPr>
        <w:spacing w:line="240" w:lineRule="auto"/>
        <w:rPr>
          <w:rFonts w:hint="eastAsia" w:ascii="仿宋_GB2312" w:hAnsi="宋体" w:eastAsia="仿宋_GB2312"/>
          <w:sz w:val="24"/>
          <w:szCs w:val="24"/>
          <w:highlight w:val="none"/>
        </w:rPr>
      </w:pPr>
      <w:r>
        <w:rPr>
          <w:rFonts w:hint="eastAsia" w:ascii="仿宋_GB2312" w:hAnsi="宋体" w:eastAsia="仿宋_GB2312"/>
          <w:sz w:val="24"/>
          <w:szCs w:val="24"/>
          <w:highlight w:val="none"/>
        </w:rPr>
        <w:t>(一级预算单位)</w:t>
      </w:r>
    </w:p>
    <w:p>
      <w:pPr>
        <w:spacing w:line="720" w:lineRule="auto"/>
        <w:ind w:firstLine="1449" w:firstLineChars="453"/>
        <w:rPr>
          <w:rFonts w:hint="eastAsia" w:ascii="仿宋_GB2312" w:hAnsi="宋体" w:eastAsia="仿宋_GB2312"/>
          <w:sz w:val="32"/>
          <w:highlight w:val="none"/>
        </w:rPr>
      </w:pPr>
    </w:p>
    <w:p>
      <w:pPr>
        <w:spacing w:line="720" w:lineRule="auto"/>
        <w:rPr>
          <w:rFonts w:hint="eastAsia" w:ascii="仿宋_GB2312" w:hAnsi="宋体" w:eastAsia="仿宋_GB2312"/>
          <w:sz w:val="32"/>
          <w:highlight w:val="none"/>
          <w:lang w:eastAsia="zh-CN"/>
        </w:rPr>
      </w:pPr>
      <w:r>
        <w:rPr>
          <w:rFonts w:hint="eastAsia" w:ascii="仿宋_GB2312" w:hAnsi="宋体" w:eastAsia="仿宋_GB2312"/>
          <w:sz w:val="32"/>
          <w:highlight w:val="none"/>
        </w:rPr>
        <w:t>填报人姓名：</w:t>
      </w:r>
      <w:r>
        <w:rPr>
          <w:rFonts w:hint="eastAsia" w:ascii="仿宋_GB2312" w:hAnsi="宋体" w:eastAsia="仿宋_GB2312"/>
          <w:sz w:val="32"/>
          <w:highlight w:val="none"/>
          <w:lang w:eastAsia="zh-CN"/>
        </w:rPr>
        <w:t>汪婉莹</w:t>
      </w:r>
    </w:p>
    <w:p>
      <w:pPr>
        <w:spacing w:line="720" w:lineRule="auto"/>
        <w:ind w:firstLine="1449" w:firstLineChars="453"/>
        <w:rPr>
          <w:rFonts w:hint="eastAsia" w:ascii="仿宋_GB2312" w:hAnsi="宋体" w:eastAsia="仿宋_GB2312"/>
          <w:sz w:val="32"/>
          <w:highlight w:val="none"/>
        </w:rPr>
      </w:pPr>
    </w:p>
    <w:p>
      <w:pPr>
        <w:spacing w:line="720" w:lineRule="auto"/>
        <w:rPr>
          <w:rFonts w:hint="default" w:ascii="仿宋_GB2312" w:hAnsi="宋体" w:eastAsia="仿宋_GB2312"/>
          <w:sz w:val="32"/>
          <w:highlight w:val="none"/>
          <w:lang w:val="en-US" w:eastAsia="zh-CN"/>
        </w:rPr>
      </w:pPr>
      <w:r>
        <w:rPr>
          <w:rFonts w:hint="eastAsia" w:ascii="仿宋_GB2312" w:hAnsi="宋体" w:eastAsia="仿宋_GB2312"/>
          <w:sz w:val="32"/>
          <w:highlight w:val="none"/>
        </w:rPr>
        <w:t>联系电话：</w:t>
      </w:r>
      <w:r>
        <w:rPr>
          <w:rFonts w:hint="eastAsia" w:ascii="仿宋_GB2312" w:hAnsi="宋体" w:eastAsia="仿宋_GB2312"/>
          <w:sz w:val="32"/>
          <w:highlight w:val="none"/>
          <w:lang w:val="en-US" w:eastAsia="zh-CN"/>
        </w:rPr>
        <w:t>0751-6329500</w:t>
      </w:r>
    </w:p>
    <w:p>
      <w:pPr>
        <w:spacing w:line="720" w:lineRule="auto"/>
        <w:rPr>
          <w:rFonts w:hint="eastAsia" w:ascii="仿宋_GB2312" w:hAnsi="宋体" w:eastAsia="仿宋_GB2312"/>
          <w:sz w:val="32"/>
          <w:highlight w:val="none"/>
        </w:rPr>
      </w:pPr>
    </w:p>
    <w:p>
      <w:pPr>
        <w:spacing w:line="720" w:lineRule="auto"/>
        <w:rPr>
          <w:rFonts w:hint="default" w:ascii="仿宋_GB2312" w:hAnsi="宋体" w:eastAsia="仿宋_GB2312"/>
          <w:sz w:val="32"/>
          <w:highlight w:val="none"/>
          <w:lang w:val="en-US" w:eastAsia="zh-CN"/>
        </w:rPr>
      </w:pPr>
      <w:r>
        <w:rPr>
          <w:rFonts w:hint="eastAsia" w:ascii="仿宋_GB2312" w:hAnsi="宋体" w:eastAsia="仿宋_GB2312"/>
          <w:sz w:val="32"/>
          <w:highlight w:val="none"/>
        </w:rPr>
        <w:t>填报日期：</w:t>
      </w:r>
      <w:r>
        <w:rPr>
          <w:rFonts w:hint="eastAsia" w:ascii="仿宋_GB2312" w:hAnsi="宋体" w:eastAsia="仿宋_GB2312"/>
          <w:sz w:val="32"/>
          <w:highlight w:val="none"/>
          <w:lang w:val="en-US" w:eastAsia="zh-CN"/>
        </w:rPr>
        <w:t>2025年3月17日</w:t>
      </w:r>
    </w:p>
    <w:p>
      <w:pPr>
        <w:spacing w:line="240" w:lineRule="auto"/>
        <w:ind w:firstLine="1449" w:firstLineChars="453"/>
        <w:rPr>
          <w:rFonts w:hint="eastAsia" w:ascii="仿宋_GB2312" w:hAnsi="宋体" w:eastAsia="仿宋_GB2312"/>
          <w:sz w:val="32"/>
          <w:highlight w:val="none"/>
          <w:u w:val="single"/>
        </w:rPr>
      </w:pPr>
    </w:p>
    <w:p>
      <w:pPr>
        <w:spacing w:line="225" w:lineRule="atLeast"/>
        <w:jc w:val="center"/>
        <w:rPr>
          <w:rFonts w:hint="eastAsia" w:ascii="楷体_GB2312" w:hAnsi="宋体" w:eastAsia="楷体_GB2312"/>
          <w:sz w:val="32"/>
          <w:szCs w:val="32"/>
          <w:highlight w:val="none"/>
        </w:rPr>
      </w:pPr>
    </w:p>
    <w:p>
      <w:pPr>
        <w:spacing w:line="225" w:lineRule="atLeast"/>
        <w:jc w:val="center"/>
        <w:rPr>
          <w:rFonts w:hint="eastAsia" w:ascii="楷体_GB2312" w:hAnsi="宋体" w:eastAsia="楷体_GB2312"/>
          <w:sz w:val="32"/>
          <w:szCs w:val="32"/>
          <w:highlight w:val="none"/>
        </w:rPr>
      </w:pPr>
    </w:p>
    <w:p>
      <w:pPr>
        <w:spacing w:line="360" w:lineRule="auto"/>
        <w:jc w:val="both"/>
        <w:rPr>
          <w:rFonts w:hint="eastAsia" w:ascii="仿宋_GB2312" w:hAnsi="仿宋_GB2312" w:eastAsia="仿宋_GB2312" w:cs="仿宋_GB2312"/>
          <w:sz w:val="32"/>
          <w:szCs w:val="32"/>
          <w:highlight w:val="none"/>
          <w:lang w:eastAsia="zh-CN"/>
        </w:rPr>
      </w:pPr>
    </w:p>
    <w:p>
      <w:pPr>
        <w:snapToGrid w:val="0"/>
        <w:spacing w:beforeLines="0" w:afterLines="0" w:line="360" w:lineRule="auto"/>
        <w:rPr>
          <w:rFonts w:hint="eastAsia" w:ascii="黑体" w:eastAsia="黑体"/>
          <w:sz w:val="32"/>
          <w:szCs w:val="32"/>
          <w:highlight w:val="none"/>
        </w:rPr>
      </w:pPr>
    </w:p>
    <w:p>
      <w:pPr>
        <w:snapToGrid w:val="0"/>
        <w:spacing w:beforeLines="0" w:afterLines="0" w:line="360" w:lineRule="auto"/>
        <w:ind w:firstLine="640" w:firstLineChars="200"/>
        <w:rPr>
          <w:rFonts w:hint="eastAsia" w:ascii="黑体" w:eastAsia="黑体"/>
          <w:sz w:val="32"/>
          <w:szCs w:val="32"/>
          <w:highlight w:val="none"/>
        </w:rPr>
      </w:pPr>
      <w:r>
        <w:rPr>
          <w:rFonts w:hint="eastAsia" w:ascii="黑体" w:eastAsia="黑体"/>
          <w:sz w:val="32"/>
          <w:szCs w:val="32"/>
          <w:highlight w:val="none"/>
        </w:rPr>
        <w:t>一、基本情况</w:t>
      </w:r>
    </w:p>
    <w:p>
      <w:pPr>
        <w:numPr>
          <w:ilvl w:val="0"/>
          <w:numId w:val="0"/>
        </w:numPr>
        <w:snapToGrid w:val="0"/>
        <w:spacing w:line="360" w:lineRule="auto"/>
        <w:ind w:firstLine="64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2024年下达</w:t>
      </w:r>
      <w:r>
        <w:rPr>
          <w:rFonts w:hint="eastAsia" w:ascii="仿宋_GB2312" w:hAnsi="宋体" w:eastAsia="仿宋_GB2312"/>
          <w:sz w:val="32"/>
        </w:rPr>
        <w:t>规委会效果图评审资料耗材费专家评审费</w:t>
      </w:r>
      <w:r>
        <w:rPr>
          <w:rFonts w:hint="eastAsia" w:ascii="仿宋_GB2312" w:hAnsi="宋体" w:eastAsia="仿宋_GB2312"/>
          <w:sz w:val="32"/>
          <w:lang w:val="en-US" w:eastAsia="zh-CN"/>
        </w:rPr>
        <w:t>2万元，</w:t>
      </w:r>
      <w:r>
        <w:rPr>
          <w:rFonts w:hint="eastAsia" w:ascii="仿宋_GB2312" w:hAnsi="宋体" w:eastAsia="仿宋_GB2312"/>
          <w:sz w:val="32"/>
          <w:szCs w:val="32"/>
          <w:lang w:val="en-US" w:eastAsia="zh-CN"/>
        </w:rPr>
        <w:t>用于组织召开规划委员会并委托有资质的专家从专业角度对上会规划项目进行把关及评估，确保规划项目安全可靠实施。</w:t>
      </w:r>
    </w:p>
    <w:p>
      <w:pPr>
        <w:snapToGrid w:val="0"/>
        <w:spacing w:beforeLines="0" w:afterLines="0" w:line="360" w:lineRule="auto"/>
        <w:ind w:firstLine="640" w:firstLineChars="200"/>
        <w:rPr>
          <w:rFonts w:hint="eastAsia" w:ascii="黑体" w:eastAsia="黑体"/>
          <w:sz w:val="32"/>
          <w:szCs w:val="32"/>
          <w:highlight w:val="none"/>
        </w:rPr>
      </w:pPr>
      <w:r>
        <w:rPr>
          <w:rFonts w:hint="eastAsia" w:ascii="黑体" w:eastAsia="黑体"/>
          <w:sz w:val="32"/>
          <w:szCs w:val="32"/>
          <w:highlight w:val="none"/>
        </w:rPr>
        <w:t>二、自评情况</w:t>
      </w:r>
    </w:p>
    <w:p>
      <w:pPr>
        <w:snapToGrid w:val="0"/>
        <w:spacing w:beforeLines="0" w:afterLines="0" w:line="360" w:lineRule="auto"/>
        <w:ind w:firstLine="640" w:firstLineChars="200"/>
        <w:rPr>
          <w:rFonts w:hint="eastAsia" w:ascii="仿宋_GB2312" w:eastAsia="仿宋_GB2312"/>
          <w:color w:val="auto"/>
          <w:sz w:val="32"/>
          <w:szCs w:val="32"/>
          <w:highlight w:val="none"/>
          <w:lang w:eastAsia="zh-CN"/>
        </w:rPr>
      </w:pPr>
      <w:r>
        <w:rPr>
          <w:rFonts w:hint="eastAsia" w:ascii="仿宋_GB2312" w:eastAsia="仿宋_GB2312"/>
          <w:sz w:val="32"/>
          <w:szCs w:val="32"/>
          <w:highlight w:val="none"/>
        </w:rPr>
        <w:t>（一）自评</w:t>
      </w:r>
      <w:r>
        <w:rPr>
          <w:rFonts w:hint="eastAsia" w:ascii="仿宋_GB2312" w:eastAsia="仿宋_GB2312"/>
          <w:sz w:val="32"/>
          <w:szCs w:val="32"/>
          <w:highlight w:val="none"/>
          <w:lang w:eastAsia="zh-CN"/>
        </w:rPr>
        <w:t>结论、</w:t>
      </w:r>
      <w:r>
        <w:rPr>
          <w:rFonts w:hint="eastAsia" w:ascii="仿宋_GB2312" w:eastAsia="仿宋_GB2312"/>
          <w:color w:val="auto"/>
          <w:sz w:val="32"/>
          <w:szCs w:val="32"/>
          <w:highlight w:val="none"/>
        </w:rPr>
        <w:t>分数</w:t>
      </w:r>
      <w:r>
        <w:rPr>
          <w:rFonts w:hint="eastAsia" w:ascii="仿宋_GB2312" w:eastAsia="仿宋_GB2312"/>
          <w:color w:val="auto"/>
          <w:sz w:val="32"/>
          <w:szCs w:val="32"/>
          <w:highlight w:val="none"/>
          <w:lang w:eastAsia="zh-CN"/>
        </w:rPr>
        <w:t>、等级</w:t>
      </w:r>
    </w:p>
    <w:p>
      <w:pPr>
        <w:snapToGrid w:val="0"/>
        <w:spacing w:line="360" w:lineRule="auto"/>
        <w:ind w:firstLine="640" w:firstLineChars="200"/>
        <w:rPr>
          <w:rFonts w:hint="eastAsia" w:ascii="仿宋_GB2312" w:eastAsia="仿宋_GB2312"/>
          <w:sz w:val="32"/>
          <w:szCs w:val="32"/>
          <w:highlight w:val="none"/>
          <w:lang w:eastAsia="zh-CN"/>
        </w:rPr>
      </w:pPr>
      <w:r>
        <w:rPr>
          <w:rFonts w:hint="eastAsia" w:ascii="仿宋" w:hAnsi="仿宋" w:eastAsia="仿宋"/>
          <w:color w:val="auto"/>
          <w:sz w:val="32"/>
          <w:szCs w:val="32"/>
          <w:highlight w:val="none"/>
        </w:rPr>
        <w:t>我局按照有关要求，</w:t>
      </w:r>
      <w:r>
        <w:rPr>
          <w:rFonts w:hint="eastAsia" w:ascii="仿宋_GB2312" w:eastAsia="仿宋_GB2312"/>
          <w:color w:val="auto"/>
          <w:kern w:val="0"/>
          <w:sz w:val="32"/>
          <w:szCs w:val="32"/>
          <w:highlight w:val="none"/>
        </w:rPr>
        <w:t>对照《专项支出绩效自评表》逐</w:t>
      </w:r>
      <w:r>
        <w:rPr>
          <w:rFonts w:hint="eastAsia" w:ascii="仿宋_GB2312" w:eastAsia="仿宋_GB2312"/>
          <w:kern w:val="0"/>
          <w:sz w:val="32"/>
          <w:szCs w:val="32"/>
          <w:highlight w:val="none"/>
        </w:rPr>
        <w:t>项进行自评，</w:t>
      </w:r>
      <w:r>
        <w:rPr>
          <w:rFonts w:hint="eastAsia" w:ascii="仿宋" w:hAnsi="仿宋" w:eastAsia="仿宋"/>
          <w:sz w:val="32"/>
          <w:szCs w:val="32"/>
          <w:highlight w:val="none"/>
        </w:rPr>
        <w:t>自评优秀，评分</w:t>
      </w:r>
      <w:r>
        <w:rPr>
          <w:rFonts w:hint="eastAsia" w:ascii="仿宋" w:hAnsi="仿宋" w:eastAsia="仿宋"/>
          <w:sz w:val="32"/>
          <w:szCs w:val="32"/>
          <w:highlight w:val="none"/>
          <w:lang w:val="en-US" w:eastAsia="zh-CN"/>
        </w:rPr>
        <w:t>96.86</w:t>
      </w:r>
      <w:r>
        <w:rPr>
          <w:rFonts w:hint="eastAsia" w:ascii="仿宋" w:hAnsi="仿宋" w:eastAsia="仿宋"/>
          <w:sz w:val="32"/>
          <w:szCs w:val="32"/>
          <w:highlight w:val="none"/>
        </w:rPr>
        <w:t>分。</w:t>
      </w:r>
    </w:p>
    <w:p>
      <w:pPr>
        <w:snapToGrid w:val="0"/>
        <w:spacing w:beforeLines="0" w:afterLines="0" w:line="360" w:lineRule="auto"/>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（二）资金使用绩效</w:t>
      </w:r>
    </w:p>
    <w:p>
      <w:pPr>
        <w:snapToGrid w:val="0"/>
        <w:spacing w:beforeLines="0" w:afterLines="0" w:line="360" w:lineRule="auto"/>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  1.资金支出情况。</w:t>
      </w:r>
    </w:p>
    <w:p>
      <w:pPr>
        <w:snapToGrid w:val="0"/>
        <w:spacing w:line="360" w:lineRule="auto"/>
        <w:ind w:firstLine="640" w:firstLineChars="200"/>
        <w:rPr>
          <w:rFonts w:hint="eastAsia" w:ascii="仿宋" w:hAnsi="仿宋" w:eastAsia="仿宋"/>
          <w:sz w:val="32"/>
          <w:szCs w:val="32"/>
        </w:rPr>
      </w:pPr>
      <w:r>
        <w:rPr>
          <w:rFonts w:hint="eastAsia" w:ascii="仿宋" w:hAnsi="仿宋" w:eastAsia="仿宋"/>
          <w:sz w:val="32"/>
          <w:szCs w:val="32"/>
        </w:rPr>
        <w:t>本项目所有资金实行专款专用。项目支出均有相关的授权审批。资金拨付严格按审批使用规范，会计核算结果真实、准确。此次绩效评价过程中未发现有截留、挤占或</w:t>
      </w:r>
      <w:r>
        <w:rPr>
          <w:rFonts w:hint="eastAsia" w:ascii="仿宋" w:hAnsi="仿宋" w:eastAsia="仿宋"/>
          <w:sz w:val="32"/>
          <w:szCs w:val="32"/>
          <w:lang w:val="en-US" w:eastAsia="zh-CN"/>
        </w:rPr>
        <w:t>挪用</w:t>
      </w:r>
      <w:r>
        <w:rPr>
          <w:rFonts w:hint="eastAsia" w:ascii="仿宋" w:hAnsi="仿宋" w:eastAsia="仿宋"/>
          <w:sz w:val="32"/>
          <w:szCs w:val="32"/>
        </w:rPr>
        <w:t>项资金的情况。截止202</w:t>
      </w:r>
      <w:r>
        <w:rPr>
          <w:rFonts w:hint="eastAsia" w:ascii="仿宋" w:hAnsi="仿宋" w:eastAsia="仿宋"/>
          <w:sz w:val="32"/>
          <w:szCs w:val="32"/>
          <w:lang w:val="en-US" w:eastAsia="zh-CN"/>
        </w:rPr>
        <w:t>4</w:t>
      </w:r>
      <w:r>
        <w:rPr>
          <w:rFonts w:hint="eastAsia" w:ascii="仿宋" w:hAnsi="仿宋" w:eastAsia="仿宋"/>
          <w:sz w:val="32"/>
          <w:szCs w:val="32"/>
        </w:rPr>
        <w:t>年12月31日止该项目资金使用</w:t>
      </w:r>
      <w:r>
        <w:rPr>
          <w:rFonts w:hint="eastAsia" w:ascii="仿宋" w:hAnsi="仿宋" w:eastAsia="仿宋"/>
          <w:sz w:val="32"/>
          <w:szCs w:val="32"/>
          <w:lang w:val="en-US" w:eastAsia="zh-CN"/>
        </w:rPr>
        <w:t>1.97</w:t>
      </w:r>
      <w:r>
        <w:rPr>
          <w:rFonts w:hint="eastAsia" w:ascii="仿宋" w:hAnsi="仿宋" w:eastAsia="仿宋"/>
          <w:sz w:val="32"/>
          <w:szCs w:val="32"/>
        </w:rPr>
        <w:t>万元，资金使用率</w:t>
      </w:r>
      <w:r>
        <w:rPr>
          <w:rFonts w:hint="eastAsia" w:ascii="仿宋" w:hAnsi="仿宋" w:eastAsia="仿宋"/>
          <w:sz w:val="32"/>
          <w:szCs w:val="32"/>
          <w:lang w:val="en-US" w:eastAsia="zh-CN"/>
        </w:rPr>
        <w:t>98.62</w:t>
      </w:r>
      <w:r>
        <w:rPr>
          <w:rFonts w:hint="eastAsia" w:ascii="仿宋" w:hAnsi="仿宋" w:eastAsia="仿宋"/>
          <w:sz w:val="32"/>
          <w:szCs w:val="32"/>
        </w:rPr>
        <w:t>%。</w:t>
      </w:r>
    </w:p>
    <w:p>
      <w:pPr>
        <w:snapToGrid w:val="0"/>
        <w:spacing w:beforeLines="0" w:afterLines="0" w:line="360" w:lineRule="auto"/>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  2.资金完成绩效目标情况。</w:t>
      </w:r>
    </w:p>
    <w:p>
      <w:pPr>
        <w:snapToGrid w:val="0"/>
        <w:spacing w:beforeLines="0" w:afterLines="0" w:line="360" w:lineRule="auto"/>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资金全部用于</w:t>
      </w:r>
      <w:bookmarkStart w:id="0" w:name="OLE_LINK1"/>
      <w:r>
        <w:rPr>
          <w:rFonts w:hint="eastAsia" w:ascii="仿宋_GB2312" w:eastAsia="仿宋_GB2312"/>
          <w:sz w:val="32"/>
          <w:szCs w:val="32"/>
          <w:highlight w:val="none"/>
        </w:rPr>
        <w:t>支付规委会资料耗材费、专家评审费，加强了全县的建设项目的规划指引作用，对完善我县规划体系具有重要意义。</w:t>
      </w:r>
    </w:p>
    <w:bookmarkEnd w:id="0"/>
    <w:p>
      <w:pPr>
        <w:snapToGrid w:val="0"/>
        <w:spacing w:beforeLines="0" w:afterLines="0" w:line="360" w:lineRule="auto"/>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 xml:space="preserve">  3.资金分用途使用绩效。</w:t>
      </w:r>
    </w:p>
    <w:p>
      <w:pPr>
        <w:snapToGrid w:val="0"/>
        <w:spacing w:beforeLines="0" w:afterLines="0" w:line="360" w:lineRule="auto"/>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年度共组织的</w:t>
      </w: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次规委会，共审议了《仁化县城镇老旧小区改造项目（三期）一标段规划设计方案》等</w:t>
      </w:r>
      <w:r>
        <w:rPr>
          <w:rFonts w:hint="eastAsia" w:ascii="仿宋_GB2312" w:eastAsia="仿宋_GB2312"/>
          <w:sz w:val="32"/>
          <w:szCs w:val="32"/>
          <w:highlight w:val="none"/>
          <w:lang w:val="en-US" w:eastAsia="zh-CN"/>
        </w:rPr>
        <w:t>82</w:t>
      </w:r>
      <w:r>
        <w:rPr>
          <w:rFonts w:hint="eastAsia" w:ascii="仿宋_GB2312" w:eastAsia="仿宋_GB2312"/>
          <w:sz w:val="32"/>
          <w:szCs w:val="32"/>
          <w:highlight w:val="none"/>
        </w:rPr>
        <w:t>个议题，资金支付合规，资金支出率</w:t>
      </w:r>
      <w:r>
        <w:rPr>
          <w:rFonts w:hint="eastAsia" w:ascii="仿宋_GB2312" w:eastAsia="仿宋_GB2312"/>
          <w:sz w:val="32"/>
          <w:szCs w:val="32"/>
          <w:highlight w:val="none"/>
          <w:lang w:val="en-US" w:eastAsia="zh-CN"/>
        </w:rPr>
        <w:t>98.6</w:t>
      </w:r>
      <w:r>
        <w:rPr>
          <w:rFonts w:hint="eastAsia" w:ascii="仿宋_GB2312" w:eastAsia="仿宋_GB2312"/>
          <w:sz w:val="32"/>
          <w:szCs w:val="32"/>
          <w:highlight w:val="none"/>
        </w:rPr>
        <w:t>%，参会人员满意度100%，加快了各类上会项目的实施落地，完善了我县</w:t>
      </w:r>
      <w:r>
        <w:rPr>
          <w:rFonts w:hint="eastAsia" w:ascii="仿宋_GB2312" w:eastAsia="仿宋_GB2312"/>
          <w:sz w:val="32"/>
          <w:szCs w:val="32"/>
          <w:highlight w:val="none"/>
          <w:lang w:eastAsia="zh-CN"/>
        </w:rPr>
        <w:t>国土空间</w:t>
      </w:r>
      <w:r>
        <w:rPr>
          <w:rFonts w:hint="eastAsia" w:ascii="仿宋_GB2312" w:eastAsia="仿宋_GB2312"/>
          <w:sz w:val="32"/>
          <w:szCs w:val="32"/>
          <w:highlight w:val="none"/>
        </w:rPr>
        <w:t>规划体系。</w:t>
      </w:r>
    </w:p>
    <w:p>
      <w:pPr>
        <w:snapToGrid w:val="0"/>
        <w:spacing w:beforeLines="0" w:afterLines="0" w:line="360" w:lineRule="auto"/>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（三）资金使用绩效存在的问题</w:t>
      </w:r>
    </w:p>
    <w:p>
      <w:pPr>
        <w:snapToGrid w:val="0"/>
        <w:spacing w:line="360" w:lineRule="auto"/>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绩效目标树立不够明确、细化和量化</w:t>
      </w:r>
      <w:r>
        <w:rPr>
          <w:rFonts w:hint="eastAsia" w:ascii="仿宋_GB2312" w:eastAsia="仿宋_GB2312"/>
          <w:sz w:val="32"/>
          <w:szCs w:val="32"/>
          <w:highlight w:val="none"/>
          <w:lang w:eastAsia="zh-CN"/>
        </w:rPr>
        <w:t>。</w:t>
      </w:r>
    </w:p>
    <w:p>
      <w:pPr>
        <w:snapToGrid w:val="0"/>
        <w:spacing w:beforeLines="0" w:afterLines="0" w:line="360" w:lineRule="auto"/>
        <w:ind w:firstLine="640" w:firstLineChars="200"/>
        <w:rPr>
          <w:rFonts w:hint="eastAsia" w:ascii="黑体" w:eastAsia="黑体"/>
          <w:sz w:val="32"/>
          <w:szCs w:val="32"/>
          <w:highlight w:val="none"/>
        </w:rPr>
      </w:pPr>
      <w:r>
        <w:rPr>
          <w:rFonts w:hint="eastAsia" w:ascii="黑体" w:eastAsia="黑体"/>
          <w:sz w:val="32"/>
          <w:szCs w:val="32"/>
          <w:highlight w:val="none"/>
        </w:rPr>
        <w:t>三、改进意见</w:t>
      </w:r>
    </w:p>
    <w:p>
      <w:pPr>
        <w:snapToGrid w:val="0"/>
        <w:spacing w:beforeLines="0" w:afterLines="0" w:line="360" w:lineRule="auto"/>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细化预算编制工作，严格按照预算编制的相关制度和要求做好预算的编</w:t>
      </w:r>
      <w:bookmarkStart w:id="1" w:name="_GoBack"/>
      <w:bookmarkEnd w:id="1"/>
      <w:r>
        <w:rPr>
          <w:rFonts w:hint="eastAsia" w:ascii="仿宋_GB2312" w:eastAsia="仿宋_GB2312"/>
          <w:sz w:val="32"/>
          <w:szCs w:val="32"/>
          <w:highlight w:val="none"/>
        </w:rPr>
        <w:t>制，进一步提高预算编制的科学性、严谨性和可控性</w:t>
      </w:r>
      <w:r>
        <w:rPr>
          <w:rFonts w:hint="eastAsia" w:ascii="仿宋_GB2312" w:eastAsia="仿宋_GB2312"/>
          <w:sz w:val="32"/>
          <w:szCs w:val="32"/>
          <w:highlight w:val="none"/>
          <w:lang w:eastAsia="zh-CN"/>
        </w:rPr>
        <w:t>。</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ODBjZjU4ZTZhNTg5NDNlY2E4NWVmNTA0YWUwY2EifQ=="/>
    <w:docVar w:name="KSO_WPS_MARK_KEY" w:val="b1f37ad1-c963-4a17-8518-e69c2fc68593"/>
  </w:docVars>
  <w:rsids>
    <w:rsidRoot w:val="0BFE5C14"/>
    <w:rsid w:val="03B84D5A"/>
    <w:rsid w:val="055A7363"/>
    <w:rsid w:val="06A5599C"/>
    <w:rsid w:val="099A00A9"/>
    <w:rsid w:val="0ABF1BFB"/>
    <w:rsid w:val="0BFE5C14"/>
    <w:rsid w:val="0D2B61B4"/>
    <w:rsid w:val="19F31A6B"/>
    <w:rsid w:val="1EDE4CF4"/>
    <w:rsid w:val="21376EB9"/>
    <w:rsid w:val="22181FFD"/>
    <w:rsid w:val="25F212E3"/>
    <w:rsid w:val="27327EBB"/>
    <w:rsid w:val="2DE123DA"/>
    <w:rsid w:val="312E2441"/>
    <w:rsid w:val="393F368D"/>
    <w:rsid w:val="42F145B3"/>
    <w:rsid w:val="47FE15B1"/>
    <w:rsid w:val="4CEA4D0E"/>
    <w:rsid w:val="511E307C"/>
    <w:rsid w:val="513941F5"/>
    <w:rsid w:val="57D32826"/>
    <w:rsid w:val="67150B10"/>
    <w:rsid w:val="6C977140"/>
    <w:rsid w:val="6CFE24A2"/>
    <w:rsid w:val="736B1B84"/>
    <w:rsid w:val="7C073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479</Words>
  <Characters>519</Characters>
  <Lines>0</Lines>
  <Paragraphs>0</Paragraphs>
  <TotalTime>29</TotalTime>
  <ScaleCrop>false</ScaleCrop>
  <LinksUpToDate>false</LinksUpToDate>
  <CharactersWithSpaces>525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Administrator</cp:lastModifiedBy>
  <dcterms:modified xsi:type="dcterms:W3CDTF">2025-10-22T03:12:20Z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ribbonExt">
    <vt:lpwstr>{"WPSExtOfficeTab":{"OnGetEnabled":false,"OnGetVisible":false}}</vt:lpwstr>
  </property>
  <property fmtid="{D5CDD505-2E9C-101B-9397-08002B2CF9AE}" pid="4" name="ICV">
    <vt:lpwstr>1118E01859D24BA19DFA0A35AC086662_13</vt:lpwstr>
  </property>
</Properties>
</file>