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AC90C">
      <w:pPr>
        <w:spacing w:line="360" w:lineRule="auto"/>
        <w:ind w:firstLine="1044" w:firstLineChars="200"/>
        <w:jc w:val="both"/>
        <w:rPr>
          <w:rFonts w:hint="eastAsia" w:ascii="方正小标宋简体" w:hAnsi="宋体" w:eastAsia="方正小标宋简体"/>
          <w:b/>
          <w:sz w:val="52"/>
          <w:szCs w:val="52"/>
        </w:rPr>
      </w:pPr>
      <w:r>
        <w:rPr>
          <w:rFonts w:hint="eastAsia" w:ascii="方正小标宋简体" w:hAnsi="宋体" w:eastAsia="方正小标宋简体"/>
          <w:b/>
          <w:bCs/>
          <w:sz w:val="52"/>
          <w:szCs w:val="52"/>
        </w:rPr>
        <w:t>财政支出项目绩效自评</w:t>
      </w:r>
      <w:r>
        <w:rPr>
          <w:rFonts w:hint="eastAsia" w:ascii="方正小标宋简体" w:hAnsi="宋体" w:eastAsia="方正小标宋简体"/>
          <w:b/>
          <w:sz w:val="52"/>
          <w:szCs w:val="52"/>
        </w:rPr>
        <w:t>报告</w:t>
      </w:r>
    </w:p>
    <w:p w14:paraId="56306D79">
      <w:pPr>
        <w:spacing w:line="360" w:lineRule="auto"/>
        <w:ind w:firstLine="3200" w:firstLineChars="10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2024年度</w:t>
      </w:r>
      <w:r>
        <w:rPr>
          <w:rFonts w:hint="eastAsia" w:ascii="仿宋_GB2312" w:hAnsi="仿宋_GB2312" w:eastAsia="仿宋_GB2312" w:cs="仿宋_GB2312"/>
          <w:sz w:val="32"/>
          <w:szCs w:val="32"/>
          <w:lang w:eastAsia="zh-CN"/>
        </w:rPr>
        <w:t>）</w:t>
      </w:r>
    </w:p>
    <w:p w14:paraId="0B017683">
      <w:pPr>
        <w:spacing w:line="720" w:lineRule="auto"/>
        <w:rPr>
          <w:rFonts w:hint="eastAsia" w:ascii="仿宋_GB2312" w:hAnsi="宋体" w:eastAsia="仿宋_GB2312"/>
          <w:sz w:val="32"/>
        </w:rPr>
      </w:pPr>
    </w:p>
    <w:p w14:paraId="2BAFA769">
      <w:pPr>
        <w:spacing w:line="720" w:lineRule="auto"/>
        <w:rPr>
          <w:rFonts w:hint="default" w:ascii="仿宋_GB2312" w:hAnsi="宋体" w:eastAsia="仿宋_GB2312"/>
          <w:sz w:val="32"/>
          <w:lang w:val="en-US" w:eastAsia="zh-CN"/>
        </w:rPr>
      </w:pPr>
      <w:r>
        <w:rPr>
          <w:rFonts w:hint="eastAsia" w:ascii="仿宋_GB2312" w:hAnsi="宋体" w:eastAsia="仿宋_GB2312"/>
          <w:sz w:val="32"/>
        </w:rPr>
        <w:t>项目名称：</w:t>
      </w:r>
      <w:r>
        <w:rPr>
          <w:rFonts w:hint="eastAsia" w:ascii="仿宋_GB2312" w:hAnsi="宋体" w:eastAsia="仿宋_GB2312"/>
          <w:sz w:val="32"/>
          <w:lang w:val="en-US" w:eastAsia="zh-CN"/>
        </w:rPr>
        <w:t>全县信创工作补助资金-仁化县消防救援大队</w:t>
      </w:r>
    </w:p>
    <w:p w14:paraId="74A27919">
      <w:pPr>
        <w:spacing w:line="240" w:lineRule="auto"/>
        <w:ind w:firstLine="1449" w:firstLineChars="453"/>
        <w:rPr>
          <w:rFonts w:hint="eastAsia" w:ascii="仿宋_GB2312" w:hAnsi="宋体" w:eastAsia="仿宋_GB2312"/>
          <w:sz w:val="32"/>
        </w:rPr>
      </w:pPr>
    </w:p>
    <w:p w14:paraId="2C51BCFA">
      <w:pPr>
        <w:spacing w:line="240" w:lineRule="auto"/>
        <w:rPr>
          <w:rFonts w:hint="eastAsia" w:ascii="仿宋_GB2312" w:hAnsi="宋体" w:eastAsia="仿宋_GB2312"/>
          <w:sz w:val="32"/>
        </w:rPr>
      </w:pPr>
      <w:r>
        <w:rPr>
          <w:rFonts w:hint="eastAsia" w:ascii="仿宋_GB2312" w:hAnsi="宋体" w:eastAsia="仿宋_GB2312"/>
          <w:sz w:val="32"/>
        </w:rPr>
        <w:t>项目单位：（公章）</w:t>
      </w:r>
      <w:r>
        <w:rPr>
          <w:rFonts w:hint="eastAsia" w:ascii="仿宋_GB2312" w:hAnsi="宋体" w:eastAsia="仿宋_GB2312"/>
          <w:sz w:val="32"/>
          <w:lang w:eastAsia="zh-CN"/>
        </w:rPr>
        <w:t>仁化县消防救援大队</w:t>
      </w:r>
    </w:p>
    <w:p w14:paraId="3346DD35">
      <w:pPr>
        <w:spacing w:line="240" w:lineRule="auto"/>
        <w:rPr>
          <w:rFonts w:hint="eastAsia" w:ascii="仿宋_GB2312" w:hAnsi="宋体" w:eastAsia="仿宋_GB2312"/>
          <w:sz w:val="32"/>
        </w:rPr>
      </w:pPr>
    </w:p>
    <w:p w14:paraId="50F8FEE8">
      <w:pPr>
        <w:spacing w:line="240" w:lineRule="auto"/>
        <w:rPr>
          <w:rFonts w:hint="eastAsia" w:ascii="仿宋_GB2312" w:hAnsi="宋体" w:eastAsia="仿宋_GB2312"/>
          <w:sz w:val="24"/>
          <w:szCs w:val="24"/>
        </w:rPr>
      </w:pPr>
      <w:r>
        <w:rPr>
          <w:rFonts w:hint="eastAsia" w:ascii="仿宋_GB2312" w:hAnsi="宋体" w:eastAsia="仿宋_GB2312"/>
          <w:sz w:val="24"/>
          <w:szCs w:val="24"/>
        </w:rPr>
        <w:t>(一级预算单位)</w:t>
      </w:r>
    </w:p>
    <w:p w14:paraId="23B56A42">
      <w:pPr>
        <w:spacing w:line="720" w:lineRule="auto"/>
        <w:ind w:firstLine="1449" w:firstLineChars="453"/>
        <w:rPr>
          <w:rFonts w:hint="eastAsia" w:ascii="仿宋_GB2312" w:hAnsi="宋体" w:eastAsia="仿宋_GB2312"/>
          <w:sz w:val="32"/>
        </w:rPr>
      </w:pPr>
    </w:p>
    <w:p w14:paraId="10522E79">
      <w:pPr>
        <w:spacing w:line="720" w:lineRule="auto"/>
        <w:rPr>
          <w:rFonts w:hint="eastAsia" w:ascii="仿宋_GB2312" w:hAnsi="宋体" w:eastAsia="仿宋_GB2312"/>
          <w:sz w:val="32"/>
          <w:lang w:val="en-US" w:eastAsia="zh-CN"/>
        </w:rPr>
      </w:pPr>
      <w:r>
        <w:rPr>
          <w:rFonts w:hint="eastAsia" w:ascii="仿宋_GB2312" w:hAnsi="宋体" w:eastAsia="仿宋_GB2312"/>
          <w:sz w:val="32"/>
        </w:rPr>
        <w:t>填报人姓名：</w:t>
      </w:r>
      <w:r>
        <w:rPr>
          <w:rFonts w:hint="eastAsia" w:ascii="仿宋_GB2312" w:hAnsi="宋体" w:eastAsia="仿宋_GB2312"/>
          <w:sz w:val="32"/>
          <w:lang w:val="en-US" w:eastAsia="zh-CN"/>
        </w:rPr>
        <w:t>欧秀华</w:t>
      </w:r>
    </w:p>
    <w:p w14:paraId="07FC97FF">
      <w:pPr>
        <w:spacing w:line="720" w:lineRule="auto"/>
        <w:ind w:firstLine="1449" w:firstLineChars="453"/>
        <w:rPr>
          <w:rFonts w:hint="eastAsia" w:ascii="仿宋_GB2312" w:hAnsi="宋体" w:eastAsia="仿宋_GB2312"/>
          <w:sz w:val="32"/>
        </w:rPr>
      </w:pPr>
    </w:p>
    <w:p w14:paraId="7F8E4844">
      <w:pPr>
        <w:spacing w:line="720" w:lineRule="auto"/>
        <w:rPr>
          <w:rFonts w:hint="default" w:ascii="仿宋_GB2312" w:hAnsi="宋体" w:eastAsia="仿宋_GB2312"/>
          <w:sz w:val="32"/>
          <w:lang w:val="en-US" w:eastAsia="zh-CN"/>
        </w:rPr>
      </w:pPr>
      <w:r>
        <w:rPr>
          <w:rFonts w:hint="eastAsia" w:ascii="仿宋_GB2312" w:hAnsi="宋体" w:eastAsia="仿宋_GB2312"/>
          <w:sz w:val="32"/>
        </w:rPr>
        <w:t>联系电话：</w:t>
      </w:r>
      <w:r>
        <w:rPr>
          <w:rFonts w:hint="eastAsia" w:ascii="仿宋_GB2312" w:hAnsi="宋体" w:eastAsia="仿宋_GB2312"/>
          <w:sz w:val="32"/>
          <w:lang w:val="en-US" w:eastAsia="zh-CN"/>
        </w:rPr>
        <w:t>15814983541</w:t>
      </w:r>
    </w:p>
    <w:p w14:paraId="4BAC3A86">
      <w:pPr>
        <w:spacing w:line="720" w:lineRule="auto"/>
        <w:rPr>
          <w:rFonts w:hint="eastAsia" w:ascii="仿宋_GB2312" w:hAnsi="宋体" w:eastAsia="仿宋_GB2312"/>
          <w:sz w:val="32"/>
        </w:rPr>
      </w:pPr>
    </w:p>
    <w:p w14:paraId="5CFF6137">
      <w:pPr>
        <w:spacing w:line="720" w:lineRule="auto"/>
        <w:rPr>
          <w:rFonts w:hint="default" w:ascii="仿宋_GB2312" w:hAnsi="宋体" w:eastAsia="仿宋_GB2312"/>
          <w:sz w:val="32"/>
          <w:lang w:val="en-US" w:eastAsia="zh-CN"/>
        </w:rPr>
      </w:pPr>
      <w:r>
        <w:rPr>
          <w:rFonts w:hint="eastAsia" w:ascii="仿宋_GB2312" w:hAnsi="宋体" w:eastAsia="仿宋_GB2312"/>
          <w:sz w:val="32"/>
        </w:rPr>
        <w:t>填报日期：</w:t>
      </w:r>
      <w:r>
        <w:rPr>
          <w:rFonts w:hint="eastAsia" w:ascii="仿宋_GB2312" w:hAnsi="宋体" w:eastAsia="仿宋_GB2312"/>
          <w:sz w:val="32"/>
          <w:lang w:val="en-US" w:eastAsia="zh-CN"/>
        </w:rPr>
        <w:t>2025年2月24日</w:t>
      </w:r>
    </w:p>
    <w:p w14:paraId="22F5E529">
      <w:pPr>
        <w:spacing w:line="240" w:lineRule="auto"/>
        <w:ind w:firstLine="1449" w:firstLineChars="453"/>
        <w:rPr>
          <w:rFonts w:hint="eastAsia" w:ascii="仿宋_GB2312" w:hAnsi="宋体" w:eastAsia="仿宋_GB2312"/>
          <w:sz w:val="32"/>
          <w:u w:val="single"/>
        </w:rPr>
      </w:pPr>
    </w:p>
    <w:p w14:paraId="191CCDEA">
      <w:pPr>
        <w:spacing w:line="225" w:lineRule="atLeast"/>
        <w:jc w:val="center"/>
        <w:rPr>
          <w:rFonts w:hint="eastAsia" w:ascii="楷体_GB2312" w:hAnsi="宋体" w:eastAsia="楷体_GB2312"/>
          <w:sz w:val="32"/>
          <w:szCs w:val="32"/>
        </w:rPr>
      </w:pPr>
    </w:p>
    <w:p w14:paraId="4E8BD8D2">
      <w:pPr>
        <w:spacing w:line="360" w:lineRule="auto"/>
        <w:jc w:val="both"/>
        <w:rPr>
          <w:rFonts w:hint="eastAsia" w:ascii="仿宋_GB2312" w:hAnsi="仿宋_GB2312" w:eastAsia="仿宋_GB2312" w:cs="仿宋_GB2312"/>
          <w:sz w:val="32"/>
          <w:szCs w:val="32"/>
          <w:lang w:eastAsia="zh-CN"/>
        </w:rPr>
      </w:pPr>
    </w:p>
    <w:p w14:paraId="1E6D6FFA">
      <w:pPr>
        <w:spacing w:line="360" w:lineRule="auto"/>
        <w:jc w:val="both"/>
        <w:rPr>
          <w:rFonts w:hint="eastAsia" w:ascii="仿宋_GB2312" w:hAnsi="仿宋_GB2312" w:eastAsia="仿宋_GB2312" w:cs="仿宋_GB2312"/>
          <w:sz w:val="32"/>
          <w:szCs w:val="32"/>
          <w:lang w:eastAsia="zh-CN"/>
        </w:rPr>
      </w:pPr>
    </w:p>
    <w:p w14:paraId="174BD6CC">
      <w:pPr>
        <w:snapToGrid w:val="0"/>
        <w:spacing w:beforeLines="0" w:afterLines="0" w:line="360" w:lineRule="auto"/>
        <w:ind w:firstLine="640" w:firstLineChars="200"/>
        <w:rPr>
          <w:rFonts w:hint="eastAsia" w:ascii="黑体" w:eastAsia="黑体"/>
          <w:sz w:val="32"/>
          <w:szCs w:val="32"/>
        </w:rPr>
      </w:pPr>
    </w:p>
    <w:p w14:paraId="171CA504">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一、基本情况</w:t>
      </w:r>
    </w:p>
    <w:p w14:paraId="7DEF01DE">
      <w:pPr>
        <w:snapToGrid w:val="0"/>
        <w:spacing w:beforeLines="0" w:afterLines="0" w:line="360" w:lineRule="auto"/>
        <w:ind w:firstLine="640" w:firstLineChars="200"/>
        <w:rPr>
          <w:rFonts w:hint="eastAsia" w:ascii="仿宋_GB2312" w:eastAsia="仿宋_GB2312"/>
          <w:sz w:val="32"/>
          <w:szCs w:val="32"/>
        </w:rPr>
      </w:pP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全县信创工作补助资金</w:t>
      </w:r>
      <w:r>
        <w:rPr>
          <w:rFonts w:hint="eastAsia" w:ascii="仿宋_GB2312" w:hAnsi="仿宋_GB2312" w:eastAsia="仿宋_GB2312" w:cs="仿宋_GB2312"/>
          <w:sz w:val="32"/>
          <w:szCs w:val="32"/>
        </w:rPr>
        <w:t>使用单位为</w:t>
      </w:r>
      <w:r>
        <w:rPr>
          <w:rFonts w:hint="eastAsia" w:ascii="仿宋_GB2312" w:hAnsi="仿宋_GB2312" w:eastAsia="仿宋_GB2312" w:cs="仿宋_GB2312"/>
          <w:sz w:val="32"/>
          <w:szCs w:val="32"/>
          <w:lang w:val="en-US" w:eastAsia="zh-CN"/>
        </w:rPr>
        <w:t>仁化</w:t>
      </w:r>
      <w:r>
        <w:rPr>
          <w:rFonts w:hint="eastAsia" w:ascii="仿宋_GB2312" w:hAnsi="仿宋_GB2312" w:eastAsia="仿宋_GB2312" w:cs="仿宋_GB2312"/>
          <w:sz w:val="32"/>
          <w:szCs w:val="32"/>
        </w:rPr>
        <w:t>县消防救援大队</w:t>
      </w:r>
      <w:r>
        <w:rPr>
          <w:rFonts w:hint="eastAsia" w:ascii="仿宋_GB2312" w:hAnsi="仿宋_GB2312" w:eastAsia="仿宋_GB2312" w:cs="仿宋_GB2312"/>
          <w:sz w:val="32"/>
          <w:szCs w:val="32"/>
          <w:lang w:val="en-US" w:eastAsia="zh-CN"/>
        </w:rPr>
        <w:t>,</w:t>
      </w:r>
      <w:r>
        <w:rPr>
          <w:rFonts w:hint="eastAsia" w:ascii="仿宋_GB2312" w:eastAsia="仿宋_GB2312" w:cs="仿宋_GB2312"/>
          <w:sz w:val="32"/>
          <w:szCs w:val="32"/>
        </w:rPr>
        <w:t>本项目为20</w:t>
      </w:r>
      <w:r>
        <w:rPr>
          <w:rFonts w:hint="eastAsia" w:ascii="仿宋_GB2312" w:eastAsia="仿宋_GB2312" w:cs="仿宋_GB2312"/>
          <w:sz w:val="32"/>
          <w:szCs w:val="32"/>
          <w:lang w:val="en-US" w:eastAsia="zh-CN"/>
        </w:rPr>
        <w:t>24</w:t>
      </w:r>
      <w:r>
        <w:rPr>
          <w:rFonts w:hint="eastAsia" w:ascii="仿宋_GB2312" w:eastAsia="仿宋_GB2312" w:cs="仿宋_GB2312"/>
          <w:sz w:val="32"/>
          <w:szCs w:val="32"/>
        </w:rPr>
        <w:t>年度</w:t>
      </w:r>
      <w:r>
        <w:rPr>
          <w:rFonts w:hint="eastAsia" w:ascii="仿宋_GB2312" w:eastAsia="仿宋_GB2312" w:cs="仿宋_GB2312"/>
          <w:sz w:val="32"/>
          <w:szCs w:val="32"/>
          <w:lang w:val="en-US" w:eastAsia="zh-CN"/>
        </w:rPr>
        <w:t>新增</w:t>
      </w:r>
      <w:r>
        <w:rPr>
          <w:rFonts w:hint="eastAsia" w:ascii="仿宋_GB2312" w:eastAsia="仿宋_GB2312" w:cs="仿宋_GB2312"/>
          <w:sz w:val="32"/>
          <w:szCs w:val="32"/>
        </w:rPr>
        <w:t>项目，项目的全部经费为</w:t>
      </w:r>
      <w:r>
        <w:rPr>
          <w:rFonts w:hint="eastAsia" w:ascii="仿宋_GB2312" w:eastAsia="仿宋_GB2312" w:cs="仿宋_GB2312"/>
          <w:sz w:val="32"/>
          <w:szCs w:val="32"/>
          <w:lang w:eastAsia="zh-CN"/>
        </w:rPr>
        <w:t>地方</w:t>
      </w:r>
      <w:r>
        <w:rPr>
          <w:rFonts w:hint="eastAsia" w:ascii="仿宋_GB2312" w:eastAsia="仿宋_GB2312" w:cs="仿宋_GB2312"/>
          <w:sz w:val="32"/>
          <w:szCs w:val="32"/>
        </w:rPr>
        <w:t>财政预算经费，年初预算批复总额为</w:t>
      </w:r>
      <w:r>
        <w:rPr>
          <w:rFonts w:hint="eastAsia" w:ascii="仿宋_GB2312" w:eastAsia="仿宋_GB2312" w:cs="仿宋_GB2312"/>
          <w:sz w:val="32"/>
          <w:szCs w:val="32"/>
          <w:lang w:val="en-US" w:eastAsia="zh-CN"/>
        </w:rPr>
        <w:t>1.83</w:t>
      </w:r>
      <w:r>
        <w:rPr>
          <w:rFonts w:hint="eastAsia" w:ascii="仿宋_GB2312" w:eastAsia="仿宋_GB2312" w:cs="仿宋_GB2312"/>
          <w:sz w:val="32"/>
          <w:szCs w:val="32"/>
        </w:rPr>
        <w:t>万元</w:t>
      </w:r>
      <w:r>
        <w:rPr>
          <w:rFonts w:hint="eastAsia" w:ascii="仿宋_GB2312" w:eastAsia="仿宋_GB2312"/>
          <w:sz w:val="32"/>
          <w:szCs w:val="32"/>
          <w:lang w:val="en-US" w:eastAsia="zh-CN"/>
        </w:rPr>
        <w:t>，</w:t>
      </w:r>
      <w:r>
        <w:rPr>
          <w:rFonts w:hint="eastAsia" w:ascii="仿宋_GB2312" w:eastAsia="仿宋_GB2312"/>
          <w:sz w:val="32"/>
          <w:szCs w:val="32"/>
        </w:rPr>
        <w:t>主要</w:t>
      </w:r>
      <w:r>
        <w:rPr>
          <w:rFonts w:hint="eastAsia" w:ascii="仿宋_GB2312" w:eastAsia="仿宋_GB2312"/>
          <w:sz w:val="32"/>
          <w:szCs w:val="32"/>
          <w:lang w:val="en-US" w:eastAsia="zh-CN"/>
        </w:rPr>
        <w:t>用国产电脑购置，</w:t>
      </w:r>
      <w:r>
        <w:rPr>
          <w:rFonts w:hint="eastAsia" w:ascii="仿宋_GB2312" w:eastAsia="仿宋_GB2312"/>
          <w:sz w:val="32"/>
          <w:szCs w:val="32"/>
        </w:rPr>
        <w:t>保障</w:t>
      </w:r>
      <w:r>
        <w:rPr>
          <w:rFonts w:hint="eastAsia" w:ascii="仿宋_GB2312" w:eastAsia="仿宋_GB2312"/>
          <w:sz w:val="32"/>
          <w:szCs w:val="32"/>
          <w:lang w:val="en-US" w:eastAsia="zh-CN"/>
        </w:rPr>
        <w:t>了</w:t>
      </w:r>
      <w:r>
        <w:rPr>
          <w:rFonts w:hint="eastAsia" w:ascii="仿宋_GB2312" w:eastAsia="仿宋_GB2312"/>
          <w:sz w:val="32"/>
          <w:szCs w:val="32"/>
        </w:rPr>
        <w:t>消防日常</w:t>
      </w:r>
      <w:r>
        <w:rPr>
          <w:rFonts w:hint="eastAsia" w:ascii="仿宋_GB2312" w:eastAsia="仿宋_GB2312"/>
          <w:sz w:val="32"/>
          <w:szCs w:val="32"/>
          <w:lang w:val="en-US" w:eastAsia="zh-CN"/>
        </w:rPr>
        <w:t>工作开展</w:t>
      </w:r>
      <w:r>
        <w:rPr>
          <w:rFonts w:hint="eastAsia" w:ascii="仿宋_GB2312" w:eastAsia="仿宋_GB2312"/>
          <w:sz w:val="32"/>
          <w:szCs w:val="32"/>
        </w:rPr>
        <w:t>，完善经费保障机制</w:t>
      </w:r>
      <w:r>
        <w:rPr>
          <w:rFonts w:hint="eastAsia" w:ascii="仿宋_GB2312" w:eastAsia="仿宋_GB2312"/>
          <w:sz w:val="32"/>
          <w:szCs w:val="32"/>
          <w:lang w:val="en-US" w:eastAsia="zh-CN"/>
        </w:rPr>
        <w:t>的目标</w:t>
      </w:r>
      <w:r>
        <w:rPr>
          <w:rFonts w:hint="eastAsia" w:ascii="仿宋_GB2312" w:eastAsia="仿宋_GB2312"/>
          <w:sz w:val="32"/>
          <w:szCs w:val="32"/>
        </w:rPr>
        <w:t>。</w:t>
      </w:r>
    </w:p>
    <w:p w14:paraId="7EC719B4">
      <w:pPr>
        <w:snapToGrid w:val="0"/>
        <w:spacing w:beforeLines="0" w:afterLines="0" w:line="360" w:lineRule="auto"/>
        <w:ind w:firstLine="640" w:firstLineChars="200"/>
        <w:rPr>
          <w:rFonts w:hint="eastAsia" w:ascii="仿宋_GB2312" w:eastAsia="仿宋_GB2312"/>
          <w:sz w:val="32"/>
          <w:szCs w:val="32"/>
        </w:rPr>
      </w:pPr>
    </w:p>
    <w:p w14:paraId="78E9ABD4">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二、自评情况</w:t>
      </w:r>
    </w:p>
    <w:p w14:paraId="051509B2">
      <w:pPr>
        <w:snapToGrid w:val="0"/>
        <w:spacing w:beforeLines="0" w:afterLines="0" w:line="360" w:lineRule="auto"/>
        <w:ind w:firstLine="640" w:firstLineChars="200"/>
        <w:rPr>
          <w:rFonts w:hint="eastAsia" w:ascii="仿宋_GB2312" w:eastAsia="仿宋_GB2312"/>
          <w:sz w:val="32"/>
          <w:szCs w:val="32"/>
          <w:lang w:eastAsia="zh-CN"/>
        </w:rPr>
      </w:pPr>
      <w:r>
        <w:rPr>
          <w:rFonts w:hint="eastAsia" w:ascii="仿宋_GB2312" w:eastAsia="仿宋_GB2312"/>
          <w:sz w:val="32"/>
          <w:szCs w:val="32"/>
        </w:rPr>
        <w:t>（一）自评</w:t>
      </w:r>
      <w:r>
        <w:rPr>
          <w:rFonts w:hint="eastAsia" w:ascii="仿宋_GB2312" w:eastAsia="仿宋_GB2312"/>
          <w:sz w:val="32"/>
          <w:szCs w:val="32"/>
          <w:lang w:eastAsia="zh-CN"/>
        </w:rPr>
        <w:t>结论、</w:t>
      </w:r>
      <w:r>
        <w:rPr>
          <w:rFonts w:hint="eastAsia" w:ascii="仿宋_GB2312" w:eastAsia="仿宋_GB2312"/>
          <w:sz w:val="32"/>
          <w:szCs w:val="32"/>
        </w:rPr>
        <w:t>分数</w:t>
      </w:r>
      <w:r>
        <w:rPr>
          <w:rFonts w:hint="eastAsia" w:ascii="仿宋_GB2312" w:eastAsia="仿宋_GB2312"/>
          <w:sz w:val="32"/>
          <w:szCs w:val="32"/>
          <w:lang w:eastAsia="zh-CN"/>
        </w:rPr>
        <w:t>、等级</w:t>
      </w:r>
    </w:p>
    <w:p w14:paraId="13AE027E">
      <w:pPr>
        <w:autoSpaceDE w:val="0"/>
        <w:autoSpaceDN w:val="0"/>
        <w:adjustRightInd w:val="0"/>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主要结论</w:t>
      </w:r>
    </w:p>
    <w:p w14:paraId="1D56ADD1">
      <w:pPr>
        <w:spacing w:line="480" w:lineRule="auto"/>
        <w:ind w:firstLine="627" w:firstLineChars="196"/>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通过对</w:t>
      </w:r>
      <w:r>
        <w:rPr>
          <w:rFonts w:hint="eastAsia" w:ascii="仿宋_GB2312" w:hAnsi="宋体" w:eastAsia="仿宋_GB2312"/>
          <w:sz w:val="32"/>
          <w:lang w:val="en-US" w:eastAsia="zh-CN"/>
        </w:rPr>
        <w:t>全县信创工作补助资金-仁化县消防救援大队</w:t>
      </w:r>
      <w:r>
        <w:rPr>
          <w:rFonts w:hint="eastAsia" w:ascii="仿宋_GB2312" w:hAnsi="仿宋_GB2312" w:eastAsia="仿宋_GB2312" w:cs="仿宋_GB2312"/>
          <w:sz w:val="32"/>
          <w:szCs w:val="32"/>
          <w:lang w:eastAsia="zh-CN"/>
        </w:rPr>
        <w:t>项目在项目决策、项目管理、项目绩效等方面的综合评价，得出如下结论：</w:t>
      </w:r>
    </w:p>
    <w:p w14:paraId="56244661">
      <w:pPr>
        <w:pStyle w:val="5"/>
        <w:spacing w:before="0" w:beforeAutospacing="0" w:after="0" w:afterAutospacing="0"/>
        <w:ind w:firstLine="640" w:firstLineChars="200"/>
        <w:jc w:val="both"/>
        <w:rPr>
          <w:rFonts w:hint="eastAsia" w:ascii="仿宋_GB2312" w:hAnsi="仿宋_GB2312" w:eastAsia="仿宋_GB2312" w:cs="仿宋_GB2312"/>
          <w:bCs/>
          <w:sz w:val="32"/>
          <w:szCs w:val="32"/>
        </w:rPr>
      </w:pPr>
      <w:r>
        <w:rPr>
          <w:rFonts w:hint="eastAsia" w:ascii="仿宋_GB2312" w:hAnsi="仿宋_GB2312" w:eastAsia="仿宋_GB2312" w:cs="仿宋_GB2312"/>
          <w:kern w:val="2"/>
          <w:sz w:val="32"/>
          <w:szCs w:val="32"/>
          <w:lang w:val="en-US" w:eastAsia="zh-CN" w:bidi="ar-SA"/>
        </w:rPr>
        <w:t>全县信创工作补助资金-仁化县消防救援大队是阶段</w:t>
      </w:r>
      <w:r>
        <w:rPr>
          <w:rFonts w:hint="eastAsia" w:ascii="仿宋_GB2312" w:hAnsi="仿宋_GB2312" w:eastAsia="仿宋_GB2312" w:cs="仿宋_GB2312"/>
          <w:bCs/>
          <w:sz w:val="32"/>
          <w:szCs w:val="32"/>
        </w:rPr>
        <w:t>性项目，本项目通过保障并落实</w:t>
      </w:r>
      <w:r>
        <w:rPr>
          <w:rFonts w:hint="eastAsia" w:ascii="仿宋_GB2312" w:hAnsi="仿宋_GB2312" w:eastAsia="仿宋_GB2312" w:cs="仿宋_GB2312"/>
          <w:bCs/>
          <w:sz w:val="32"/>
          <w:szCs w:val="32"/>
          <w:lang w:val="en-US" w:eastAsia="zh-CN"/>
        </w:rPr>
        <w:t>国产电脑替代工作</w:t>
      </w:r>
      <w:r>
        <w:rPr>
          <w:rFonts w:hint="eastAsia" w:ascii="仿宋_GB2312" w:hAnsi="仿宋_GB2312" w:eastAsia="仿宋_GB2312" w:cs="仿宋_GB2312"/>
          <w:bCs/>
          <w:sz w:val="32"/>
          <w:szCs w:val="32"/>
        </w:rPr>
        <w:t>，为县消防救援大队有效履行职责和持续高效发展提供有力的经费支撑，使消防工作顺利开展，从而为日常机要文件传递的安全性</w:t>
      </w:r>
      <w:r>
        <w:rPr>
          <w:rFonts w:hint="eastAsia" w:ascii="仿宋_GB2312" w:hAnsi="仿宋_GB2312" w:eastAsia="仿宋_GB2312" w:cs="仿宋_GB2312"/>
          <w:bCs/>
          <w:sz w:val="32"/>
          <w:szCs w:val="32"/>
          <w:lang w:val="en-US" w:eastAsia="zh-CN"/>
        </w:rPr>
        <w:t>提供安全环境</w:t>
      </w:r>
      <w:r>
        <w:rPr>
          <w:rFonts w:hint="eastAsia" w:ascii="仿宋_GB2312" w:hAnsi="仿宋_GB2312" w:eastAsia="仿宋_GB2312" w:cs="仿宋_GB2312"/>
          <w:bCs/>
          <w:sz w:val="32"/>
          <w:szCs w:val="32"/>
        </w:rPr>
        <w:t>。</w:t>
      </w:r>
    </w:p>
    <w:p w14:paraId="14578E38">
      <w:pPr>
        <w:autoSpaceDE w:val="0"/>
        <w:autoSpaceDN w:val="0"/>
        <w:adjustRightInd w:val="0"/>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评分结果</w:t>
      </w:r>
    </w:p>
    <w:p w14:paraId="7F53C326">
      <w:pPr>
        <w:spacing w:line="48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全县信创工作补助资金-仁化县消防救援大队</w:t>
      </w:r>
      <w:r>
        <w:rPr>
          <w:rFonts w:hint="eastAsia" w:ascii="仿宋_GB2312" w:hAnsi="仿宋_GB2312" w:eastAsia="仿宋_GB2312" w:cs="仿宋_GB2312"/>
          <w:sz w:val="32"/>
          <w:szCs w:val="32"/>
        </w:rPr>
        <w:t>项目自评等级为</w:t>
      </w:r>
      <w:r>
        <w:rPr>
          <w:rFonts w:hint="eastAsia" w:ascii="仿宋_GB2312" w:hAnsi="仿宋_GB2312" w:eastAsia="仿宋_GB2312" w:cs="仿宋_GB2312"/>
          <w:sz w:val="32"/>
          <w:szCs w:val="32"/>
          <w:lang w:val="en-US" w:eastAsia="zh-CN"/>
        </w:rPr>
        <w:t>优</w:t>
      </w:r>
      <w:r>
        <w:rPr>
          <w:rFonts w:hint="eastAsia" w:ascii="仿宋_GB2312" w:hAnsi="仿宋_GB2312" w:eastAsia="仿宋_GB2312" w:cs="仿宋_GB2312"/>
          <w:sz w:val="32"/>
          <w:szCs w:val="32"/>
        </w:rPr>
        <w:t>，自评分数为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w:t>
      </w:r>
    </w:p>
    <w:p w14:paraId="581955C7">
      <w:pPr>
        <w:snapToGrid w:val="0"/>
        <w:spacing w:beforeLines="0" w:afterLines="0" w:line="360" w:lineRule="auto"/>
        <w:rPr>
          <w:rFonts w:hint="eastAsia" w:ascii="仿宋_GB2312" w:eastAsia="仿宋_GB2312"/>
          <w:sz w:val="32"/>
          <w:szCs w:val="32"/>
          <w:lang w:eastAsia="zh-CN"/>
        </w:rPr>
      </w:pPr>
    </w:p>
    <w:p w14:paraId="710D217A">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（二）资金使用绩效</w:t>
      </w:r>
    </w:p>
    <w:p w14:paraId="298179F7">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 xml:space="preserve">  1.资金支出情况。</w:t>
      </w:r>
    </w:p>
    <w:p w14:paraId="2CFB8676">
      <w:pPr>
        <w:snapToGrid w:val="0"/>
        <w:spacing w:beforeLines="0" w:afterLines="0" w:line="360" w:lineRule="auto"/>
        <w:ind w:firstLine="640" w:firstLineChars="200"/>
        <w:rPr>
          <w:rFonts w:hint="eastAsia" w:ascii="仿宋_GB2312" w:eastAsia="仿宋_GB2312" w:cs="仿宋_GB2312"/>
          <w:sz w:val="32"/>
          <w:szCs w:val="32"/>
        </w:rPr>
      </w:pPr>
      <w:r>
        <w:rPr>
          <w:rFonts w:hint="eastAsia" w:ascii="仿宋_GB2312" w:eastAsia="仿宋_GB2312"/>
          <w:sz w:val="32"/>
          <w:szCs w:val="32"/>
        </w:rPr>
        <w:t>项目资金使用计划执行率达到了专款专用</w:t>
      </w:r>
      <w:r>
        <w:rPr>
          <w:rFonts w:hint="eastAsia" w:ascii="仿宋_GB2312" w:eastAsia="仿宋_GB2312"/>
          <w:sz w:val="32"/>
          <w:szCs w:val="32"/>
          <w:lang w:eastAsia="zh-CN"/>
        </w:rPr>
        <w:t>，</w:t>
      </w:r>
      <w:r>
        <w:rPr>
          <w:rFonts w:hint="eastAsia" w:ascii="仿宋_GB2312" w:eastAsia="仿宋_GB2312"/>
          <w:sz w:val="32"/>
          <w:szCs w:val="32"/>
          <w:lang w:val="en-US" w:eastAsia="zh-CN"/>
        </w:rPr>
        <w:t>资金100%到位</w:t>
      </w:r>
      <w:r>
        <w:rPr>
          <w:rFonts w:hint="eastAsia" w:ascii="仿宋_GB2312" w:eastAsia="仿宋_GB2312"/>
          <w:sz w:val="32"/>
          <w:szCs w:val="32"/>
          <w:lang w:eastAsia="zh-CN"/>
        </w:rPr>
        <w:t>。</w:t>
      </w:r>
      <w:r>
        <w:rPr>
          <w:rFonts w:hint="eastAsia" w:ascii="仿宋_GB2312" w:eastAsia="仿宋_GB2312" w:cs="仿宋_GB2312"/>
          <w:sz w:val="32"/>
          <w:szCs w:val="32"/>
        </w:rPr>
        <w:t>支出情况详见表1：</w:t>
      </w:r>
    </w:p>
    <w:p w14:paraId="2E62C498">
      <w:pPr>
        <w:numPr>
          <w:ilvl w:val="255"/>
          <w:numId w:val="0"/>
        </w:numPr>
        <w:spacing w:line="360" w:lineRule="auto"/>
        <w:ind w:firstLine="482" w:firstLineChars="200"/>
        <w:jc w:val="center"/>
        <w:rPr>
          <w:rFonts w:ascii="仿宋_GB2312" w:eastAsia="仿宋_GB2312" w:cs="仿宋_GB2312"/>
          <w:b/>
          <w:bCs/>
          <w:sz w:val="24"/>
          <w:szCs w:val="24"/>
        </w:rPr>
      </w:pPr>
      <w:r>
        <w:rPr>
          <w:rFonts w:hint="eastAsia" w:ascii="仿宋_GB2312" w:eastAsia="仿宋_GB2312" w:cs="仿宋_GB2312"/>
          <w:b/>
          <w:bCs/>
          <w:sz w:val="24"/>
          <w:szCs w:val="24"/>
        </w:rPr>
        <w:t>表1：项目资金执行情况统计表</w:t>
      </w:r>
    </w:p>
    <w:p w14:paraId="0E331AB4">
      <w:pPr>
        <w:numPr>
          <w:ilvl w:val="255"/>
          <w:numId w:val="0"/>
        </w:numPr>
        <w:spacing w:line="360" w:lineRule="auto"/>
        <w:ind w:right="120" w:firstLine="482" w:firstLineChars="200"/>
        <w:jc w:val="right"/>
        <w:rPr>
          <w:rFonts w:ascii="仿宋_GB2312" w:eastAsia="仿宋_GB2312" w:cs="仿宋_GB2312"/>
          <w:b/>
          <w:bCs/>
          <w:sz w:val="24"/>
          <w:szCs w:val="24"/>
        </w:rPr>
      </w:pPr>
      <w:r>
        <w:rPr>
          <w:rFonts w:hint="eastAsia" w:ascii="仿宋_GB2312" w:eastAsia="仿宋_GB2312" w:cs="仿宋_GB2312"/>
          <w:b/>
          <w:bCs/>
          <w:sz w:val="24"/>
          <w:szCs w:val="24"/>
        </w:rPr>
        <w:t>单位：万元</w:t>
      </w:r>
    </w:p>
    <w:tbl>
      <w:tblPr>
        <w:tblStyle w:val="6"/>
        <w:tblW w:w="8208" w:type="dxa"/>
        <w:tblInd w:w="108" w:type="dxa"/>
        <w:tblLayout w:type="fixed"/>
        <w:tblCellMar>
          <w:top w:w="0" w:type="dxa"/>
          <w:left w:w="108" w:type="dxa"/>
          <w:bottom w:w="0" w:type="dxa"/>
          <w:right w:w="108" w:type="dxa"/>
        </w:tblCellMar>
      </w:tblPr>
      <w:tblGrid>
        <w:gridCol w:w="559"/>
        <w:gridCol w:w="1378"/>
        <w:gridCol w:w="2035"/>
        <w:gridCol w:w="896"/>
        <w:gridCol w:w="1012"/>
        <w:gridCol w:w="1200"/>
        <w:gridCol w:w="1128"/>
      </w:tblGrid>
      <w:tr w14:paraId="036794E7">
        <w:tblPrEx>
          <w:tblCellMar>
            <w:top w:w="0" w:type="dxa"/>
            <w:left w:w="108" w:type="dxa"/>
            <w:bottom w:w="0" w:type="dxa"/>
            <w:right w:w="108" w:type="dxa"/>
          </w:tblCellMar>
        </w:tblPrEx>
        <w:trPr>
          <w:trHeight w:val="916" w:hRule="atLeast"/>
        </w:trPr>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14:paraId="417F7E4B">
            <w:pPr>
              <w:widowControl/>
              <w:spacing w:line="360" w:lineRule="auto"/>
              <w:jc w:val="center"/>
              <w:rPr>
                <w:rFonts w:ascii="仿宋_GB2312" w:hAnsi="等线" w:eastAsia="仿宋_GB2312" w:cs="宋体"/>
                <w:b/>
                <w:bCs/>
                <w:kern w:val="0"/>
                <w:sz w:val="18"/>
                <w:szCs w:val="18"/>
              </w:rPr>
            </w:pPr>
            <w:r>
              <w:rPr>
                <w:rFonts w:hint="eastAsia" w:ascii="仿宋_GB2312" w:hAnsi="等线" w:eastAsia="仿宋_GB2312" w:cs="宋体"/>
                <w:b/>
                <w:bCs/>
                <w:kern w:val="0"/>
                <w:sz w:val="18"/>
                <w:szCs w:val="18"/>
              </w:rPr>
              <w:t>序号</w:t>
            </w:r>
          </w:p>
        </w:tc>
        <w:tc>
          <w:tcPr>
            <w:tcW w:w="1378" w:type="dxa"/>
            <w:tcBorders>
              <w:top w:val="single" w:color="auto" w:sz="4" w:space="0"/>
              <w:left w:val="nil"/>
              <w:bottom w:val="single" w:color="auto" w:sz="4" w:space="0"/>
              <w:right w:val="single" w:color="auto" w:sz="4" w:space="0"/>
            </w:tcBorders>
            <w:shd w:val="clear" w:color="auto" w:fill="auto"/>
            <w:vAlign w:val="center"/>
          </w:tcPr>
          <w:p w14:paraId="76156C84">
            <w:pPr>
              <w:widowControl/>
              <w:spacing w:line="360" w:lineRule="auto"/>
              <w:jc w:val="center"/>
              <w:rPr>
                <w:rFonts w:ascii="仿宋_GB2312" w:hAnsi="等线" w:eastAsia="仿宋_GB2312" w:cs="宋体"/>
                <w:b/>
                <w:bCs/>
                <w:kern w:val="0"/>
                <w:sz w:val="18"/>
                <w:szCs w:val="18"/>
              </w:rPr>
            </w:pPr>
            <w:r>
              <w:rPr>
                <w:rFonts w:hint="eastAsia" w:ascii="仿宋_GB2312" w:hAnsi="等线" w:eastAsia="仿宋_GB2312" w:cs="宋体"/>
                <w:b/>
                <w:bCs/>
                <w:kern w:val="0"/>
                <w:sz w:val="18"/>
                <w:szCs w:val="18"/>
              </w:rPr>
              <w:t>一级项目名称</w:t>
            </w:r>
          </w:p>
        </w:tc>
        <w:tc>
          <w:tcPr>
            <w:tcW w:w="2035" w:type="dxa"/>
            <w:tcBorders>
              <w:top w:val="single" w:color="auto" w:sz="4" w:space="0"/>
              <w:left w:val="nil"/>
              <w:bottom w:val="single" w:color="auto" w:sz="4" w:space="0"/>
              <w:right w:val="single" w:color="auto" w:sz="4" w:space="0"/>
            </w:tcBorders>
            <w:shd w:val="clear" w:color="auto" w:fill="auto"/>
            <w:vAlign w:val="center"/>
          </w:tcPr>
          <w:p w14:paraId="4C7954A8">
            <w:pPr>
              <w:widowControl/>
              <w:spacing w:line="360" w:lineRule="auto"/>
              <w:jc w:val="center"/>
              <w:rPr>
                <w:rFonts w:ascii="仿宋_GB2312" w:hAnsi="等线" w:eastAsia="仿宋_GB2312" w:cs="宋体"/>
                <w:b/>
                <w:bCs/>
                <w:kern w:val="0"/>
                <w:sz w:val="18"/>
                <w:szCs w:val="18"/>
              </w:rPr>
            </w:pPr>
            <w:r>
              <w:rPr>
                <w:rFonts w:hint="eastAsia" w:ascii="仿宋_GB2312" w:hAnsi="等线" w:eastAsia="仿宋_GB2312" w:cs="宋体"/>
                <w:b/>
                <w:bCs/>
                <w:kern w:val="0"/>
                <w:sz w:val="18"/>
                <w:szCs w:val="18"/>
              </w:rPr>
              <w:t>二级项目名称</w:t>
            </w:r>
          </w:p>
        </w:tc>
        <w:tc>
          <w:tcPr>
            <w:tcW w:w="896" w:type="dxa"/>
            <w:tcBorders>
              <w:top w:val="single" w:color="auto" w:sz="4" w:space="0"/>
              <w:left w:val="nil"/>
              <w:bottom w:val="single" w:color="auto" w:sz="4" w:space="0"/>
              <w:right w:val="single" w:color="auto" w:sz="4" w:space="0"/>
            </w:tcBorders>
            <w:shd w:val="clear" w:color="auto" w:fill="auto"/>
            <w:vAlign w:val="center"/>
          </w:tcPr>
          <w:p w14:paraId="5CAAE758">
            <w:pPr>
              <w:widowControl/>
              <w:spacing w:line="360" w:lineRule="auto"/>
              <w:jc w:val="center"/>
              <w:rPr>
                <w:rFonts w:ascii="仿宋_GB2312" w:hAnsi="等线" w:eastAsia="仿宋_GB2312" w:cs="宋体"/>
                <w:b/>
                <w:bCs/>
                <w:kern w:val="0"/>
                <w:sz w:val="18"/>
                <w:szCs w:val="18"/>
              </w:rPr>
            </w:pPr>
            <w:r>
              <w:rPr>
                <w:rFonts w:hint="eastAsia" w:ascii="仿宋_GB2312" w:hAnsi="等线" w:eastAsia="仿宋_GB2312" w:cs="宋体"/>
                <w:b/>
                <w:bCs/>
                <w:kern w:val="0"/>
                <w:sz w:val="18"/>
                <w:szCs w:val="18"/>
              </w:rPr>
              <w:t>年初预算数</w:t>
            </w:r>
          </w:p>
        </w:tc>
        <w:tc>
          <w:tcPr>
            <w:tcW w:w="1012" w:type="dxa"/>
            <w:tcBorders>
              <w:top w:val="single" w:color="auto" w:sz="4" w:space="0"/>
              <w:left w:val="nil"/>
              <w:bottom w:val="single" w:color="auto" w:sz="4" w:space="0"/>
              <w:right w:val="single" w:color="auto" w:sz="4" w:space="0"/>
            </w:tcBorders>
            <w:shd w:val="clear" w:color="auto" w:fill="auto"/>
            <w:vAlign w:val="center"/>
          </w:tcPr>
          <w:p w14:paraId="029BEF3A">
            <w:pPr>
              <w:widowControl/>
              <w:spacing w:line="360" w:lineRule="auto"/>
              <w:jc w:val="center"/>
              <w:rPr>
                <w:rFonts w:hint="eastAsia" w:ascii="仿宋_GB2312" w:hAnsi="等线" w:eastAsia="仿宋_GB2312" w:cs="宋体"/>
                <w:b/>
                <w:bCs/>
                <w:kern w:val="0"/>
                <w:sz w:val="18"/>
                <w:szCs w:val="18"/>
                <w:lang w:eastAsia="zh-CN"/>
              </w:rPr>
            </w:pPr>
            <w:r>
              <w:rPr>
                <w:rFonts w:hint="eastAsia" w:ascii="仿宋_GB2312" w:hAnsi="等线" w:eastAsia="仿宋_GB2312" w:cs="宋体"/>
                <w:b/>
                <w:bCs/>
                <w:kern w:val="0"/>
                <w:sz w:val="18"/>
                <w:szCs w:val="18"/>
                <w:lang w:eastAsia="zh-CN"/>
              </w:rPr>
              <w:t>全年预算数</w:t>
            </w:r>
          </w:p>
        </w:tc>
        <w:tc>
          <w:tcPr>
            <w:tcW w:w="1200" w:type="dxa"/>
            <w:tcBorders>
              <w:top w:val="single" w:color="auto" w:sz="4" w:space="0"/>
              <w:left w:val="nil"/>
              <w:bottom w:val="single" w:color="auto" w:sz="4" w:space="0"/>
              <w:right w:val="single" w:color="auto" w:sz="4" w:space="0"/>
            </w:tcBorders>
            <w:shd w:val="clear" w:color="auto" w:fill="auto"/>
            <w:vAlign w:val="center"/>
          </w:tcPr>
          <w:p w14:paraId="73ECE562">
            <w:pPr>
              <w:widowControl/>
              <w:spacing w:line="360" w:lineRule="auto"/>
              <w:jc w:val="center"/>
              <w:rPr>
                <w:rFonts w:hint="eastAsia" w:ascii="仿宋_GB2312" w:hAnsi="等线" w:eastAsia="仿宋_GB2312" w:cs="宋体"/>
                <w:b/>
                <w:bCs/>
                <w:kern w:val="0"/>
                <w:sz w:val="18"/>
                <w:szCs w:val="18"/>
                <w:lang w:eastAsia="zh-CN"/>
              </w:rPr>
            </w:pPr>
            <w:r>
              <w:rPr>
                <w:rFonts w:hint="eastAsia" w:ascii="仿宋_GB2312" w:hAnsi="等线" w:eastAsia="仿宋_GB2312" w:cs="宋体"/>
                <w:b/>
                <w:bCs/>
                <w:kern w:val="0"/>
                <w:sz w:val="18"/>
                <w:szCs w:val="18"/>
                <w:lang w:eastAsia="zh-CN"/>
              </w:rPr>
              <w:t>全年执行数</w:t>
            </w:r>
          </w:p>
        </w:tc>
        <w:tc>
          <w:tcPr>
            <w:tcW w:w="1128" w:type="dxa"/>
            <w:tcBorders>
              <w:top w:val="single" w:color="auto" w:sz="4" w:space="0"/>
              <w:left w:val="nil"/>
              <w:bottom w:val="single" w:color="auto" w:sz="4" w:space="0"/>
              <w:right w:val="single" w:color="auto" w:sz="4" w:space="0"/>
            </w:tcBorders>
            <w:vAlign w:val="center"/>
          </w:tcPr>
          <w:p w14:paraId="46666427">
            <w:pPr>
              <w:widowControl/>
              <w:spacing w:line="360" w:lineRule="auto"/>
              <w:jc w:val="center"/>
              <w:rPr>
                <w:rFonts w:ascii="仿宋_GB2312" w:hAnsi="等线" w:eastAsia="仿宋_GB2312" w:cs="宋体"/>
                <w:b/>
                <w:bCs/>
                <w:kern w:val="0"/>
                <w:sz w:val="18"/>
                <w:szCs w:val="18"/>
              </w:rPr>
            </w:pPr>
            <w:r>
              <w:rPr>
                <w:rFonts w:hint="eastAsia" w:ascii="仿宋_GB2312" w:hAnsi="等线" w:eastAsia="仿宋_GB2312" w:cs="宋体"/>
                <w:b/>
                <w:bCs/>
                <w:kern w:val="0"/>
                <w:sz w:val="18"/>
                <w:szCs w:val="18"/>
              </w:rPr>
              <w:t>预算执行率</w:t>
            </w:r>
          </w:p>
        </w:tc>
      </w:tr>
      <w:tr w14:paraId="5613F78F">
        <w:tblPrEx>
          <w:tblCellMar>
            <w:top w:w="0" w:type="dxa"/>
            <w:left w:w="108" w:type="dxa"/>
            <w:bottom w:w="0" w:type="dxa"/>
            <w:right w:w="108" w:type="dxa"/>
          </w:tblCellMar>
        </w:tblPrEx>
        <w:trPr>
          <w:trHeight w:val="1226" w:hRule="atLeast"/>
        </w:trPr>
        <w:tc>
          <w:tcPr>
            <w:tcW w:w="559" w:type="dxa"/>
            <w:tcBorders>
              <w:top w:val="nil"/>
              <w:left w:val="single" w:color="auto" w:sz="4" w:space="0"/>
              <w:bottom w:val="single" w:color="auto" w:sz="4" w:space="0"/>
              <w:right w:val="single" w:color="auto" w:sz="4" w:space="0"/>
            </w:tcBorders>
            <w:shd w:val="clear" w:color="auto" w:fill="auto"/>
            <w:vAlign w:val="center"/>
          </w:tcPr>
          <w:p w14:paraId="59DCCB06">
            <w:pPr>
              <w:widowControl/>
              <w:spacing w:line="360" w:lineRule="auto"/>
              <w:jc w:val="center"/>
              <w:rPr>
                <w:rFonts w:ascii="仿宋_GB2312" w:hAnsi="等线" w:eastAsia="仿宋_GB2312" w:cs="宋体"/>
                <w:kern w:val="0"/>
                <w:sz w:val="18"/>
                <w:szCs w:val="18"/>
              </w:rPr>
            </w:pPr>
            <w:r>
              <w:rPr>
                <w:rFonts w:hint="eastAsia" w:ascii="仿宋_GB2312" w:hAnsi="等线" w:eastAsia="仿宋_GB2312" w:cs="宋体"/>
                <w:kern w:val="0"/>
                <w:sz w:val="18"/>
                <w:szCs w:val="18"/>
              </w:rPr>
              <w:t>1</w:t>
            </w:r>
          </w:p>
        </w:tc>
        <w:tc>
          <w:tcPr>
            <w:tcW w:w="1378" w:type="dxa"/>
            <w:tcBorders>
              <w:top w:val="nil"/>
              <w:left w:val="nil"/>
              <w:bottom w:val="single" w:color="auto" w:sz="4" w:space="0"/>
              <w:right w:val="single" w:color="auto" w:sz="4" w:space="0"/>
            </w:tcBorders>
            <w:shd w:val="clear" w:color="auto" w:fill="auto"/>
            <w:vAlign w:val="center"/>
          </w:tcPr>
          <w:p w14:paraId="1C35D285">
            <w:pPr>
              <w:widowControl/>
              <w:spacing w:line="360" w:lineRule="auto"/>
              <w:jc w:val="center"/>
              <w:rPr>
                <w:rFonts w:hint="default" w:ascii="仿宋_GB2312" w:hAnsi="等线" w:eastAsia="仿宋_GB2312" w:cs="宋体"/>
                <w:kern w:val="0"/>
                <w:sz w:val="18"/>
                <w:szCs w:val="18"/>
                <w:lang w:val="en-US" w:eastAsia="zh-CN"/>
              </w:rPr>
            </w:pPr>
            <w:r>
              <w:rPr>
                <w:rFonts w:hint="eastAsia" w:ascii="仿宋_GB2312" w:hAnsi="等线" w:eastAsia="仿宋_GB2312" w:cs="宋体"/>
                <w:kern w:val="0"/>
                <w:sz w:val="18"/>
                <w:szCs w:val="18"/>
                <w:lang w:val="en-US" w:eastAsia="zh-CN"/>
              </w:rPr>
              <w:t>专项工作经费</w:t>
            </w:r>
          </w:p>
        </w:tc>
        <w:tc>
          <w:tcPr>
            <w:tcW w:w="2035" w:type="dxa"/>
            <w:tcBorders>
              <w:top w:val="nil"/>
              <w:left w:val="nil"/>
              <w:bottom w:val="single" w:color="auto" w:sz="4" w:space="0"/>
              <w:right w:val="single" w:color="auto" w:sz="4" w:space="0"/>
            </w:tcBorders>
            <w:shd w:val="clear" w:color="auto" w:fill="auto"/>
            <w:vAlign w:val="center"/>
          </w:tcPr>
          <w:p w14:paraId="142F05C7">
            <w:pPr>
              <w:widowControl/>
              <w:spacing w:line="360" w:lineRule="auto"/>
              <w:jc w:val="center"/>
              <w:rPr>
                <w:rFonts w:hint="default" w:ascii="仿宋_GB2312" w:hAnsi="等线" w:eastAsia="仿宋_GB2312" w:cs="宋体"/>
                <w:kern w:val="0"/>
                <w:sz w:val="18"/>
                <w:szCs w:val="18"/>
                <w:lang w:val="en-US" w:eastAsia="zh-CN"/>
              </w:rPr>
            </w:pPr>
            <w:r>
              <w:rPr>
                <w:rFonts w:hint="eastAsia" w:ascii="仿宋_GB2312" w:hAnsi="等线" w:eastAsia="仿宋_GB2312" w:cs="宋体"/>
                <w:kern w:val="0"/>
                <w:sz w:val="18"/>
                <w:szCs w:val="18"/>
                <w:lang w:val="en-US" w:eastAsia="zh-CN"/>
              </w:rPr>
              <w:t>全县信创工作补助资金-仁化县消防救援大队</w:t>
            </w:r>
          </w:p>
        </w:tc>
        <w:tc>
          <w:tcPr>
            <w:tcW w:w="896" w:type="dxa"/>
            <w:tcBorders>
              <w:top w:val="nil"/>
              <w:left w:val="nil"/>
              <w:bottom w:val="single" w:color="auto" w:sz="4" w:space="0"/>
              <w:right w:val="single" w:color="auto" w:sz="4" w:space="0"/>
            </w:tcBorders>
            <w:shd w:val="clear" w:color="auto" w:fill="auto"/>
            <w:vAlign w:val="center"/>
          </w:tcPr>
          <w:p w14:paraId="1636C0C9">
            <w:pPr>
              <w:widowControl/>
              <w:spacing w:line="360" w:lineRule="auto"/>
              <w:jc w:val="center"/>
              <w:rPr>
                <w:rFonts w:hint="default" w:ascii="仿宋_GB2312" w:hAnsi="等线" w:eastAsia="仿宋_GB2312" w:cs="宋体"/>
                <w:kern w:val="0"/>
                <w:sz w:val="18"/>
                <w:szCs w:val="18"/>
                <w:lang w:val="en-US" w:eastAsia="zh-CN"/>
              </w:rPr>
            </w:pPr>
            <w:r>
              <w:rPr>
                <w:rFonts w:hint="eastAsia" w:ascii="仿宋_GB2312" w:hAnsi="等线" w:eastAsia="仿宋_GB2312" w:cs="宋体"/>
                <w:kern w:val="0"/>
                <w:sz w:val="18"/>
                <w:szCs w:val="18"/>
                <w:lang w:val="en-US" w:eastAsia="zh-CN"/>
              </w:rPr>
              <w:t>0</w:t>
            </w:r>
          </w:p>
        </w:tc>
        <w:tc>
          <w:tcPr>
            <w:tcW w:w="1012" w:type="dxa"/>
            <w:tcBorders>
              <w:top w:val="nil"/>
              <w:left w:val="nil"/>
              <w:bottom w:val="single" w:color="auto" w:sz="4" w:space="0"/>
              <w:right w:val="single" w:color="auto" w:sz="4" w:space="0"/>
            </w:tcBorders>
            <w:shd w:val="clear" w:color="auto" w:fill="auto"/>
            <w:vAlign w:val="center"/>
          </w:tcPr>
          <w:p w14:paraId="14B5C2B2">
            <w:pPr>
              <w:widowControl/>
              <w:spacing w:line="360" w:lineRule="auto"/>
              <w:jc w:val="center"/>
              <w:rPr>
                <w:rFonts w:hint="default" w:ascii="仿宋_GB2312" w:hAnsi="等线" w:eastAsia="仿宋_GB2312" w:cs="宋体"/>
                <w:kern w:val="0"/>
                <w:sz w:val="18"/>
                <w:szCs w:val="18"/>
                <w:lang w:val="en-US" w:eastAsia="zh-CN"/>
              </w:rPr>
            </w:pPr>
            <w:r>
              <w:rPr>
                <w:rFonts w:hint="eastAsia" w:ascii="仿宋_GB2312" w:hAnsi="等线" w:eastAsia="仿宋_GB2312" w:cs="宋体"/>
                <w:kern w:val="0"/>
                <w:sz w:val="18"/>
                <w:szCs w:val="18"/>
                <w:lang w:val="en-US" w:eastAsia="zh-CN"/>
              </w:rPr>
              <w:t>1.83</w:t>
            </w:r>
          </w:p>
        </w:tc>
        <w:tc>
          <w:tcPr>
            <w:tcW w:w="1200" w:type="dxa"/>
            <w:tcBorders>
              <w:top w:val="nil"/>
              <w:left w:val="nil"/>
              <w:bottom w:val="single" w:color="auto" w:sz="4" w:space="0"/>
              <w:right w:val="single" w:color="auto" w:sz="4" w:space="0"/>
            </w:tcBorders>
            <w:shd w:val="clear" w:color="auto" w:fill="auto"/>
            <w:vAlign w:val="center"/>
          </w:tcPr>
          <w:p w14:paraId="541B9267">
            <w:pPr>
              <w:widowControl/>
              <w:spacing w:line="360" w:lineRule="auto"/>
              <w:jc w:val="center"/>
              <w:rPr>
                <w:rFonts w:hint="default" w:ascii="仿宋_GB2312" w:hAnsi="等线" w:eastAsia="仿宋_GB2312" w:cs="宋体"/>
                <w:kern w:val="0"/>
                <w:sz w:val="18"/>
                <w:szCs w:val="18"/>
                <w:lang w:val="en-US" w:eastAsia="zh-CN"/>
              </w:rPr>
            </w:pPr>
            <w:r>
              <w:rPr>
                <w:rFonts w:hint="eastAsia" w:ascii="仿宋_GB2312" w:hAnsi="等线" w:eastAsia="仿宋_GB2312" w:cs="宋体"/>
                <w:kern w:val="0"/>
                <w:sz w:val="18"/>
                <w:szCs w:val="18"/>
                <w:lang w:val="en-US" w:eastAsia="zh-CN"/>
              </w:rPr>
              <w:t>1.83</w:t>
            </w:r>
          </w:p>
        </w:tc>
        <w:tc>
          <w:tcPr>
            <w:tcW w:w="1128" w:type="dxa"/>
            <w:tcBorders>
              <w:top w:val="nil"/>
              <w:left w:val="nil"/>
              <w:bottom w:val="single" w:color="auto" w:sz="4" w:space="0"/>
              <w:right w:val="single" w:color="auto" w:sz="4" w:space="0"/>
            </w:tcBorders>
            <w:vAlign w:val="center"/>
          </w:tcPr>
          <w:p w14:paraId="26AE4E4B">
            <w:pPr>
              <w:widowControl/>
              <w:spacing w:line="360" w:lineRule="auto"/>
              <w:jc w:val="center"/>
              <w:rPr>
                <w:rFonts w:hint="default" w:ascii="仿宋_GB2312" w:hAnsi="等线" w:eastAsia="仿宋_GB2312" w:cs="宋体"/>
                <w:kern w:val="0"/>
                <w:sz w:val="18"/>
                <w:szCs w:val="18"/>
                <w:lang w:val="en-US"/>
              </w:rPr>
            </w:pPr>
            <w:r>
              <w:rPr>
                <w:rFonts w:hint="eastAsia" w:ascii="仿宋_GB2312" w:hAnsi="等线" w:eastAsia="仿宋_GB2312" w:cs="宋体"/>
                <w:kern w:val="0"/>
                <w:sz w:val="18"/>
                <w:szCs w:val="18"/>
                <w:lang w:val="en-US" w:eastAsia="zh-CN"/>
              </w:rPr>
              <w:t>100%</w:t>
            </w:r>
          </w:p>
        </w:tc>
      </w:tr>
    </w:tbl>
    <w:p w14:paraId="21982A49">
      <w:pPr>
        <w:snapToGrid w:val="0"/>
        <w:spacing w:beforeLines="0" w:afterLines="0" w:line="360" w:lineRule="auto"/>
        <w:ind w:firstLine="640" w:firstLineChars="200"/>
        <w:rPr>
          <w:rFonts w:hint="eastAsia" w:ascii="仿宋_GB2312" w:eastAsia="仿宋_GB2312"/>
          <w:sz w:val="32"/>
          <w:szCs w:val="32"/>
        </w:rPr>
      </w:pPr>
    </w:p>
    <w:p w14:paraId="7A33015A">
      <w:pPr>
        <w:numPr>
          <w:ilvl w:val="0"/>
          <w:numId w:val="1"/>
        </w:numPr>
        <w:snapToGrid w:val="0"/>
        <w:spacing w:beforeLines="0" w:afterLines="0" w:line="360" w:lineRule="auto"/>
        <w:ind w:left="960" w:leftChars="0" w:firstLine="0" w:firstLineChars="0"/>
        <w:rPr>
          <w:rFonts w:hint="eastAsia" w:ascii="仿宋_GB2312" w:eastAsia="仿宋_GB2312"/>
          <w:sz w:val="32"/>
          <w:szCs w:val="32"/>
        </w:rPr>
      </w:pPr>
      <w:r>
        <w:rPr>
          <w:rFonts w:hint="eastAsia" w:ascii="仿宋_GB2312" w:eastAsia="仿宋_GB2312"/>
          <w:sz w:val="32"/>
          <w:szCs w:val="32"/>
        </w:rPr>
        <w:t>资金完成绩效目标情况。</w:t>
      </w:r>
    </w:p>
    <w:p w14:paraId="31A8EB01">
      <w:pPr>
        <w:spacing w:line="360" w:lineRule="auto"/>
        <w:ind w:firstLine="640" w:firstLineChars="200"/>
        <w:rPr>
          <w:rFonts w:hint="eastAsia" w:ascii="仿宋_GB2312" w:eastAsia="仿宋_GB2312"/>
          <w:sz w:val="32"/>
          <w:szCs w:val="32"/>
        </w:rPr>
      </w:pPr>
      <w:r>
        <w:rPr>
          <w:rFonts w:hint="eastAsia" w:ascii="仿宋_GB2312" w:hAnsi="仿宋_GB2312" w:eastAsia="仿宋_GB2312" w:cs="仿宋_GB2312"/>
          <w:kern w:val="2"/>
          <w:sz w:val="32"/>
          <w:szCs w:val="32"/>
          <w:lang w:val="en-US" w:eastAsia="zh-CN" w:bidi="ar-SA"/>
        </w:rPr>
        <w:t>全县信创工作补助资金</w:t>
      </w:r>
      <w:r>
        <w:rPr>
          <w:rFonts w:hint="eastAsia" w:ascii="仿宋_GB2312" w:hAnsi="仿宋_GB2312" w:eastAsia="仿宋_GB2312" w:cs="仿宋_GB2312"/>
          <w:sz w:val="32"/>
          <w:szCs w:val="32"/>
          <w:lang w:eastAsia="zh-CN"/>
        </w:rPr>
        <w:t>经费</w:t>
      </w:r>
      <w:r>
        <w:rPr>
          <w:rFonts w:hint="eastAsia" w:ascii="仿宋_GB2312" w:hAnsi="仿宋_GB2312" w:eastAsia="仿宋_GB2312" w:cs="仿宋_GB2312"/>
          <w:sz w:val="32"/>
          <w:szCs w:val="32"/>
        </w:rPr>
        <w:t>实行</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有效的管理和使用，</w:t>
      </w:r>
      <w:r>
        <w:rPr>
          <w:rFonts w:hint="eastAsia" w:ascii="仿宋_GB2312" w:eastAsia="仿宋_GB2312"/>
          <w:sz w:val="32"/>
          <w:szCs w:val="32"/>
        </w:rPr>
        <w:t>项目资金使用计划执行率达到了专款专用。保障了消防日常</w:t>
      </w:r>
      <w:r>
        <w:rPr>
          <w:rFonts w:hint="eastAsia" w:ascii="仿宋_GB2312" w:eastAsia="仿宋_GB2312"/>
          <w:sz w:val="32"/>
          <w:szCs w:val="32"/>
          <w:lang w:val="en-US" w:eastAsia="zh-CN"/>
        </w:rPr>
        <w:t>工作需求</w:t>
      </w:r>
      <w:r>
        <w:rPr>
          <w:rFonts w:hint="eastAsia" w:ascii="仿宋_GB2312" w:eastAsia="仿宋_GB2312"/>
          <w:sz w:val="32"/>
          <w:szCs w:val="32"/>
        </w:rPr>
        <w:t>。</w:t>
      </w:r>
    </w:p>
    <w:p w14:paraId="43A16E3E">
      <w:pPr>
        <w:numPr>
          <w:ilvl w:val="0"/>
          <w:numId w:val="0"/>
        </w:numPr>
        <w:snapToGrid w:val="0"/>
        <w:spacing w:beforeLines="0" w:afterLines="0" w:line="360" w:lineRule="auto"/>
        <w:ind w:firstLine="640" w:firstLineChars="200"/>
        <w:rPr>
          <w:rFonts w:hint="eastAsia" w:ascii="仿宋_GB2312" w:eastAsia="仿宋_GB2312"/>
          <w:sz w:val="32"/>
          <w:szCs w:val="32"/>
        </w:rPr>
      </w:pPr>
      <w:r>
        <w:rPr>
          <w:rFonts w:hint="eastAsia" w:ascii="仿宋_GB2312" w:hAnsi="仿宋_GB2312" w:eastAsia="仿宋_GB2312" w:cs="仿宋_GB2312"/>
          <w:sz w:val="32"/>
          <w:szCs w:val="32"/>
        </w:rPr>
        <w:t>经费支出符合资金安全管理规定，无违规使用现金或现金支票现象。严格执行财务管理制度，对资金设立专账，做到专款专</w:t>
      </w:r>
      <w:r>
        <w:rPr>
          <w:rFonts w:hint="eastAsia" w:ascii="仿宋_GB2312" w:hAnsi="仿宋_GB2312" w:eastAsia="仿宋_GB2312" w:cs="仿宋_GB2312"/>
          <w:sz w:val="32"/>
          <w:szCs w:val="32"/>
          <w:lang w:eastAsia="zh-CN"/>
        </w:rPr>
        <w:t>用</w:t>
      </w:r>
      <w:r>
        <w:rPr>
          <w:rFonts w:hint="eastAsia" w:ascii="仿宋_GB2312" w:hAnsi="仿宋_GB2312" w:eastAsia="仿宋_GB2312" w:cs="仿宋_GB2312"/>
          <w:sz w:val="32"/>
          <w:szCs w:val="32"/>
        </w:rPr>
        <w:t>，禁止挤占、截留、挪用、保证项目资金全面投入到政府专职队建中。加强检查监督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严格执按各项规章制度执行，确保经费投入使用效果。</w:t>
      </w:r>
      <w:r>
        <w:rPr>
          <w:rFonts w:hint="eastAsia" w:ascii="仿宋_GB2312" w:hAnsi="仿宋_GB2312" w:eastAsia="仿宋_GB2312" w:cs="仿宋_GB2312"/>
          <w:sz w:val="32"/>
          <w:szCs w:val="32"/>
          <w:lang w:val="en-US" w:eastAsia="zh-CN"/>
        </w:rPr>
        <w:t xml:space="preserve">       </w:t>
      </w:r>
    </w:p>
    <w:p w14:paraId="69EB5DA7">
      <w:pPr>
        <w:numPr>
          <w:ilvl w:val="0"/>
          <w:numId w:val="1"/>
        </w:numPr>
        <w:snapToGrid w:val="0"/>
        <w:spacing w:beforeLines="0" w:afterLines="0" w:line="360" w:lineRule="auto"/>
        <w:ind w:left="960" w:leftChars="0" w:firstLine="0" w:firstLineChars="0"/>
        <w:rPr>
          <w:rFonts w:hint="eastAsia" w:ascii="仿宋_GB2312" w:eastAsia="仿宋_GB2312"/>
          <w:sz w:val="32"/>
          <w:szCs w:val="32"/>
        </w:rPr>
      </w:pPr>
      <w:r>
        <w:rPr>
          <w:rFonts w:hint="eastAsia" w:ascii="仿宋_GB2312" w:eastAsia="仿宋_GB2312"/>
          <w:sz w:val="32"/>
          <w:szCs w:val="32"/>
        </w:rPr>
        <w:t>资金分用途使用绩效。</w:t>
      </w:r>
    </w:p>
    <w:p w14:paraId="2EFA9155">
      <w:pPr>
        <w:numPr>
          <w:ilvl w:val="0"/>
          <w:numId w:val="0"/>
        </w:numPr>
        <w:snapToGrid w:val="0"/>
        <w:spacing w:beforeLines="0" w:afterLines="0" w:line="360" w:lineRule="auto"/>
      </w:pPr>
      <w:r>
        <w:drawing>
          <wp:inline distT="0" distB="0" distL="114300" distR="114300">
            <wp:extent cx="5274310" cy="3064510"/>
            <wp:effectExtent l="0" t="0" r="2540" b="254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9"/>
                    <a:stretch>
                      <a:fillRect/>
                    </a:stretch>
                  </pic:blipFill>
                  <pic:spPr>
                    <a:xfrm>
                      <a:off x="0" y="0"/>
                      <a:ext cx="5274310" cy="3064510"/>
                    </a:xfrm>
                    <a:prstGeom prst="rect">
                      <a:avLst/>
                    </a:prstGeom>
                    <a:noFill/>
                    <a:ln>
                      <a:noFill/>
                    </a:ln>
                  </pic:spPr>
                </pic:pic>
              </a:graphicData>
            </a:graphic>
          </wp:inline>
        </w:drawing>
      </w:r>
    </w:p>
    <w:p w14:paraId="0B07839B">
      <w:pPr>
        <w:numPr>
          <w:ilvl w:val="0"/>
          <w:numId w:val="0"/>
        </w:numPr>
        <w:snapToGrid w:val="0"/>
        <w:spacing w:beforeLines="0" w:afterLines="0" w:line="360" w:lineRule="auto"/>
        <w:ind w:left="960" w:leftChars="0" w:firstLine="640" w:firstLineChars="200"/>
        <w:rPr>
          <w:rFonts w:hint="eastAsia"/>
        </w:rPr>
      </w:pPr>
      <w:r>
        <w:rPr>
          <w:rFonts w:hint="eastAsia" w:ascii="仿宋_GB2312" w:eastAsia="仿宋_GB2312" w:cs="仿宋_GB2312"/>
          <w:sz w:val="32"/>
          <w:szCs w:val="32"/>
        </w:rPr>
        <w:t>本项目立项依据充分，资金管理和使用严格按照《消防救援队伍预算分类科目》和</w:t>
      </w:r>
      <w:r>
        <w:rPr>
          <w:rFonts w:hint="eastAsia" w:ascii="仿宋_GB2312" w:eastAsia="仿宋_GB2312" w:cs="仿宋_GB2312"/>
          <w:sz w:val="32"/>
          <w:szCs w:val="32"/>
          <w:lang w:eastAsia="zh-CN"/>
        </w:rPr>
        <w:t>地方财政有关</w:t>
      </w:r>
      <w:r>
        <w:rPr>
          <w:rFonts w:hint="eastAsia" w:ascii="仿宋_GB2312" w:eastAsia="仿宋_GB2312" w:cs="仿宋_GB2312"/>
          <w:sz w:val="32"/>
          <w:szCs w:val="32"/>
        </w:rPr>
        <w:t>财务管理制度执行。项目在资金使用年限内按时完成，预算执行率</w:t>
      </w:r>
      <w:r>
        <w:rPr>
          <w:rFonts w:hint="eastAsia" w:ascii="仿宋_GB2312" w:eastAsia="仿宋_GB2312" w:cs="仿宋_GB2312"/>
          <w:sz w:val="32"/>
          <w:szCs w:val="32"/>
          <w:lang w:val="en-US" w:eastAsia="zh-CN"/>
        </w:rPr>
        <w:t>100</w:t>
      </w:r>
      <w:r>
        <w:rPr>
          <w:rFonts w:hint="eastAsia" w:ascii="仿宋_GB2312" w:eastAsia="仿宋_GB2312" w:cs="仿宋_GB2312"/>
          <w:sz w:val="32"/>
          <w:szCs w:val="32"/>
        </w:rPr>
        <w:t>%</w:t>
      </w:r>
      <w:r>
        <w:rPr>
          <w:rFonts w:hint="eastAsia" w:ascii="仿宋_GB2312" w:eastAsia="仿宋_GB2312" w:cs="仿宋_GB2312"/>
          <w:sz w:val="32"/>
          <w:szCs w:val="32"/>
          <w:lang w:eastAsia="zh-CN"/>
        </w:rPr>
        <w:t>，</w:t>
      </w:r>
      <w:r>
        <w:rPr>
          <w:rFonts w:hint="eastAsia" w:ascii="仿宋_GB2312" w:eastAsia="仿宋_GB2312" w:cs="仿宋_GB2312"/>
          <w:sz w:val="32"/>
          <w:szCs w:val="32"/>
        </w:rPr>
        <w:t>本项目也较好地完成了项目设定的绩效目标。</w:t>
      </w:r>
    </w:p>
    <w:p w14:paraId="25436ED3">
      <w:pPr>
        <w:numPr>
          <w:ilvl w:val="0"/>
          <w:numId w:val="2"/>
        </w:num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资金使用绩效存在的问题</w:t>
      </w:r>
    </w:p>
    <w:p w14:paraId="434240F7">
      <w:pPr>
        <w:numPr>
          <w:ilvl w:val="0"/>
          <w:numId w:val="0"/>
        </w:numPr>
        <w:snapToGrid w:val="0"/>
        <w:spacing w:beforeLines="0" w:afterLines="0" w:line="360" w:lineRule="auto"/>
        <w:ind w:left="960" w:leftChars="0" w:firstLine="640" w:firstLineChars="200"/>
        <w:rPr>
          <w:rFonts w:hint="eastAsia" w:ascii="仿宋_GB2312" w:eastAsia="仿宋_GB2312" w:cs="仿宋_GB2312"/>
          <w:sz w:val="32"/>
          <w:szCs w:val="32"/>
        </w:rPr>
      </w:pPr>
      <w:r>
        <w:rPr>
          <w:rFonts w:hint="eastAsia" w:ascii="仿宋_GB2312" w:eastAsia="仿宋_GB2312" w:cs="仿宋_GB2312"/>
          <w:sz w:val="32"/>
          <w:szCs w:val="32"/>
        </w:rPr>
        <w:t>项目佐证材料规范性和完整性不足，不利于绩效评价工作的开展</w:t>
      </w:r>
    </w:p>
    <w:p w14:paraId="6384A659">
      <w:pPr>
        <w:numPr>
          <w:ilvl w:val="0"/>
          <w:numId w:val="0"/>
        </w:numPr>
        <w:snapToGrid w:val="0"/>
        <w:spacing w:beforeLines="0" w:afterLines="0" w:line="360" w:lineRule="auto"/>
        <w:rPr>
          <w:rFonts w:hint="eastAsia" w:ascii="仿宋_GB2312" w:eastAsia="仿宋_GB2312"/>
          <w:sz w:val="32"/>
          <w:szCs w:val="32"/>
        </w:rPr>
      </w:pPr>
    </w:p>
    <w:p w14:paraId="12DD2D3B">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三、改进意见</w:t>
      </w:r>
    </w:p>
    <w:p w14:paraId="0815030D">
      <w:pPr>
        <w:pStyle w:val="5"/>
        <w:spacing w:before="0" w:beforeAutospacing="0" w:after="0" w:afterAutospacing="0"/>
        <w:ind w:firstLine="640" w:firstLineChars="200"/>
        <w:jc w:val="both"/>
        <w:rPr>
          <w:rFonts w:hint="eastAsia" w:ascii="Times New Roman" w:hAnsi="Times New Roman" w:eastAsia="仿宋_GB2312" w:cs="Times New Roman"/>
          <w:bCs/>
          <w:sz w:val="32"/>
          <w:szCs w:val="32"/>
          <w:lang w:eastAsia="zh-CN"/>
        </w:rPr>
        <w:sectPr>
          <w:headerReference r:id="rId3" w:type="default"/>
          <w:footerReference r:id="rId5" w:type="default"/>
          <w:headerReference r:id="rId4" w:type="even"/>
          <w:pgSz w:w="11906" w:h="16838"/>
          <w:pgMar w:top="1440" w:right="1800" w:bottom="1440" w:left="1800" w:header="851" w:footer="992" w:gutter="0"/>
          <w:pgNumType w:start="1"/>
          <w:cols w:space="720" w:num="1"/>
          <w:docGrid w:type="lines" w:linePitch="312" w:charSpace="0"/>
        </w:sectPr>
      </w:pPr>
      <w:r>
        <w:rPr>
          <w:rFonts w:hint="eastAsia" w:ascii="仿宋_GB2312" w:hAnsi="仿宋_GB2312" w:eastAsia="仿宋_GB2312" w:cs="仿宋_GB2312"/>
          <w:bCs/>
          <w:sz w:val="32"/>
          <w:szCs w:val="32"/>
        </w:rPr>
        <w:t>建议及时整理并分类归档项目相关的自评以及佐证材料，清楚地展示项目的工作内容以及所取得的成果，从而提高项目自评的质量，为项目单位的后续工作开展提供经验及教训</w:t>
      </w:r>
      <w:r>
        <w:rPr>
          <w:rFonts w:hint="eastAsia" w:ascii="仿宋_GB2312" w:hAnsi="仿宋_GB2312" w:eastAsia="仿宋_GB2312" w:cs="仿宋_GB2312"/>
          <w:bCs/>
          <w:sz w:val="32"/>
          <w:szCs w:val="32"/>
          <w:lang w:eastAsia="zh-CN"/>
        </w:rPr>
        <w:t>。</w:t>
      </w:r>
      <w:bookmarkStart w:id="0" w:name="_GoBack"/>
      <w:bookmarkEnd w:id="0"/>
    </w:p>
    <w:p w14:paraId="189C43F8"/>
    <w:sectPr>
      <w:headerReference r:id="rId6" w:type="default"/>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D152A">
    <w:pPr>
      <w:pStyle w:val="3"/>
      <w:jc w:val="center"/>
    </w:pPr>
    <w:r>
      <w:fldChar w:fldCharType="begin"/>
    </w:r>
    <w:r>
      <w:instrText xml:space="preserve">PAGE   \* MERGEFORMAT</w:instrText>
    </w:r>
    <w:r>
      <w:fldChar w:fldCharType="separate"/>
    </w:r>
    <w:r>
      <w:rPr>
        <w:lang w:val="zh-CN"/>
      </w:rPr>
      <w:t>2</w:t>
    </w:r>
    <w:r>
      <w:fldChar w:fldCharType="end"/>
    </w:r>
  </w:p>
  <w:p w14:paraId="1FA048E5">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E617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CF69D7">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CF69D7">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8C24A">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4CDC5">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69CA8">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5DCD3B"/>
    <w:multiLevelType w:val="singleLevel"/>
    <w:tmpl w:val="235DCD3B"/>
    <w:lvl w:ilvl="0" w:tentative="0">
      <w:start w:val="2"/>
      <w:numFmt w:val="decimal"/>
      <w:lvlText w:val="%1."/>
      <w:lvlJc w:val="left"/>
      <w:pPr>
        <w:tabs>
          <w:tab w:val="left" w:pos="312"/>
        </w:tabs>
        <w:ind w:left="960" w:leftChars="0" w:firstLine="0" w:firstLineChars="0"/>
      </w:pPr>
    </w:lvl>
  </w:abstractNum>
  <w:abstractNum w:abstractNumId="1">
    <w:nsid w:val="4B82AF36"/>
    <w:multiLevelType w:val="singleLevel"/>
    <w:tmpl w:val="4B82AF36"/>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kZTNkZTczYzZjOTIyZWRmOWZhZDI2NDIxYzg2ZWIifQ=="/>
  </w:docVars>
  <w:rsids>
    <w:rsidRoot w:val="0BFE5C14"/>
    <w:rsid w:val="096A7BD0"/>
    <w:rsid w:val="099A00A9"/>
    <w:rsid w:val="0ABF1BFB"/>
    <w:rsid w:val="0BFE5C14"/>
    <w:rsid w:val="1EDE4CF4"/>
    <w:rsid w:val="22252D7A"/>
    <w:rsid w:val="2653784C"/>
    <w:rsid w:val="27327EBB"/>
    <w:rsid w:val="2DE123DA"/>
    <w:rsid w:val="314410B2"/>
    <w:rsid w:val="42F145B3"/>
    <w:rsid w:val="45756443"/>
    <w:rsid w:val="57025F93"/>
    <w:rsid w:val="6CFE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39"/>
    <w:pPr>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1072</Words>
  <Characters>1123</Characters>
  <Lines>0</Lines>
  <Paragraphs>0</Paragraphs>
  <TotalTime>0</TotalTime>
  <ScaleCrop>false</ScaleCrop>
  <LinksUpToDate>false</LinksUpToDate>
  <CharactersWithSpaces>1132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2021-02-26T03:06:00Z</dcterms:created>
  <dc:creator>Administrator</dc:creator>
  <cp:lastModifiedBy>欧秀华</cp:lastModifiedBy>
  <dcterms:modified xsi:type="dcterms:W3CDTF">2025-02-24T02:09:04Z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ribbonExt">
    <vt:lpwstr>{"WPSExtOfficeTab":{"OnGetEnabled":false,"OnGetVisible":false}}</vt:lpwstr>
  </property>
  <property fmtid="{D5CDD505-2E9C-101B-9397-08002B2CF9AE}" pid="4" name="ICV">
    <vt:lpwstr>F9D5D3FAD1974A0FBF00DB278CCEC2FE</vt:lpwstr>
  </property>
  <property fmtid="{D5CDD505-2E9C-101B-9397-08002B2CF9AE}" pid="5" name="KSOTemplateDocerSaveRecord">
    <vt:lpwstr>eyJoZGlkIjoiODlkNTlmMTA1ZjQ2NjI2MzI3M2M2ZjRjY2IyOTBmNjciLCJ1c2VySWQiOiIzODYzODgzMTQifQ==</vt:lpwstr>
  </property>
</Properties>
</file>