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AC90C">
      <w:pPr>
        <w:spacing w:line="360" w:lineRule="auto"/>
        <w:ind w:firstLine="1044" w:firstLineChars="200"/>
        <w:jc w:val="both"/>
        <w:rPr>
          <w:rFonts w:hint="eastAsia"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14:paraId="56306D79">
      <w:pPr>
        <w:spacing w:line="360" w:lineRule="auto"/>
        <w:ind w:firstLine="3200" w:firstLineChars="10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2024年度</w:t>
      </w:r>
      <w:r>
        <w:rPr>
          <w:rFonts w:hint="eastAsia" w:ascii="仿宋_GB2312" w:hAnsi="仿宋_GB2312" w:eastAsia="仿宋_GB2312" w:cs="仿宋_GB2312"/>
          <w:sz w:val="32"/>
          <w:szCs w:val="32"/>
          <w:lang w:eastAsia="zh-CN"/>
        </w:rPr>
        <w:t>）</w:t>
      </w:r>
    </w:p>
    <w:p w14:paraId="0B017683">
      <w:pPr>
        <w:spacing w:line="720" w:lineRule="auto"/>
        <w:rPr>
          <w:rFonts w:hint="eastAsia" w:ascii="仿宋_GB2312" w:hAnsi="宋体" w:eastAsia="仿宋_GB2312"/>
          <w:sz w:val="32"/>
        </w:rPr>
      </w:pPr>
    </w:p>
    <w:p w14:paraId="6A7CD8B0">
      <w:pPr>
        <w:rPr>
          <w:rFonts w:hint="eastAsia" w:ascii="仿宋_GB2312" w:hAnsi="宋体" w:eastAsia="仿宋_GB2312"/>
          <w:sz w:val="32"/>
          <w:lang w:val="en-US" w:eastAsia="zh-CN"/>
        </w:rPr>
      </w:pPr>
      <w:r>
        <w:rPr>
          <w:rFonts w:hint="eastAsia" w:ascii="仿宋_GB2312" w:hAnsi="宋体" w:eastAsia="仿宋_GB2312"/>
          <w:sz w:val="32"/>
        </w:rPr>
        <w:t>项目名称：</w:t>
      </w:r>
      <w:r>
        <w:rPr>
          <w:rFonts w:hint="eastAsia" w:ascii="仿宋_GB2312" w:hAnsi="宋体" w:eastAsia="仿宋_GB2312"/>
          <w:sz w:val="32"/>
          <w:lang w:val="en-US" w:eastAsia="zh-CN"/>
        </w:rPr>
        <w:t>专职消防员每日执勤补助</w:t>
      </w:r>
    </w:p>
    <w:p w14:paraId="74A27919">
      <w:pPr>
        <w:spacing w:line="240" w:lineRule="auto"/>
        <w:ind w:firstLine="1449" w:firstLineChars="453"/>
        <w:rPr>
          <w:rFonts w:hint="eastAsia" w:ascii="仿宋_GB2312" w:hAnsi="宋体" w:eastAsia="仿宋_GB2312"/>
          <w:sz w:val="32"/>
        </w:rPr>
      </w:pPr>
    </w:p>
    <w:p w14:paraId="2C51BCFA">
      <w:pPr>
        <w:spacing w:line="240" w:lineRule="auto"/>
        <w:rPr>
          <w:rFonts w:hint="eastAsia" w:ascii="仿宋_GB2312" w:hAnsi="宋体" w:eastAsia="仿宋_GB2312"/>
          <w:sz w:val="32"/>
        </w:rPr>
      </w:pPr>
      <w:r>
        <w:rPr>
          <w:rFonts w:hint="eastAsia" w:ascii="仿宋_GB2312" w:hAnsi="宋体" w:eastAsia="仿宋_GB2312"/>
          <w:sz w:val="32"/>
        </w:rPr>
        <w:t>项目单位：（公章）</w:t>
      </w:r>
      <w:r>
        <w:rPr>
          <w:rFonts w:hint="eastAsia" w:ascii="仿宋_GB2312" w:hAnsi="宋体" w:eastAsia="仿宋_GB2312"/>
          <w:sz w:val="32"/>
          <w:lang w:eastAsia="zh-CN"/>
        </w:rPr>
        <w:t>仁化县消防救援大队</w:t>
      </w:r>
    </w:p>
    <w:p w14:paraId="3346DD35">
      <w:pPr>
        <w:spacing w:line="240" w:lineRule="auto"/>
        <w:rPr>
          <w:rFonts w:hint="eastAsia" w:ascii="仿宋_GB2312" w:hAnsi="宋体" w:eastAsia="仿宋_GB2312"/>
          <w:sz w:val="32"/>
        </w:rPr>
      </w:pPr>
    </w:p>
    <w:p w14:paraId="50F8FEE8">
      <w:pPr>
        <w:spacing w:line="240" w:lineRule="auto"/>
        <w:rPr>
          <w:rFonts w:hint="eastAsia" w:ascii="仿宋_GB2312" w:hAnsi="宋体" w:eastAsia="仿宋_GB2312"/>
          <w:sz w:val="24"/>
          <w:szCs w:val="24"/>
        </w:rPr>
      </w:pPr>
      <w:r>
        <w:rPr>
          <w:rFonts w:hint="eastAsia" w:ascii="仿宋_GB2312" w:hAnsi="宋体" w:eastAsia="仿宋_GB2312"/>
          <w:sz w:val="24"/>
          <w:szCs w:val="24"/>
        </w:rPr>
        <w:t>(一级预算单位)</w:t>
      </w:r>
    </w:p>
    <w:p w14:paraId="23B56A42">
      <w:pPr>
        <w:spacing w:line="720" w:lineRule="auto"/>
        <w:ind w:firstLine="1449" w:firstLineChars="453"/>
        <w:rPr>
          <w:rFonts w:hint="eastAsia" w:ascii="仿宋_GB2312" w:hAnsi="宋体" w:eastAsia="仿宋_GB2312"/>
          <w:sz w:val="32"/>
        </w:rPr>
      </w:pPr>
    </w:p>
    <w:p w14:paraId="10522E79">
      <w:pPr>
        <w:spacing w:line="720" w:lineRule="auto"/>
        <w:rPr>
          <w:rFonts w:hint="eastAsia" w:ascii="仿宋_GB2312" w:hAnsi="宋体" w:eastAsia="仿宋_GB2312"/>
          <w:sz w:val="32"/>
          <w:lang w:val="en-US" w:eastAsia="zh-CN"/>
        </w:rPr>
      </w:pPr>
      <w:r>
        <w:rPr>
          <w:rFonts w:hint="eastAsia" w:ascii="仿宋_GB2312" w:hAnsi="宋体" w:eastAsia="仿宋_GB2312"/>
          <w:sz w:val="32"/>
        </w:rPr>
        <w:t>填报人姓名：</w:t>
      </w:r>
      <w:r>
        <w:rPr>
          <w:rFonts w:hint="eastAsia" w:ascii="仿宋_GB2312" w:hAnsi="宋体" w:eastAsia="仿宋_GB2312"/>
          <w:sz w:val="32"/>
          <w:lang w:val="en-US" w:eastAsia="zh-CN"/>
        </w:rPr>
        <w:t>欧秀华</w:t>
      </w:r>
    </w:p>
    <w:p w14:paraId="07FC97FF">
      <w:pPr>
        <w:spacing w:line="720" w:lineRule="auto"/>
        <w:ind w:firstLine="1449" w:firstLineChars="453"/>
        <w:rPr>
          <w:rFonts w:hint="eastAsia" w:ascii="仿宋_GB2312" w:hAnsi="宋体" w:eastAsia="仿宋_GB2312"/>
          <w:sz w:val="32"/>
        </w:rPr>
      </w:pPr>
    </w:p>
    <w:p w14:paraId="7F8E4844">
      <w:pPr>
        <w:spacing w:line="720" w:lineRule="auto"/>
        <w:rPr>
          <w:rFonts w:hint="default" w:ascii="仿宋_GB2312" w:hAnsi="宋体" w:eastAsia="仿宋_GB2312"/>
          <w:sz w:val="32"/>
          <w:lang w:val="en-US" w:eastAsia="zh-CN"/>
        </w:rPr>
      </w:pPr>
      <w:r>
        <w:rPr>
          <w:rFonts w:hint="eastAsia" w:ascii="仿宋_GB2312" w:hAnsi="宋体" w:eastAsia="仿宋_GB2312"/>
          <w:sz w:val="32"/>
        </w:rPr>
        <w:t>联系电话：</w:t>
      </w:r>
      <w:r>
        <w:rPr>
          <w:rFonts w:hint="eastAsia" w:ascii="仿宋_GB2312" w:hAnsi="宋体" w:eastAsia="仿宋_GB2312"/>
          <w:sz w:val="32"/>
          <w:lang w:val="en-US" w:eastAsia="zh-CN"/>
        </w:rPr>
        <w:t>15814983541</w:t>
      </w:r>
    </w:p>
    <w:p w14:paraId="4BAC3A86">
      <w:pPr>
        <w:spacing w:line="720" w:lineRule="auto"/>
        <w:rPr>
          <w:rFonts w:hint="eastAsia" w:ascii="仿宋_GB2312" w:hAnsi="宋体" w:eastAsia="仿宋_GB2312"/>
          <w:sz w:val="32"/>
        </w:rPr>
      </w:pPr>
    </w:p>
    <w:p w14:paraId="5CFF6137">
      <w:pPr>
        <w:spacing w:line="720" w:lineRule="auto"/>
        <w:rPr>
          <w:rFonts w:hint="default" w:ascii="仿宋_GB2312" w:hAnsi="宋体" w:eastAsia="仿宋_GB2312"/>
          <w:sz w:val="32"/>
          <w:lang w:val="en-US" w:eastAsia="zh-CN"/>
        </w:rPr>
      </w:pPr>
      <w:r>
        <w:rPr>
          <w:rFonts w:hint="eastAsia" w:ascii="仿宋_GB2312" w:hAnsi="宋体" w:eastAsia="仿宋_GB2312"/>
          <w:sz w:val="32"/>
        </w:rPr>
        <w:t>填报日期：</w:t>
      </w:r>
      <w:r>
        <w:rPr>
          <w:rFonts w:hint="eastAsia" w:ascii="仿宋_GB2312" w:hAnsi="宋体" w:eastAsia="仿宋_GB2312"/>
          <w:sz w:val="32"/>
          <w:lang w:val="en-US" w:eastAsia="zh-CN"/>
        </w:rPr>
        <w:t>2025年2月24日</w:t>
      </w:r>
    </w:p>
    <w:p w14:paraId="22F5E529">
      <w:pPr>
        <w:spacing w:line="240" w:lineRule="auto"/>
        <w:ind w:firstLine="1449" w:firstLineChars="453"/>
        <w:rPr>
          <w:rFonts w:hint="eastAsia" w:ascii="仿宋_GB2312" w:hAnsi="宋体" w:eastAsia="仿宋_GB2312"/>
          <w:sz w:val="32"/>
          <w:u w:val="single"/>
        </w:rPr>
      </w:pPr>
    </w:p>
    <w:p w14:paraId="191CCDEA">
      <w:pPr>
        <w:spacing w:line="225" w:lineRule="atLeast"/>
        <w:jc w:val="center"/>
        <w:rPr>
          <w:rFonts w:hint="eastAsia" w:ascii="楷体_GB2312" w:hAnsi="宋体" w:eastAsia="楷体_GB2312"/>
          <w:sz w:val="32"/>
          <w:szCs w:val="32"/>
        </w:rPr>
      </w:pPr>
    </w:p>
    <w:p w14:paraId="4E8BD8D2">
      <w:pPr>
        <w:spacing w:line="360" w:lineRule="auto"/>
        <w:jc w:val="both"/>
        <w:rPr>
          <w:rFonts w:hint="eastAsia" w:ascii="仿宋_GB2312" w:hAnsi="仿宋_GB2312" w:eastAsia="仿宋_GB2312" w:cs="仿宋_GB2312"/>
          <w:sz w:val="32"/>
          <w:szCs w:val="32"/>
          <w:lang w:eastAsia="zh-CN"/>
        </w:rPr>
      </w:pPr>
    </w:p>
    <w:p w14:paraId="1E6D6FFA">
      <w:pPr>
        <w:spacing w:line="360" w:lineRule="auto"/>
        <w:jc w:val="both"/>
        <w:rPr>
          <w:rFonts w:hint="eastAsia" w:ascii="仿宋_GB2312" w:hAnsi="仿宋_GB2312" w:eastAsia="仿宋_GB2312" w:cs="仿宋_GB2312"/>
          <w:sz w:val="32"/>
          <w:szCs w:val="32"/>
          <w:lang w:eastAsia="zh-CN"/>
        </w:rPr>
      </w:pPr>
    </w:p>
    <w:p w14:paraId="174BD6CC">
      <w:pPr>
        <w:snapToGrid w:val="0"/>
        <w:spacing w:beforeLines="0" w:afterLines="0" w:line="360" w:lineRule="auto"/>
        <w:ind w:firstLine="640" w:firstLineChars="200"/>
        <w:rPr>
          <w:rFonts w:hint="eastAsia" w:ascii="黑体" w:eastAsia="黑体"/>
          <w:sz w:val="32"/>
          <w:szCs w:val="32"/>
        </w:rPr>
      </w:pPr>
    </w:p>
    <w:p w14:paraId="171CA504">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一、基本情况</w:t>
      </w:r>
    </w:p>
    <w:p w14:paraId="1340C322">
      <w:pPr>
        <w:snapToGrid w:val="0"/>
        <w:spacing w:beforeLines="0" w:afterLines="0" w:line="360" w:lineRule="auto"/>
        <w:ind w:firstLine="640" w:firstLineChars="200"/>
        <w:rPr>
          <w:rFonts w:hint="default" w:ascii="仿宋_GB2312" w:eastAsia="仿宋_GB2312"/>
          <w:sz w:val="32"/>
          <w:szCs w:val="32"/>
          <w:lang w:val="en-US" w:eastAsia="zh-CN"/>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宋体" w:eastAsia="仿宋_GB2312"/>
          <w:sz w:val="32"/>
          <w:lang w:val="en-US" w:eastAsia="zh-CN"/>
        </w:rPr>
        <w:t>专职消防员每日执勤补助</w:t>
      </w:r>
      <w:r>
        <w:rPr>
          <w:rFonts w:hint="eastAsia" w:ascii="仿宋_GB2312" w:hAnsi="仿宋_GB2312" w:eastAsia="仿宋_GB2312" w:cs="仿宋_GB2312"/>
          <w:sz w:val="32"/>
          <w:szCs w:val="32"/>
        </w:rPr>
        <w:t>使用单位为</w:t>
      </w:r>
      <w:r>
        <w:rPr>
          <w:rFonts w:hint="eastAsia" w:ascii="仿宋_GB2312" w:hAnsi="仿宋_GB2312" w:eastAsia="仿宋_GB2312" w:cs="仿宋_GB2312"/>
          <w:sz w:val="32"/>
          <w:szCs w:val="32"/>
          <w:lang w:val="en-US" w:eastAsia="zh-CN"/>
        </w:rPr>
        <w:t>仁化</w:t>
      </w:r>
      <w:r>
        <w:rPr>
          <w:rFonts w:hint="eastAsia" w:ascii="仿宋_GB2312" w:hAnsi="仿宋_GB2312" w:eastAsia="仿宋_GB2312" w:cs="仿宋_GB2312"/>
          <w:sz w:val="32"/>
          <w:szCs w:val="32"/>
        </w:rPr>
        <w:t>县消防救援大队</w:t>
      </w:r>
      <w:r>
        <w:rPr>
          <w:rFonts w:hint="eastAsia" w:ascii="仿宋_GB2312" w:hAnsi="仿宋_GB2312" w:eastAsia="仿宋_GB2312" w:cs="仿宋_GB2312"/>
          <w:sz w:val="32"/>
          <w:szCs w:val="32"/>
          <w:lang w:val="en-US" w:eastAsia="zh-CN"/>
        </w:rPr>
        <w:t>,</w:t>
      </w:r>
      <w:r>
        <w:rPr>
          <w:rFonts w:hint="eastAsia" w:ascii="仿宋_GB2312" w:eastAsia="仿宋_GB2312" w:cs="仿宋_GB2312"/>
          <w:sz w:val="32"/>
          <w:szCs w:val="32"/>
        </w:rPr>
        <w:t>本项目为20</w:t>
      </w:r>
      <w:r>
        <w:rPr>
          <w:rFonts w:hint="eastAsia" w:ascii="仿宋_GB2312" w:eastAsia="仿宋_GB2312" w:cs="仿宋_GB2312"/>
          <w:sz w:val="32"/>
          <w:szCs w:val="32"/>
          <w:lang w:val="en-US" w:eastAsia="zh-CN"/>
        </w:rPr>
        <w:t>23</w:t>
      </w:r>
      <w:r>
        <w:rPr>
          <w:rFonts w:hint="eastAsia" w:ascii="仿宋_GB2312" w:eastAsia="仿宋_GB2312" w:cs="仿宋_GB2312"/>
          <w:sz w:val="32"/>
          <w:szCs w:val="32"/>
        </w:rPr>
        <w:t>年度</w:t>
      </w:r>
      <w:r>
        <w:rPr>
          <w:rFonts w:hint="eastAsia" w:ascii="仿宋_GB2312" w:eastAsia="仿宋_GB2312" w:cs="仿宋_GB2312"/>
          <w:sz w:val="32"/>
          <w:szCs w:val="32"/>
          <w:lang w:val="en-US" w:eastAsia="zh-CN"/>
        </w:rPr>
        <w:t>延续</w:t>
      </w:r>
      <w:r>
        <w:rPr>
          <w:rFonts w:hint="eastAsia" w:ascii="仿宋_GB2312" w:eastAsia="仿宋_GB2312" w:cs="仿宋_GB2312"/>
          <w:sz w:val="32"/>
          <w:szCs w:val="32"/>
        </w:rPr>
        <w:t>项目，项目的全部经费为</w:t>
      </w:r>
      <w:r>
        <w:rPr>
          <w:rFonts w:hint="eastAsia" w:ascii="仿宋_GB2312" w:eastAsia="仿宋_GB2312" w:cs="仿宋_GB2312"/>
          <w:sz w:val="32"/>
          <w:szCs w:val="32"/>
          <w:lang w:eastAsia="zh-CN"/>
        </w:rPr>
        <w:t>地方</w:t>
      </w:r>
      <w:r>
        <w:rPr>
          <w:rFonts w:hint="eastAsia" w:ascii="仿宋_GB2312" w:eastAsia="仿宋_GB2312" w:cs="仿宋_GB2312"/>
          <w:sz w:val="32"/>
          <w:szCs w:val="32"/>
        </w:rPr>
        <w:t>财政预算经费，年初预算批复总额为</w:t>
      </w:r>
      <w:r>
        <w:rPr>
          <w:rFonts w:hint="eastAsia" w:ascii="仿宋_GB2312" w:eastAsia="仿宋_GB2312" w:cs="仿宋_GB2312"/>
          <w:sz w:val="32"/>
          <w:szCs w:val="32"/>
          <w:lang w:val="en-US" w:eastAsia="zh-CN"/>
        </w:rPr>
        <w:t>150</w:t>
      </w:r>
      <w:r>
        <w:rPr>
          <w:rFonts w:hint="eastAsia" w:ascii="仿宋_GB2312" w:eastAsia="仿宋_GB2312" w:cs="仿宋_GB2312"/>
          <w:sz w:val="32"/>
          <w:szCs w:val="32"/>
        </w:rPr>
        <w:t>万元</w:t>
      </w:r>
      <w:r>
        <w:rPr>
          <w:rFonts w:hint="eastAsia" w:ascii="仿宋_GB2312" w:eastAsia="仿宋_GB2312"/>
          <w:sz w:val="32"/>
          <w:szCs w:val="32"/>
          <w:lang w:val="en-US" w:eastAsia="zh-CN"/>
        </w:rPr>
        <w:t>，</w:t>
      </w:r>
      <w:r>
        <w:rPr>
          <w:rFonts w:hint="eastAsia" w:ascii="仿宋_GB2312" w:eastAsia="仿宋_GB2312"/>
          <w:sz w:val="32"/>
          <w:szCs w:val="32"/>
        </w:rPr>
        <w:t>主要</w:t>
      </w:r>
      <w:r>
        <w:rPr>
          <w:rFonts w:hint="eastAsia" w:ascii="仿宋_GB2312" w:eastAsia="仿宋_GB2312"/>
          <w:sz w:val="32"/>
          <w:szCs w:val="32"/>
          <w:lang w:val="en-US" w:eastAsia="zh-CN"/>
        </w:rPr>
        <w:t>用于消防员救援人员的每天执勤补助。执勤补助从省消防总队核准之日起，按实际参与执勤人数和天数计发，100元/人/天。</w:t>
      </w:r>
    </w:p>
    <w:p w14:paraId="2EC47E12">
      <w:pPr>
        <w:snapToGrid w:val="0"/>
        <w:spacing w:beforeLines="0" w:afterLines="0"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rPr>
        <w:t>建立健全政府专职消防队人员经费保障标准，确保与经济社会发展水平相适应。建立与消防救援职业高风险、高强度和24小时驻勤备战相适应的职业保障机制，确保专职消防员工资待遇与国家综合性消防救援队伍工资待遇标准相适应激发政府专职消防员的战斗力。有效保障政府专职消防队伍建设</w:t>
      </w:r>
      <w:r>
        <w:rPr>
          <w:rFonts w:hint="eastAsia" w:ascii="仿宋_GB2312" w:eastAsia="仿宋_GB2312"/>
          <w:sz w:val="32"/>
          <w:szCs w:val="32"/>
          <w:lang w:eastAsia="zh-CN"/>
        </w:rPr>
        <w:t>。</w:t>
      </w:r>
      <w:r>
        <w:rPr>
          <w:rFonts w:hint="eastAsia" w:ascii="仿宋_GB2312" w:eastAsia="仿宋_GB2312"/>
          <w:sz w:val="32"/>
          <w:szCs w:val="32"/>
        </w:rPr>
        <w:t>项目资金使用计划执行率达到了专款专用</w:t>
      </w:r>
      <w:r>
        <w:rPr>
          <w:rFonts w:hint="eastAsia" w:ascii="仿宋_GB2312" w:eastAsia="仿宋_GB2312"/>
          <w:sz w:val="32"/>
          <w:szCs w:val="32"/>
          <w:lang w:eastAsia="zh-CN"/>
        </w:rPr>
        <w:t>，</w:t>
      </w:r>
      <w:r>
        <w:rPr>
          <w:rFonts w:hint="eastAsia" w:ascii="仿宋_GB2312" w:eastAsia="仿宋_GB2312"/>
          <w:sz w:val="32"/>
          <w:szCs w:val="32"/>
          <w:lang w:val="en-US" w:eastAsia="zh-CN"/>
        </w:rPr>
        <w:t>资金100%到位，管理制度健全，资金使用合规，</w:t>
      </w:r>
      <w:r>
        <w:rPr>
          <w:rFonts w:hint="eastAsia" w:ascii="仿宋_GB2312" w:eastAsia="仿宋_GB2312"/>
          <w:sz w:val="32"/>
          <w:szCs w:val="32"/>
        </w:rPr>
        <w:t>稳定消防队伍军心，保持消防队伍战斗力</w:t>
      </w:r>
      <w:r>
        <w:rPr>
          <w:rFonts w:hint="eastAsia" w:ascii="仿宋_GB2312" w:eastAsia="仿宋_GB2312"/>
          <w:sz w:val="32"/>
          <w:szCs w:val="32"/>
          <w:lang w:eastAsia="zh-CN"/>
        </w:rPr>
        <w:t>，</w:t>
      </w:r>
      <w:r>
        <w:rPr>
          <w:rFonts w:hint="eastAsia" w:ascii="仿宋_GB2312" w:eastAsia="仿宋_GB2312"/>
          <w:sz w:val="32"/>
          <w:szCs w:val="32"/>
        </w:rPr>
        <w:t>补充消防指战员力量的不足</w:t>
      </w:r>
      <w:r>
        <w:rPr>
          <w:rFonts w:hint="eastAsia" w:ascii="仿宋_GB2312" w:eastAsia="仿宋_GB2312"/>
          <w:sz w:val="32"/>
          <w:szCs w:val="32"/>
          <w:lang w:val="en-US" w:eastAsia="zh-CN"/>
        </w:rPr>
        <w:t xml:space="preserve">。 </w:t>
      </w:r>
    </w:p>
    <w:p w14:paraId="3F2568AC">
      <w:pPr>
        <w:snapToGrid w:val="0"/>
        <w:spacing w:beforeLines="0" w:afterLines="0" w:line="360" w:lineRule="auto"/>
        <w:ind w:firstLine="640" w:firstLineChars="200"/>
        <w:rPr>
          <w:rFonts w:hint="eastAsia" w:ascii="仿宋_GB2312" w:eastAsia="仿宋_GB2312"/>
          <w:sz w:val="32"/>
          <w:szCs w:val="32"/>
        </w:rPr>
      </w:pPr>
    </w:p>
    <w:p w14:paraId="78E9ABD4">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二、自评情况</w:t>
      </w:r>
    </w:p>
    <w:p w14:paraId="051509B2">
      <w:pPr>
        <w:snapToGrid w:val="0"/>
        <w:spacing w:beforeLines="0" w:afterLines="0"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（一）自评</w:t>
      </w:r>
      <w:r>
        <w:rPr>
          <w:rFonts w:hint="eastAsia" w:ascii="仿宋_GB2312" w:eastAsia="仿宋_GB2312"/>
          <w:sz w:val="32"/>
          <w:szCs w:val="32"/>
          <w:lang w:eastAsia="zh-CN"/>
        </w:rPr>
        <w:t>结论、</w:t>
      </w:r>
      <w:r>
        <w:rPr>
          <w:rFonts w:hint="eastAsia" w:ascii="仿宋_GB2312" w:eastAsia="仿宋_GB2312"/>
          <w:sz w:val="32"/>
          <w:szCs w:val="32"/>
        </w:rPr>
        <w:t>分数</w:t>
      </w:r>
      <w:r>
        <w:rPr>
          <w:rFonts w:hint="eastAsia" w:ascii="仿宋_GB2312" w:eastAsia="仿宋_GB2312"/>
          <w:sz w:val="32"/>
          <w:szCs w:val="32"/>
          <w:lang w:eastAsia="zh-CN"/>
        </w:rPr>
        <w:t>、等级</w:t>
      </w:r>
    </w:p>
    <w:p w14:paraId="13AE027E">
      <w:pPr>
        <w:autoSpaceDE w:val="0"/>
        <w:autoSpaceDN w:val="0"/>
        <w:adjustRightInd w:val="0"/>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主要结论</w:t>
      </w:r>
    </w:p>
    <w:p w14:paraId="5E9670FC">
      <w:pPr>
        <w:spacing w:line="480" w:lineRule="auto"/>
        <w:ind w:firstLine="627" w:firstLineChars="19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通过对</w:t>
      </w:r>
      <w:r>
        <w:rPr>
          <w:rFonts w:hint="eastAsia" w:ascii="仿宋_GB2312" w:eastAsia="仿宋_GB2312"/>
          <w:sz w:val="32"/>
          <w:szCs w:val="32"/>
          <w:lang w:val="en-US" w:eastAsia="zh-CN"/>
        </w:rPr>
        <w:t>专职消防员人员经费</w:t>
      </w:r>
      <w:r>
        <w:rPr>
          <w:rFonts w:hint="eastAsia" w:ascii="仿宋_GB2312" w:hAnsi="仿宋_GB2312" w:eastAsia="仿宋_GB2312" w:cs="仿宋_GB2312"/>
          <w:sz w:val="32"/>
          <w:szCs w:val="32"/>
          <w:lang w:eastAsia="zh-CN"/>
        </w:rPr>
        <w:t>项目在项目决策、项目管理、项目绩效等方面的综合评价，得出如下结论：</w:t>
      </w:r>
    </w:p>
    <w:p w14:paraId="0C7C6CDC">
      <w:pPr>
        <w:spacing w:line="480" w:lineRule="auto"/>
        <w:ind w:firstLine="627" w:firstLineChars="19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项目资金能严格按照《财政部关于印发&lt;地方消防经费管理办法&gt;的通知》（财防〔2016〕336 号）规定的范围使用，支出一率规范充分、审批手续完善、不存在虚列项目指出的情况；不存在截留、挪用、超标准开支项目资金的情况。</w:t>
      </w:r>
    </w:p>
    <w:p w14:paraId="7DFC5E87">
      <w:pPr>
        <w:spacing w:line="480" w:lineRule="auto"/>
        <w:ind w:firstLine="627" w:firstLineChars="19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通过贯彻落实《韶关市政府专职消防员管理规定》，严格按规定对受聘的政府专职消防员进行培训，管理，使其快速了适应岗位要求，成为我县消防力量的重要补充。</w:t>
      </w:r>
    </w:p>
    <w:p w14:paraId="591E2B6A">
      <w:pPr>
        <w:autoSpaceDE w:val="0"/>
        <w:autoSpaceDN w:val="0"/>
        <w:adjustRightInd w:val="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评分结果</w:t>
      </w:r>
    </w:p>
    <w:p w14:paraId="2D049644">
      <w:pPr>
        <w:spacing w:line="48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仁化</w:t>
      </w:r>
      <w:r>
        <w:rPr>
          <w:rFonts w:hint="eastAsia" w:ascii="仿宋_GB2312" w:hAnsi="仿宋_GB2312" w:eastAsia="仿宋_GB2312" w:cs="仿宋_GB2312"/>
          <w:sz w:val="32"/>
          <w:szCs w:val="32"/>
          <w:lang w:eastAsia="zh-CN"/>
        </w:rPr>
        <w:t>县消防救援</w:t>
      </w:r>
      <w:r>
        <w:rPr>
          <w:rFonts w:hint="eastAsia" w:ascii="仿宋_GB2312" w:hAnsi="仿宋_GB2312" w:eastAsia="仿宋_GB2312" w:cs="仿宋_GB2312"/>
          <w:sz w:val="32"/>
          <w:szCs w:val="32"/>
        </w:rPr>
        <w:t>大队</w:t>
      </w:r>
      <w:r>
        <w:rPr>
          <w:rFonts w:hint="eastAsia" w:ascii="仿宋_GB2312" w:hAnsi="仿宋_GB2312" w:eastAsia="仿宋_GB2312" w:cs="仿宋_GB2312"/>
          <w:sz w:val="32"/>
          <w:szCs w:val="32"/>
          <w:lang w:val="en-US" w:eastAsia="zh-CN"/>
        </w:rPr>
        <w:t>专职消防员每日执勤补助</w:t>
      </w:r>
      <w:r>
        <w:rPr>
          <w:rFonts w:hint="eastAsia" w:ascii="仿宋_GB2312" w:hAnsi="仿宋_GB2312" w:eastAsia="仿宋_GB2312" w:cs="仿宋_GB2312"/>
          <w:sz w:val="32"/>
          <w:szCs w:val="32"/>
        </w:rPr>
        <w:t>经费项目自评等级为</w:t>
      </w:r>
      <w:r>
        <w:rPr>
          <w:rFonts w:hint="eastAsia" w:ascii="仿宋_GB2312" w:hAnsi="仿宋_GB2312" w:eastAsia="仿宋_GB2312" w:cs="仿宋_GB2312"/>
          <w:sz w:val="32"/>
          <w:szCs w:val="32"/>
          <w:lang w:val="en-US" w:eastAsia="zh-CN"/>
        </w:rPr>
        <w:t>优</w:t>
      </w:r>
      <w:r>
        <w:rPr>
          <w:rFonts w:hint="eastAsia" w:ascii="仿宋_GB2312" w:hAnsi="仿宋_GB2312" w:eastAsia="仿宋_GB2312" w:cs="仿宋_GB2312"/>
          <w:sz w:val="32"/>
          <w:szCs w:val="32"/>
        </w:rPr>
        <w:t>，自评分数</w:t>
      </w:r>
      <w:r>
        <w:rPr>
          <w:rFonts w:hint="eastAsia" w:ascii="仿宋_GB2312" w:hAnsi="仿宋_GB2312" w:eastAsia="仿宋_GB2312" w:cs="仿宋_GB2312"/>
          <w:sz w:val="32"/>
          <w:szCs w:val="32"/>
          <w:lang w:val="en-US" w:eastAsia="zh-CN"/>
        </w:rPr>
        <w:t>96.5</w:t>
      </w:r>
      <w:r>
        <w:rPr>
          <w:rFonts w:hint="eastAsia" w:ascii="仿宋_GB2312" w:hAnsi="仿宋_GB2312" w:eastAsia="仿宋_GB2312" w:cs="仿宋_GB2312"/>
          <w:sz w:val="32"/>
          <w:szCs w:val="32"/>
        </w:rPr>
        <w:t>分。</w:t>
      </w:r>
    </w:p>
    <w:p w14:paraId="3D857510">
      <w:pPr>
        <w:snapToGrid w:val="0"/>
        <w:spacing w:beforeLines="0" w:afterLines="0" w:line="360" w:lineRule="auto"/>
        <w:rPr>
          <w:rFonts w:hint="eastAsia" w:ascii="仿宋_GB2312" w:eastAsia="仿宋_GB2312"/>
          <w:sz w:val="32"/>
          <w:szCs w:val="32"/>
          <w:lang w:eastAsia="zh-CN"/>
        </w:rPr>
      </w:pPr>
    </w:p>
    <w:p w14:paraId="710D217A">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（二）资金使用绩效</w:t>
      </w:r>
    </w:p>
    <w:p w14:paraId="298179F7">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 xml:space="preserve">  1.资金支出情况。</w:t>
      </w:r>
    </w:p>
    <w:p w14:paraId="2CFB8676">
      <w:pPr>
        <w:snapToGrid w:val="0"/>
        <w:spacing w:beforeLines="0" w:afterLines="0" w:line="360" w:lineRule="auto"/>
        <w:ind w:firstLine="640" w:firstLineChars="200"/>
        <w:rPr>
          <w:rFonts w:hint="eastAsia" w:ascii="仿宋_GB2312" w:eastAsia="仿宋_GB2312" w:cs="仿宋_GB2312"/>
          <w:sz w:val="32"/>
          <w:szCs w:val="32"/>
        </w:rPr>
      </w:pPr>
      <w:r>
        <w:rPr>
          <w:rFonts w:hint="eastAsia" w:ascii="仿宋_GB2312" w:eastAsia="仿宋_GB2312"/>
          <w:sz w:val="32"/>
          <w:szCs w:val="32"/>
        </w:rPr>
        <w:t>项目资金使用计划执行率达到了专款专用</w:t>
      </w:r>
      <w:r>
        <w:rPr>
          <w:rFonts w:hint="eastAsia" w:ascii="仿宋_GB2312" w:eastAsia="仿宋_GB2312"/>
          <w:sz w:val="32"/>
          <w:szCs w:val="32"/>
          <w:lang w:eastAsia="zh-CN"/>
        </w:rPr>
        <w:t>，</w:t>
      </w:r>
      <w:r>
        <w:rPr>
          <w:rFonts w:hint="eastAsia" w:ascii="仿宋_GB2312" w:eastAsia="仿宋_GB2312"/>
          <w:sz w:val="32"/>
          <w:szCs w:val="32"/>
          <w:lang w:val="en-US" w:eastAsia="zh-CN"/>
        </w:rPr>
        <w:t>资金100%到位</w:t>
      </w:r>
      <w:r>
        <w:rPr>
          <w:rFonts w:hint="eastAsia" w:ascii="仿宋_GB2312" w:eastAsia="仿宋_GB2312"/>
          <w:sz w:val="32"/>
          <w:szCs w:val="32"/>
          <w:lang w:eastAsia="zh-CN"/>
        </w:rPr>
        <w:t>。</w:t>
      </w:r>
      <w:r>
        <w:rPr>
          <w:rFonts w:hint="eastAsia" w:ascii="仿宋_GB2312" w:eastAsia="仿宋_GB2312" w:cs="仿宋_GB2312"/>
          <w:sz w:val="32"/>
          <w:szCs w:val="32"/>
        </w:rPr>
        <w:t>支出情况详见表1：</w:t>
      </w:r>
    </w:p>
    <w:p w14:paraId="2E62C498">
      <w:pPr>
        <w:numPr>
          <w:ilvl w:val="255"/>
          <w:numId w:val="0"/>
        </w:numPr>
        <w:spacing w:line="360" w:lineRule="auto"/>
        <w:ind w:firstLine="482" w:firstLineChars="200"/>
        <w:jc w:val="center"/>
        <w:rPr>
          <w:rFonts w:ascii="仿宋_GB2312" w:eastAsia="仿宋_GB2312" w:cs="仿宋_GB2312"/>
          <w:b/>
          <w:bCs/>
          <w:sz w:val="24"/>
          <w:szCs w:val="24"/>
        </w:rPr>
      </w:pPr>
      <w:r>
        <w:rPr>
          <w:rFonts w:hint="eastAsia" w:ascii="仿宋_GB2312" w:eastAsia="仿宋_GB2312" w:cs="仿宋_GB2312"/>
          <w:b/>
          <w:bCs/>
          <w:sz w:val="24"/>
          <w:szCs w:val="24"/>
        </w:rPr>
        <w:t>表1：项目资金执行情况统计表</w:t>
      </w:r>
    </w:p>
    <w:p w14:paraId="0E331AB4">
      <w:pPr>
        <w:numPr>
          <w:ilvl w:val="255"/>
          <w:numId w:val="0"/>
        </w:numPr>
        <w:spacing w:line="360" w:lineRule="auto"/>
        <w:ind w:right="120" w:firstLine="482" w:firstLineChars="200"/>
        <w:jc w:val="right"/>
        <w:rPr>
          <w:rFonts w:ascii="仿宋_GB2312" w:eastAsia="仿宋_GB2312" w:cs="仿宋_GB2312"/>
          <w:b/>
          <w:bCs/>
          <w:sz w:val="24"/>
          <w:szCs w:val="24"/>
        </w:rPr>
      </w:pPr>
      <w:r>
        <w:rPr>
          <w:rFonts w:hint="eastAsia" w:ascii="仿宋_GB2312" w:eastAsia="仿宋_GB2312" w:cs="仿宋_GB2312"/>
          <w:b/>
          <w:bCs/>
          <w:sz w:val="24"/>
          <w:szCs w:val="24"/>
        </w:rPr>
        <w:t>单位：万元</w:t>
      </w:r>
    </w:p>
    <w:tbl>
      <w:tblPr>
        <w:tblStyle w:val="6"/>
        <w:tblW w:w="8208" w:type="dxa"/>
        <w:tblInd w:w="108" w:type="dxa"/>
        <w:tblLayout w:type="fixed"/>
        <w:tblCellMar>
          <w:top w:w="0" w:type="dxa"/>
          <w:left w:w="108" w:type="dxa"/>
          <w:bottom w:w="0" w:type="dxa"/>
          <w:right w:w="108" w:type="dxa"/>
        </w:tblCellMar>
      </w:tblPr>
      <w:tblGrid>
        <w:gridCol w:w="559"/>
        <w:gridCol w:w="1378"/>
        <w:gridCol w:w="2291"/>
        <w:gridCol w:w="791"/>
        <w:gridCol w:w="861"/>
        <w:gridCol w:w="1200"/>
        <w:gridCol w:w="1128"/>
      </w:tblGrid>
      <w:tr w14:paraId="036794E7">
        <w:tblPrEx>
          <w:tblCellMar>
            <w:top w:w="0" w:type="dxa"/>
            <w:left w:w="108" w:type="dxa"/>
            <w:bottom w:w="0" w:type="dxa"/>
            <w:right w:w="108" w:type="dxa"/>
          </w:tblCellMar>
        </w:tblPrEx>
        <w:trPr>
          <w:trHeight w:val="916" w:hRule="atLeast"/>
        </w:trPr>
        <w:tc>
          <w:tcPr>
            <w:tcW w:w="559" w:type="dxa"/>
            <w:tcBorders>
              <w:top w:val="single" w:color="auto" w:sz="4" w:space="0"/>
              <w:left w:val="single" w:color="auto" w:sz="4" w:space="0"/>
              <w:bottom w:val="single" w:color="auto" w:sz="4" w:space="0"/>
              <w:right w:val="single" w:color="auto" w:sz="4" w:space="0"/>
            </w:tcBorders>
            <w:shd w:val="clear" w:color="auto" w:fill="auto"/>
            <w:vAlign w:val="center"/>
          </w:tcPr>
          <w:p w14:paraId="417F7E4B">
            <w:pPr>
              <w:widowControl/>
              <w:spacing w:line="360" w:lineRule="auto"/>
              <w:jc w:val="center"/>
              <w:rPr>
                <w:rFonts w:ascii="仿宋_GB2312" w:hAnsi="等线" w:eastAsia="仿宋_GB2312" w:cs="宋体"/>
                <w:b/>
                <w:bCs/>
                <w:kern w:val="0"/>
                <w:sz w:val="18"/>
                <w:szCs w:val="18"/>
              </w:rPr>
            </w:pPr>
            <w:r>
              <w:rPr>
                <w:rFonts w:hint="eastAsia" w:ascii="仿宋_GB2312" w:hAnsi="等线" w:eastAsia="仿宋_GB2312" w:cs="宋体"/>
                <w:b/>
                <w:bCs/>
                <w:kern w:val="0"/>
                <w:sz w:val="18"/>
                <w:szCs w:val="18"/>
              </w:rPr>
              <w:t>序号</w:t>
            </w:r>
          </w:p>
        </w:tc>
        <w:tc>
          <w:tcPr>
            <w:tcW w:w="1378" w:type="dxa"/>
            <w:tcBorders>
              <w:top w:val="single" w:color="auto" w:sz="4" w:space="0"/>
              <w:left w:val="nil"/>
              <w:bottom w:val="single" w:color="auto" w:sz="4" w:space="0"/>
              <w:right w:val="single" w:color="auto" w:sz="4" w:space="0"/>
            </w:tcBorders>
            <w:shd w:val="clear" w:color="auto" w:fill="auto"/>
            <w:vAlign w:val="center"/>
          </w:tcPr>
          <w:p w14:paraId="76156C84">
            <w:pPr>
              <w:widowControl/>
              <w:spacing w:line="360" w:lineRule="auto"/>
              <w:jc w:val="center"/>
              <w:rPr>
                <w:rFonts w:ascii="仿宋_GB2312" w:hAnsi="等线" w:eastAsia="仿宋_GB2312" w:cs="宋体"/>
                <w:b/>
                <w:bCs/>
                <w:kern w:val="0"/>
                <w:sz w:val="18"/>
                <w:szCs w:val="18"/>
              </w:rPr>
            </w:pPr>
            <w:r>
              <w:rPr>
                <w:rFonts w:hint="eastAsia" w:ascii="仿宋_GB2312" w:hAnsi="等线" w:eastAsia="仿宋_GB2312" w:cs="宋体"/>
                <w:b/>
                <w:bCs/>
                <w:kern w:val="0"/>
                <w:sz w:val="18"/>
                <w:szCs w:val="18"/>
              </w:rPr>
              <w:t>一级项目名称</w:t>
            </w:r>
          </w:p>
        </w:tc>
        <w:tc>
          <w:tcPr>
            <w:tcW w:w="2291" w:type="dxa"/>
            <w:tcBorders>
              <w:top w:val="single" w:color="auto" w:sz="4" w:space="0"/>
              <w:left w:val="nil"/>
              <w:bottom w:val="single" w:color="auto" w:sz="4" w:space="0"/>
              <w:right w:val="single" w:color="auto" w:sz="4" w:space="0"/>
            </w:tcBorders>
            <w:shd w:val="clear" w:color="auto" w:fill="auto"/>
            <w:vAlign w:val="center"/>
          </w:tcPr>
          <w:p w14:paraId="4C7954A8">
            <w:pPr>
              <w:widowControl/>
              <w:spacing w:line="360" w:lineRule="auto"/>
              <w:jc w:val="center"/>
              <w:rPr>
                <w:rFonts w:ascii="仿宋_GB2312" w:hAnsi="等线" w:eastAsia="仿宋_GB2312" w:cs="宋体"/>
                <w:b/>
                <w:bCs/>
                <w:kern w:val="0"/>
                <w:sz w:val="18"/>
                <w:szCs w:val="18"/>
              </w:rPr>
            </w:pPr>
            <w:r>
              <w:rPr>
                <w:rFonts w:hint="eastAsia" w:ascii="仿宋_GB2312" w:hAnsi="等线" w:eastAsia="仿宋_GB2312" w:cs="宋体"/>
                <w:b/>
                <w:bCs/>
                <w:kern w:val="0"/>
                <w:sz w:val="18"/>
                <w:szCs w:val="18"/>
              </w:rPr>
              <w:t>二级项目名称</w:t>
            </w:r>
          </w:p>
        </w:tc>
        <w:tc>
          <w:tcPr>
            <w:tcW w:w="791" w:type="dxa"/>
            <w:tcBorders>
              <w:top w:val="single" w:color="auto" w:sz="4" w:space="0"/>
              <w:left w:val="nil"/>
              <w:bottom w:val="single" w:color="auto" w:sz="4" w:space="0"/>
              <w:right w:val="single" w:color="auto" w:sz="4" w:space="0"/>
            </w:tcBorders>
            <w:shd w:val="clear" w:color="auto" w:fill="auto"/>
            <w:vAlign w:val="center"/>
          </w:tcPr>
          <w:p w14:paraId="5CAAE758">
            <w:pPr>
              <w:widowControl/>
              <w:spacing w:line="360" w:lineRule="auto"/>
              <w:jc w:val="center"/>
              <w:rPr>
                <w:rFonts w:ascii="仿宋_GB2312" w:hAnsi="等线" w:eastAsia="仿宋_GB2312" w:cs="宋体"/>
                <w:b/>
                <w:bCs/>
                <w:kern w:val="0"/>
                <w:sz w:val="18"/>
                <w:szCs w:val="18"/>
              </w:rPr>
            </w:pPr>
            <w:r>
              <w:rPr>
                <w:rFonts w:hint="eastAsia" w:ascii="仿宋_GB2312" w:hAnsi="等线" w:eastAsia="仿宋_GB2312" w:cs="宋体"/>
                <w:b/>
                <w:bCs/>
                <w:kern w:val="0"/>
                <w:sz w:val="18"/>
                <w:szCs w:val="18"/>
              </w:rPr>
              <w:t>年初预算数</w:t>
            </w:r>
          </w:p>
        </w:tc>
        <w:tc>
          <w:tcPr>
            <w:tcW w:w="861" w:type="dxa"/>
            <w:tcBorders>
              <w:top w:val="single" w:color="auto" w:sz="4" w:space="0"/>
              <w:left w:val="nil"/>
              <w:bottom w:val="single" w:color="auto" w:sz="4" w:space="0"/>
              <w:right w:val="single" w:color="auto" w:sz="4" w:space="0"/>
            </w:tcBorders>
            <w:shd w:val="clear" w:color="auto" w:fill="auto"/>
            <w:vAlign w:val="center"/>
          </w:tcPr>
          <w:p w14:paraId="029BEF3A">
            <w:pPr>
              <w:widowControl/>
              <w:spacing w:line="360" w:lineRule="auto"/>
              <w:jc w:val="center"/>
              <w:rPr>
                <w:rFonts w:hint="eastAsia" w:ascii="仿宋_GB2312" w:hAnsi="等线" w:eastAsia="仿宋_GB2312" w:cs="宋体"/>
                <w:b/>
                <w:bCs/>
                <w:kern w:val="0"/>
                <w:sz w:val="18"/>
                <w:szCs w:val="18"/>
                <w:lang w:eastAsia="zh-CN"/>
              </w:rPr>
            </w:pPr>
            <w:r>
              <w:rPr>
                <w:rFonts w:hint="eastAsia" w:ascii="仿宋_GB2312" w:hAnsi="等线" w:eastAsia="仿宋_GB2312" w:cs="宋体"/>
                <w:b/>
                <w:bCs/>
                <w:kern w:val="0"/>
                <w:sz w:val="18"/>
                <w:szCs w:val="18"/>
                <w:lang w:eastAsia="zh-CN"/>
              </w:rPr>
              <w:t>全年预算数</w:t>
            </w:r>
          </w:p>
        </w:tc>
        <w:tc>
          <w:tcPr>
            <w:tcW w:w="1200" w:type="dxa"/>
            <w:tcBorders>
              <w:top w:val="single" w:color="auto" w:sz="4" w:space="0"/>
              <w:left w:val="nil"/>
              <w:bottom w:val="single" w:color="auto" w:sz="4" w:space="0"/>
              <w:right w:val="single" w:color="auto" w:sz="4" w:space="0"/>
            </w:tcBorders>
            <w:shd w:val="clear" w:color="auto" w:fill="auto"/>
            <w:vAlign w:val="center"/>
          </w:tcPr>
          <w:p w14:paraId="73ECE562">
            <w:pPr>
              <w:widowControl/>
              <w:spacing w:line="360" w:lineRule="auto"/>
              <w:jc w:val="center"/>
              <w:rPr>
                <w:rFonts w:hint="eastAsia" w:ascii="仿宋_GB2312" w:hAnsi="等线" w:eastAsia="仿宋_GB2312" w:cs="宋体"/>
                <w:b/>
                <w:bCs/>
                <w:kern w:val="0"/>
                <w:sz w:val="18"/>
                <w:szCs w:val="18"/>
                <w:lang w:eastAsia="zh-CN"/>
              </w:rPr>
            </w:pPr>
            <w:r>
              <w:rPr>
                <w:rFonts w:hint="eastAsia" w:ascii="仿宋_GB2312" w:hAnsi="等线" w:eastAsia="仿宋_GB2312" w:cs="宋体"/>
                <w:b/>
                <w:bCs/>
                <w:kern w:val="0"/>
                <w:sz w:val="18"/>
                <w:szCs w:val="18"/>
                <w:lang w:eastAsia="zh-CN"/>
              </w:rPr>
              <w:t>全年执行数</w:t>
            </w:r>
          </w:p>
        </w:tc>
        <w:tc>
          <w:tcPr>
            <w:tcW w:w="1128" w:type="dxa"/>
            <w:tcBorders>
              <w:top w:val="single" w:color="auto" w:sz="4" w:space="0"/>
              <w:left w:val="nil"/>
              <w:bottom w:val="single" w:color="auto" w:sz="4" w:space="0"/>
              <w:right w:val="single" w:color="auto" w:sz="4" w:space="0"/>
            </w:tcBorders>
            <w:vAlign w:val="center"/>
          </w:tcPr>
          <w:p w14:paraId="46666427">
            <w:pPr>
              <w:widowControl/>
              <w:spacing w:line="360" w:lineRule="auto"/>
              <w:jc w:val="center"/>
              <w:rPr>
                <w:rFonts w:ascii="仿宋_GB2312" w:hAnsi="等线" w:eastAsia="仿宋_GB2312" w:cs="宋体"/>
                <w:b/>
                <w:bCs/>
                <w:kern w:val="0"/>
                <w:sz w:val="18"/>
                <w:szCs w:val="18"/>
              </w:rPr>
            </w:pPr>
            <w:r>
              <w:rPr>
                <w:rFonts w:hint="eastAsia" w:ascii="仿宋_GB2312" w:hAnsi="等线" w:eastAsia="仿宋_GB2312" w:cs="宋体"/>
                <w:b/>
                <w:bCs/>
                <w:kern w:val="0"/>
                <w:sz w:val="18"/>
                <w:szCs w:val="18"/>
              </w:rPr>
              <w:t>预算执行率</w:t>
            </w:r>
          </w:p>
        </w:tc>
      </w:tr>
      <w:tr w14:paraId="5613F78F">
        <w:tblPrEx>
          <w:tblCellMar>
            <w:top w:w="0" w:type="dxa"/>
            <w:left w:w="108" w:type="dxa"/>
            <w:bottom w:w="0" w:type="dxa"/>
            <w:right w:w="108" w:type="dxa"/>
          </w:tblCellMar>
        </w:tblPrEx>
        <w:trPr>
          <w:trHeight w:val="1226" w:hRule="atLeast"/>
        </w:trPr>
        <w:tc>
          <w:tcPr>
            <w:tcW w:w="559" w:type="dxa"/>
            <w:tcBorders>
              <w:top w:val="nil"/>
              <w:left w:val="single" w:color="auto" w:sz="4" w:space="0"/>
              <w:bottom w:val="single" w:color="auto" w:sz="4" w:space="0"/>
              <w:right w:val="single" w:color="auto" w:sz="4" w:space="0"/>
            </w:tcBorders>
            <w:shd w:val="clear" w:color="auto" w:fill="auto"/>
            <w:vAlign w:val="center"/>
          </w:tcPr>
          <w:p w14:paraId="59DCCB06">
            <w:pPr>
              <w:widowControl/>
              <w:spacing w:line="360" w:lineRule="auto"/>
              <w:jc w:val="center"/>
              <w:rPr>
                <w:rFonts w:ascii="仿宋_GB2312" w:hAnsi="等线" w:eastAsia="仿宋_GB2312" w:cs="宋体"/>
                <w:kern w:val="0"/>
                <w:sz w:val="18"/>
                <w:szCs w:val="18"/>
              </w:rPr>
            </w:pPr>
            <w:r>
              <w:rPr>
                <w:rFonts w:hint="eastAsia" w:ascii="仿宋_GB2312" w:hAnsi="等线" w:eastAsia="仿宋_GB2312" w:cs="宋体"/>
                <w:kern w:val="0"/>
                <w:sz w:val="18"/>
                <w:szCs w:val="18"/>
              </w:rPr>
              <w:t>1</w:t>
            </w:r>
          </w:p>
        </w:tc>
        <w:tc>
          <w:tcPr>
            <w:tcW w:w="1378" w:type="dxa"/>
            <w:tcBorders>
              <w:top w:val="nil"/>
              <w:left w:val="nil"/>
              <w:bottom w:val="single" w:color="auto" w:sz="4" w:space="0"/>
              <w:right w:val="single" w:color="auto" w:sz="4" w:space="0"/>
            </w:tcBorders>
            <w:shd w:val="clear" w:color="auto" w:fill="auto"/>
            <w:vAlign w:val="center"/>
          </w:tcPr>
          <w:p w14:paraId="1C35D285">
            <w:pPr>
              <w:widowControl/>
              <w:spacing w:line="360" w:lineRule="auto"/>
              <w:jc w:val="center"/>
              <w:rPr>
                <w:rFonts w:hint="default" w:ascii="仿宋_GB2312" w:hAnsi="等线" w:eastAsia="仿宋_GB2312" w:cs="宋体"/>
                <w:kern w:val="0"/>
                <w:sz w:val="18"/>
                <w:szCs w:val="18"/>
                <w:lang w:val="en-US" w:eastAsia="zh-CN"/>
              </w:rPr>
            </w:pPr>
            <w:r>
              <w:rPr>
                <w:rFonts w:hint="eastAsia" w:ascii="仿宋_GB2312" w:hAnsi="等线" w:eastAsia="仿宋_GB2312" w:cs="宋体"/>
                <w:kern w:val="0"/>
                <w:sz w:val="18"/>
                <w:szCs w:val="18"/>
                <w:lang w:val="en-US" w:eastAsia="zh-CN"/>
              </w:rPr>
              <w:t>消防救援（消防业务费）</w:t>
            </w:r>
          </w:p>
        </w:tc>
        <w:tc>
          <w:tcPr>
            <w:tcW w:w="2291" w:type="dxa"/>
            <w:tcBorders>
              <w:top w:val="nil"/>
              <w:left w:val="nil"/>
              <w:bottom w:val="single" w:color="auto" w:sz="4" w:space="0"/>
              <w:right w:val="single" w:color="auto" w:sz="4" w:space="0"/>
            </w:tcBorders>
            <w:shd w:val="clear" w:color="auto" w:fill="auto"/>
            <w:vAlign w:val="center"/>
          </w:tcPr>
          <w:p w14:paraId="142F05C7">
            <w:pPr>
              <w:widowControl/>
              <w:spacing w:line="360" w:lineRule="auto"/>
              <w:jc w:val="center"/>
              <w:rPr>
                <w:rFonts w:hint="default" w:ascii="仿宋_GB2312" w:hAnsi="等线" w:eastAsia="仿宋_GB2312" w:cs="宋体"/>
                <w:kern w:val="0"/>
                <w:sz w:val="18"/>
                <w:szCs w:val="18"/>
                <w:lang w:val="en-US" w:eastAsia="zh-CN"/>
              </w:rPr>
            </w:pPr>
            <w:r>
              <w:rPr>
                <w:rFonts w:hint="eastAsia" w:ascii="仿宋_GB2312" w:hAnsi="等线" w:eastAsia="仿宋_GB2312" w:cs="宋体"/>
                <w:kern w:val="0"/>
                <w:sz w:val="18"/>
                <w:szCs w:val="18"/>
                <w:lang w:val="en-US" w:eastAsia="zh-CN"/>
              </w:rPr>
              <w:t>专职消防员每日执勤补助</w:t>
            </w:r>
          </w:p>
        </w:tc>
        <w:tc>
          <w:tcPr>
            <w:tcW w:w="791" w:type="dxa"/>
            <w:tcBorders>
              <w:top w:val="nil"/>
              <w:left w:val="nil"/>
              <w:bottom w:val="single" w:color="auto" w:sz="4" w:space="0"/>
              <w:right w:val="single" w:color="auto" w:sz="4" w:space="0"/>
            </w:tcBorders>
            <w:shd w:val="clear" w:color="auto" w:fill="auto"/>
            <w:vAlign w:val="center"/>
          </w:tcPr>
          <w:p w14:paraId="1636C0C9">
            <w:pPr>
              <w:widowControl/>
              <w:spacing w:line="360" w:lineRule="auto"/>
              <w:jc w:val="center"/>
              <w:rPr>
                <w:rFonts w:hint="default" w:ascii="仿宋_GB2312" w:hAnsi="等线" w:eastAsia="仿宋_GB2312" w:cs="宋体"/>
                <w:kern w:val="0"/>
                <w:sz w:val="18"/>
                <w:szCs w:val="18"/>
                <w:lang w:val="en-US" w:eastAsia="zh-CN"/>
              </w:rPr>
            </w:pPr>
            <w:r>
              <w:rPr>
                <w:rFonts w:hint="eastAsia" w:ascii="仿宋_GB2312" w:hAnsi="等线" w:eastAsia="仿宋_GB2312" w:cs="宋体"/>
                <w:kern w:val="0"/>
                <w:sz w:val="18"/>
                <w:szCs w:val="18"/>
                <w:lang w:val="en-US" w:eastAsia="zh-CN"/>
              </w:rPr>
              <w:t>150</w:t>
            </w:r>
          </w:p>
        </w:tc>
        <w:tc>
          <w:tcPr>
            <w:tcW w:w="861" w:type="dxa"/>
            <w:tcBorders>
              <w:top w:val="nil"/>
              <w:left w:val="nil"/>
              <w:bottom w:val="single" w:color="auto" w:sz="4" w:space="0"/>
              <w:right w:val="single" w:color="auto" w:sz="4" w:space="0"/>
            </w:tcBorders>
            <w:shd w:val="clear" w:color="auto" w:fill="auto"/>
            <w:vAlign w:val="center"/>
          </w:tcPr>
          <w:p w14:paraId="14B5C2B2">
            <w:pPr>
              <w:widowControl/>
              <w:spacing w:line="360" w:lineRule="auto"/>
              <w:jc w:val="center"/>
              <w:rPr>
                <w:rFonts w:hint="default" w:ascii="仿宋_GB2312" w:hAnsi="等线" w:eastAsia="仿宋_GB2312" w:cs="宋体"/>
                <w:kern w:val="0"/>
                <w:sz w:val="18"/>
                <w:szCs w:val="18"/>
                <w:lang w:val="en-US" w:eastAsia="zh-CN"/>
              </w:rPr>
            </w:pPr>
            <w:r>
              <w:rPr>
                <w:rFonts w:hint="eastAsia" w:ascii="仿宋_GB2312" w:hAnsi="等线" w:eastAsia="仿宋_GB2312" w:cs="宋体"/>
                <w:kern w:val="0"/>
                <w:sz w:val="18"/>
                <w:szCs w:val="18"/>
                <w:lang w:val="en-US" w:eastAsia="zh-CN"/>
              </w:rPr>
              <w:t>150</w:t>
            </w:r>
          </w:p>
        </w:tc>
        <w:tc>
          <w:tcPr>
            <w:tcW w:w="1200" w:type="dxa"/>
            <w:tcBorders>
              <w:top w:val="nil"/>
              <w:left w:val="nil"/>
              <w:bottom w:val="single" w:color="auto" w:sz="4" w:space="0"/>
              <w:right w:val="single" w:color="auto" w:sz="4" w:space="0"/>
            </w:tcBorders>
            <w:shd w:val="clear" w:color="auto" w:fill="auto"/>
            <w:vAlign w:val="center"/>
          </w:tcPr>
          <w:p w14:paraId="541B9267">
            <w:pPr>
              <w:widowControl/>
              <w:spacing w:line="360" w:lineRule="auto"/>
              <w:jc w:val="center"/>
              <w:rPr>
                <w:rFonts w:hint="default" w:ascii="仿宋_GB2312" w:hAnsi="等线" w:eastAsia="仿宋_GB2312" w:cs="宋体"/>
                <w:kern w:val="0"/>
                <w:sz w:val="18"/>
                <w:szCs w:val="18"/>
                <w:lang w:val="en-US" w:eastAsia="zh-CN"/>
              </w:rPr>
            </w:pPr>
            <w:r>
              <w:rPr>
                <w:rFonts w:hint="eastAsia" w:ascii="仿宋_GB2312" w:hAnsi="等线" w:eastAsia="仿宋_GB2312" w:cs="宋体"/>
                <w:kern w:val="0"/>
                <w:sz w:val="18"/>
                <w:szCs w:val="18"/>
                <w:lang w:val="en-US" w:eastAsia="zh-CN"/>
              </w:rPr>
              <w:t>150</w:t>
            </w:r>
          </w:p>
        </w:tc>
        <w:tc>
          <w:tcPr>
            <w:tcW w:w="1128" w:type="dxa"/>
            <w:tcBorders>
              <w:top w:val="nil"/>
              <w:left w:val="nil"/>
              <w:bottom w:val="single" w:color="auto" w:sz="4" w:space="0"/>
              <w:right w:val="single" w:color="auto" w:sz="4" w:space="0"/>
            </w:tcBorders>
            <w:vAlign w:val="center"/>
          </w:tcPr>
          <w:p w14:paraId="26AE4E4B">
            <w:pPr>
              <w:widowControl/>
              <w:spacing w:line="360" w:lineRule="auto"/>
              <w:jc w:val="center"/>
              <w:rPr>
                <w:rFonts w:hint="default" w:ascii="仿宋_GB2312" w:hAnsi="等线" w:eastAsia="仿宋_GB2312" w:cs="宋体"/>
                <w:kern w:val="0"/>
                <w:sz w:val="18"/>
                <w:szCs w:val="18"/>
                <w:lang w:val="en-US"/>
              </w:rPr>
            </w:pPr>
            <w:r>
              <w:rPr>
                <w:rFonts w:hint="eastAsia" w:ascii="仿宋_GB2312" w:hAnsi="等线" w:eastAsia="仿宋_GB2312" w:cs="宋体"/>
                <w:kern w:val="0"/>
                <w:sz w:val="18"/>
                <w:szCs w:val="18"/>
                <w:lang w:val="en-US" w:eastAsia="zh-CN"/>
              </w:rPr>
              <w:t>100%</w:t>
            </w:r>
          </w:p>
        </w:tc>
      </w:tr>
    </w:tbl>
    <w:p w14:paraId="21982A49">
      <w:pPr>
        <w:snapToGrid w:val="0"/>
        <w:spacing w:beforeLines="0" w:afterLines="0" w:line="360" w:lineRule="auto"/>
        <w:ind w:firstLine="640" w:firstLineChars="200"/>
        <w:rPr>
          <w:rFonts w:hint="eastAsia" w:ascii="仿宋_GB2312" w:eastAsia="仿宋_GB2312"/>
          <w:sz w:val="32"/>
          <w:szCs w:val="32"/>
        </w:rPr>
      </w:pPr>
    </w:p>
    <w:p w14:paraId="7A33015A">
      <w:pPr>
        <w:numPr>
          <w:ilvl w:val="0"/>
          <w:numId w:val="1"/>
        </w:numPr>
        <w:snapToGrid w:val="0"/>
        <w:spacing w:beforeLines="0" w:afterLines="0" w:line="360" w:lineRule="auto"/>
        <w:ind w:left="960" w:leftChars="0" w:firstLine="0" w:firstLineChars="0"/>
        <w:rPr>
          <w:rFonts w:hint="eastAsia" w:ascii="仿宋_GB2312" w:eastAsia="仿宋_GB2312"/>
          <w:sz w:val="32"/>
          <w:szCs w:val="32"/>
        </w:rPr>
      </w:pPr>
      <w:r>
        <w:rPr>
          <w:rFonts w:hint="eastAsia" w:ascii="仿宋_GB2312" w:eastAsia="仿宋_GB2312"/>
          <w:sz w:val="32"/>
          <w:szCs w:val="32"/>
        </w:rPr>
        <w:t>资金完成绩效目标情况。</w:t>
      </w:r>
    </w:p>
    <w:p w14:paraId="1B853B53">
      <w:pPr>
        <w:spacing w:line="360" w:lineRule="auto"/>
        <w:ind w:firstLine="640" w:firstLineChars="200"/>
        <w:rPr>
          <w:rFonts w:hint="eastAsia" w:ascii="仿宋_GB2312" w:eastAsia="仿宋_GB2312"/>
          <w:sz w:val="32"/>
          <w:szCs w:val="32"/>
        </w:rPr>
      </w:pPr>
      <w:r>
        <w:rPr>
          <w:rFonts w:hint="eastAsia" w:ascii="仿宋_GB2312" w:hAnsi="宋体" w:eastAsia="仿宋_GB2312"/>
          <w:sz w:val="32"/>
          <w:lang w:val="en-US" w:eastAsia="zh-CN"/>
        </w:rPr>
        <w:t>专职消防员每日执勤补助</w:t>
      </w:r>
      <w:r>
        <w:rPr>
          <w:rFonts w:hint="eastAsia" w:ascii="仿宋_GB2312" w:hAnsi="仿宋_GB2312" w:eastAsia="仿宋_GB2312" w:cs="仿宋_GB2312"/>
          <w:sz w:val="32"/>
          <w:szCs w:val="32"/>
        </w:rPr>
        <w:t>实行</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有效的管理和使用，</w:t>
      </w:r>
      <w:r>
        <w:rPr>
          <w:rFonts w:hint="eastAsia" w:ascii="仿宋_GB2312" w:eastAsia="仿宋_GB2312"/>
          <w:sz w:val="32"/>
          <w:szCs w:val="32"/>
        </w:rPr>
        <w:t>项目资金使用计划执行率达到了专款专用</w:t>
      </w:r>
      <w:r>
        <w:rPr>
          <w:rFonts w:hint="eastAsia" w:ascii="仿宋_GB2312" w:eastAsia="仿宋_GB2312"/>
          <w:sz w:val="32"/>
          <w:szCs w:val="32"/>
          <w:lang w:eastAsia="zh-CN"/>
        </w:rPr>
        <w:t>，</w:t>
      </w:r>
      <w:r>
        <w:rPr>
          <w:rFonts w:hint="eastAsia" w:ascii="仿宋_GB2312" w:eastAsia="仿宋_GB2312"/>
          <w:sz w:val="32"/>
          <w:szCs w:val="32"/>
        </w:rPr>
        <w:t>稳定消防队伍军心，保持消防队伍战斗力</w:t>
      </w:r>
      <w:r>
        <w:rPr>
          <w:rFonts w:hint="eastAsia" w:ascii="仿宋_GB2312" w:eastAsia="仿宋_GB2312"/>
          <w:sz w:val="32"/>
          <w:szCs w:val="32"/>
          <w:lang w:eastAsia="zh-CN"/>
        </w:rPr>
        <w:t>，</w:t>
      </w:r>
      <w:r>
        <w:rPr>
          <w:rFonts w:hint="eastAsia" w:ascii="仿宋_GB2312" w:hAnsi="仿宋_GB2312" w:eastAsia="仿宋_GB2312" w:cs="仿宋_GB2312"/>
          <w:sz w:val="32"/>
          <w:szCs w:val="32"/>
        </w:rPr>
        <w:t>使其成为了我县消防力量的重要补充</w:t>
      </w:r>
      <w:r>
        <w:rPr>
          <w:rFonts w:hint="eastAsia" w:ascii="仿宋_GB2312" w:eastAsia="仿宋_GB2312"/>
          <w:sz w:val="32"/>
          <w:szCs w:val="32"/>
          <w:lang w:eastAsia="zh-CN"/>
        </w:rPr>
        <w:t>。</w:t>
      </w:r>
      <w:r>
        <w:rPr>
          <w:rFonts w:hint="eastAsia" w:ascii="仿宋_GB2312" w:hAnsi="宋体" w:eastAsia="仿宋_GB2312"/>
          <w:sz w:val="32"/>
          <w:lang w:val="en-US" w:eastAsia="zh-CN"/>
        </w:rPr>
        <w:t>专职消防员每日执勤补助</w:t>
      </w:r>
      <w:r>
        <w:rPr>
          <w:rFonts w:hint="eastAsia" w:ascii="仿宋_GB2312" w:hAnsi="仿宋_GB2312" w:eastAsia="仿宋_GB2312" w:cs="仿宋_GB2312"/>
          <w:sz w:val="32"/>
          <w:szCs w:val="32"/>
        </w:rPr>
        <w:t>项目已经实现了其预期的绩效目标</w:t>
      </w:r>
    </w:p>
    <w:p w14:paraId="43A16E3E">
      <w:pPr>
        <w:spacing w:line="360" w:lineRule="auto"/>
        <w:rPr>
          <w:rFonts w:hint="eastAsia" w:ascii="仿宋_GB2312" w:eastAsia="仿宋_GB2312"/>
          <w:sz w:val="32"/>
          <w:szCs w:val="32"/>
        </w:rPr>
      </w:pPr>
      <w:r>
        <w:rPr>
          <w:rFonts w:hint="eastAsia" w:ascii="仿宋_GB2312" w:hAnsi="仿宋_GB2312" w:eastAsia="仿宋_GB2312" w:cs="仿宋_GB2312"/>
          <w:sz w:val="32"/>
          <w:szCs w:val="32"/>
          <w:lang w:val="en-US" w:eastAsia="zh-CN"/>
        </w:rPr>
        <w:t xml:space="preserve"> </w:t>
      </w:r>
    </w:p>
    <w:p w14:paraId="69EB5DA7">
      <w:pPr>
        <w:numPr>
          <w:ilvl w:val="0"/>
          <w:numId w:val="1"/>
        </w:numPr>
        <w:snapToGrid w:val="0"/>
        <w:spacing w:beforeLines="0" w:afterLines="0" w:line="360" w:lineRule="auto"/>
        <w:ind w:left="960" w:leftChars="0" w:firstLine="0" w:firstLineChars="0"/>
        <w:rPr>
          <w:rFonts w:hint="eastAsia" w:ascii="仿宋_GB2312" w:eastAsia="仿宋_GB2312"/>
          <w:sz w:val="32"/>
          <w:szCs w:val="32"/>
        </w:rPr>
      </w:pPr>
      <w:r>
        <w:rPr>
          <w:rFonts w:hint="eastAsia" w:ascii="仿宋_GB2312" w:eastAsia="仿宋_GB2312"/>
          <w:sz w:val="32"/>
          <w:szCs w:val="32"/>
        </w:rPr>
        <w:t>资金分用途使用绩效。</w:t>
      </w:r>
    </w:p>
    <w:p w14:paraId="2EFA9155">
      <w:pPr>
        <w:numPr>
          <w:ilvl w:val="0"/>
          <w:numId w:val="0"/>
        </w:numPr>
        <w:snapToGrid w:val="0"/>
        <w:spacing w:beforeLines="0" w:afterLines="0" w:line="360" w:lineRule="auto"/>
      </w:pPr>
      <w:r>
        <w:drawing>
          <wp:inline distT="0" distB="0" distL="114300" distR="114300">
            <wp:extent cx="5391150" cy="2891790"/>
            <wp:effectExtent l="0" t="0" r="0" b="38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391150" cy="2891790"/>
                    </a:xfrm>
                    <a:prstGeom prst="rect">
                      <a:avLst/>
                    </a:prstGeom>
                    <a:noFill/>
                    <a:ln>
                      <a:noFill/>
                    </a:ln>
                  </pic:spPr>
                </pic:pic>
              </a:graphicData>
            </a:graphic>
          </wp:inline>
        </w:drawing>
      </w:r>
    </w:p>
    <w:p w14:paraId="30616CD6">
      <w:pPr>
        <w:numPr>
          <w:ilvl w:val="0"/>
          <w:numId w:val="0"/>
        </w:numPr>
        <w:snapToGrid w:val="0"/>
        <w:spacing w:beforeLines="0" w:afterLines="0" w:line="360" w:lineRule="auto"/>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本项目立项依据充分，资金管理和使用严格按照《消防救援队伍预算分类科目》和</w:t>
      </w:r>
      <w:r>
        <w:rPr>
          <w:rFonts w:hint="eastAsia" w:ascii="仿宋_GB2312" w:eastAsia="仿宋_GB2312" w:cs="仿宋_GB2312"/>
          <w:sz w:val="32"/>
          <w:szCs w:val="32"/>
          <w:lang w:eastAsia="zh-CN"/>
        </w:rPr>
        <w:t>地方财政有关</w:t>
      </w:r>
      <w:r>
        <w:rPr>
          <w:rFonts w:hint="eastAsia" w:ascii="仿宋_GB2312" w:eastAsia="仿宋_GB2312" w:cs="仿宋_GB2312"/>
          <w:sz w:val="32"/>
          <w:szCs w:val="32"/>
        </w:rPr>
        <w:t>财务管理制度执行。项目在资金使用年限内按时完成，预算执行率</w:t>
      </w:r>
      <w:r>
        <w:rPr>
          <w:rFonts w:hint="eastAsia" w:ascii="仿宋_GB2312" w:eastAsia="仿宋_GB2312" w:cs="仿宋_GB2312"/>
          <w:sz w:val="32"/>
          <w:szCs w:val="32"/>
          <w:lang w:val="en-US" w:eastAsia="zh-CN"/>
        </w:rPr>
        <w:t>100</w:t>
      </w:r>
      <w:bookmarkStart w:id="3" w:name="_GoBack"/>
      <w:bookmarkEnd w:id="3"/>
      <w:r>
        <w:rPr>
          <w:rFonts w:hint="eastAsia" w:ascii="仿宋_GB2312" w:eastAsia="仿宋_GB2312" w:cs="仿宋_GB2312"/>
          <w:sz w:val="32"/>
          <w:szCs w:val="32"/>
        </w:rPr>
        <w:t>%</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执行率底主要是因为专职消防员流动性大。</w:t>
      </w:r>
      <w:r>
        <w:rPr>
          <w:rFonts w:hint="eastAsia" w:ascii="仿宋_GB2312" w:eastAsia="仿宋_GB2312" w:cs="仿宋_GB2312"/>
          <w:sz w:val="32"/>
          <w:szCs w:val="32"/>
        </w:rPr>
        <w:t>本项目也较好地完成了项目设定的绩效目标。</w:t>
      </w:r>
    </w:p>
    <w:p w14:paraId="7C25A0C7">
      <w:pPr>
        <w:numPr>
          <w:ilvl w:val="0"/>
          <w:numId w:val="0"/>
        </w:numPr>
        <w:snapToGrid w:val="0"/>
        <w:spacing w:beforeLines="0" w:afterLines="0" w:line="360" w:lineRule="auto"/>
        <w:ind w:firstLine="640" w:firstLineChars="200"/>
        <w:rPr>
          <w:rFonts w:hint="eastAsia" w:ascii="仿宋_GB2312" w:eastAsia="仿宋_GB2312" w:cs="仿宋_GB2312"/>
          <w:sz w:val="32"/>
          <w:szCs w:val="32"/>
        </w:rPr>
      </w:pPr>
    </w:p>
    <w:p w14:paraId="25436ED3">
      <w:pPr>
        <w:numPr>
          <w:ilvl w:val="0"/>
          <w:numId w:val="0"/>
        </w:num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三</w:t>
      </w:r>
      <w:r>
        <w:rPr>
          <w:rFonts w:hint="eastAsia" w:ascii="仿宋_GB2312" w:eastAsia="仿宋_GB2312"/>
          <w:sz w:val="32"/>
          <w:szCs w:val="32"/>
          <w:lang w:eastAsia="zh-CN"/>
        </w:rPr>
        <w:t>）</w:t>
      </w:r>
      <w:r>
        <w:rPr>
          <w:rFonts w:hint="eastAsia" w:ascii="仿宋_GB2312" w:eastAsia="仿宋_GB2312"/>
          <w:sz w:val="32"/>
          <w:szCs w:val="32"/>
        </w:rPr>
        <w:t>资金使用绩效存在的问题</w:t>
      </w:r>
    </w:p>
    <w:p w14:paraId="339522A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_GB2312" w:hAnsi="Times New Roman" w:eastAsia="仿宋_GB2312" w:cs="仿宋_GB2312"/>
          <w:kern w:val="2"/>
          <w:sz w:val="32"/>
          <w:szCs w:val="32"/>
          <w:lang w:val="en-US" w:eastAsia="zh-CN" w:bidi="ar-SA"/>
        </w:rPr>
      </w:pPr>
      <w:bookmarkStart w:id="0" w:name="_Toc143591896"/>
      <w:bookmarkStart w:id="1" w:name="_Toc142227366"/>
      <w:bookmarkStart w:id="2" w:name="_Toc142227572"/>
      <w:r>
        <w:rPr>
          <w:rFonts w:hint="eastAsia" w:ascii="仿宋_GB2312" w:hAnsi="Times New Roman" w:eastAsia="仿宋_GB2312" w:cs="仿宋_GB2312"/>
          <w:kern w:val="2"/>
          <w:sz w:val="32"/>
          <w:szCs w:val="32"/>
          <w:lang w:val="en-US" w:eastAsia="zh-CN" w:bidi="ar-SA"/>
        </w:rPr>
        <w:t>权益保障不到位，队伍人员变动大。</w:t>
      </w:r>
    </w:p>
    <w:bookmarkEnd w:id="0"/>
    <w:bookmarkEnd w:id="1"/>
    <w:bookmarkEnd w:id="2"/>
    <w:p w14:paraId="5C9D3DA2">
      <w:pPr>
        <w:numPr>
          <w:ilvl w:val="0"/>
          <w:numId w:val="0"/>
        </w:numPr>
        <w:snapToGrid w:val="0"/>
        <w:spacing w:beforeLines="0" w:afterLines="0" w:line="360" w:lineRule="auto"/>
        <w:rPr>
          <w:rFonts w:hint="eastAsia" w:ascii="仿宋_GB2312" w:eastAsia="仿宋_GB2312"/>
          <w:sz w:val="32"/>
          <w:szCs w:val="32"/>
        </w:rPr>
      </w:pPr>
    </w:p>
    <w:p w14:paraId="12DD2D3B">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三、改进意见</w:t>
      </w:r>
    </w:p>
    <w:p w14:paraId="363F51BB">
      <w:pPr>
        <w:spacing w:line="360" w:lineRule="auto"/>
        <w:ind w:firstLine="620" w:firstLineChars="200"/>
        <w:jc w:val="left"/>
        <w:rPr>
          <w:rFonts w:hint="eastAsia" w:ascii="仿宋" w:hAnsi="仿宋" w:eastAsia="仿宋" w:cs="仿宋"/>
          <w:b w:val="0"/>
          <w:bCs w:val="0"/>
          <w:color w:val="000000"/>
          <w:sz w:val="31"/>
          <w:szCs w:val="31"/>
          <w:lang w:val="en-US" w:eastAsia="zh-CN"/>
        </w:rPr>
      </w:pPr>
      <w:r>
        <w:rPr>
          <w:rFonts w:hint="eastAsia" w:ascii="仿宋" w:hAnsi="仿宋" w:eastAsia="仿宋" w:cs="仿宋"/>
          <w:b w:val="0"/>
          <w:bCs w:val="0"/>
          <w:color w:val="000000"/>
          <w:sz w:val="31"/>
          <w:szCs w:val="31"/>
        </w:rPr>
        <w:t>落实职业保障政策，提高消防队员的战斗力</w:t>
      </w:r>
      <w:r>
        <w:rPr>
          <w:rFonts w:hint="eastAsia" w:ascii="仿宋" w:hAnsi="仿宋" w:eastAsia="仿宋" w:cs="仿宋"/>
          <w:b w:val="0"/>
          <w:bCs w:val="0"/>
          <w:color w:val="000000"/>
          <w:sz w:val="31"/>
          <w:szCs w:val="31"/>
          <w:lang w:eastAsia="zh-CN"/>
        </w:rPr>
        <w:t>，</w:t>
      </w:r>
      <w:r>
        <w:rPr>
          <w:rFonts w:hint="eastAsia" w:ascii="仿宋" w:hAnsi="仿宋" w:eastAsia="仿宋" w:cs="仿宋"/>
          <w:b w:val="0"/>
          <w:bCs w:val="0"/>
          <w:color w:val="000000"/>
          <w:sz w:val="31"/>
          <w:szCs w:val="31"/>
        </w:rPr>
        <w:t>完善权益保障方式，提高消防队员的职业忠诚度</w:t>
      </w:r>
    </w:p>
    <w:p w14:paraId="52C48518">
      <w:pPr>
        <w:rPr>
          <w:rFonts w:hint="default" w:eastAsia="宋体"/>
          <w:lang w:val="en-US" w:eastAsia="zh-CN"/>
        </w:rPr>
      </w:pPr>
      <w:r>
        <w:rPr>
          <w:rFonts w:hint="eastAsia"/>
          <w:lang w:val="en-US" w:eastAsia="zh-CN"/>
        </w:rPr>
        <w:t xml:space="preserve">  </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E617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F69D7">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CF69D7">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69CA8">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5DCD3B"/>
    <w:multiLevelType w:val="singleLevel"/>
    <w:tmpl w:val="235DCD3B"/>
    <w:lvl w:ilvl="0" w:tentative="0">
      <w:start w:val="2"/>
      <w:numFmt w:val="decimal"/>
      <w:lvlText w:val="%1."/>
      <w:lvlJc w:val="left"/>
      <w:pPr>
        <w:tabs>
          <w:tab w:val="left" w:pos="312"/>
        </w:tabs>
        <w:ind w:left="96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kZTNkZTczYzZjOTIyZWRmOWZhZDI2NDIxYzg2ZWIifQ=="/>
  </w:docVars>
  <w:rsids>
    <w:rsidRoot w:val="0BFE5C14"/>
    <w:rsid w:val="036F4D79"/>
    <w:rsid w:val="099A00A9"/>
    <w:rsid w:val="0ABF1BFB"/>
    <w:rsid w:val="0BFE5C14"/>
    <w:rsid w:val="1EDE4CF4"/>
    <w:rsid w:val="26846EC0"/>
    <w:rsid w:val="27327EBB"/>
    <w:rsid w:val="2DE123DA"/>
    <w:rsid w:val="314410B2"/>
    <w:rsid w:val="37D63216"/>
    <w:rsid w:val="42F145B3"/>
    <w:rsid w:val="45756443"/>
    <w:rsid w:val="55D818D6"/>
    <w:rsid w:val="57025F93"/>
    <w:rsid w:val="596E38FA"/>
    <w:rsid w:val="6CFE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2"/>
    <w:basedOn w:val="1"/>
    <w:next w:val="1"/>
    <w:qFormat/>
    <w:uiPriority w:val="39"/>
    <w:pPr>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1092</Words>
  <Characters>1152</Characters>
  <Lines>0</Lines>
  <Paragraphs>0</Paragraphs>
  <TotalTime>1</TotalTime>
  <ScaleCrop>false</ScaleCrop>
  <LinksUpToDate>false</LinksUpToDate>
  <CharactersWithSpaces>1158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2021-02-26T03:06:00Z</dcterms:created>
  <dc:creator>Administrator</dc:creator>
  <cp:lastModifiedBy>欧秀华</cp:lastModifiedBy>
  <dcterms:modified xsi:type="dcterms:W3CDTF">2025-02-24T01:57:46Z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ribbonExt">
    <vt:lpwstr>{"WPSExtOfficeTab":{"OnGetEnabled":false,"OnGetVisible":false}}</vt:lpwstr>
  </property>
  <property fmtid="{D5CDD505-2E9C-101B-9397-08002B2CF9AE}" pid="4" name="ICV">
    <vt:lpwstr>F9D5D3FAD1974A0FBF00DB278CCEC2FE</vt:lpwstr>
  </property>
  <property fmtid="{D5CDD505-2E9C-101B-9397-08002B2CF9AE}" pid="5" name="KSOTemplateDocerSaveRecord">
    <vt:lpwstr>eyJoZGlkIjoiODlkNTlmMTA1ZjQ2NjI2MzI3M2M2ZjRjY2IyOTBmNjciLCJ1c2VySWQiOiIzODYzODgzMTQifQ==</vt:lpwstr>
  </property>
</Properties>
</file>