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ind w:firstLine="0" w:firstLineChars="0"/>
        <w:rPr>
          <w:rFonts w:cs="仿宋_GB2312"/>
          <w:sz w:val="36"/>
          <w:szCs w:val="36"/>
        </w:rPr>
      </w:pPr>
    </w:p>
    <w:p>
      <w:pPr>
        <w:adjustRightInd w:val="0"/>
        <w:snapToGrid w:val="0"/>
        <w:spacing w:before="120"/>
        <w:ind w:firstLine="0" w:firstLineChars="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ind w:firstLine="0" w:firstLineChars="0"/>
        <w:jc w:val="center"/>
        <w:rPr>
          <w:rFonts w:ascii="楷体_GB2312" w:eastAsia="楷体_GB2312"/>
          <w:bCs/>
          <w:sz w:val="48"/>
          <w:szCs w:val="48"/>
        </w:rPr>
      </w:pPr>
      <w:r>
        <w:rPr>
          <w:rFonts w:hint="eastAsia" w:ascii="楷体_GB2312" w:eastAsia="楷体_GB2312"/>
          <w:bCs/>
          <w:sz w:val="48"/>
          <w:szCs w:val="48"/>
        </w:rPr>
        <w:t>（污染影响类）</w:t>
      </w:r>
    </w:p>
    <w:p>
      <w:pPr>
        <w:spacing w:before="120"/>
        <w:ind w:firstLine="880"/>
        <w:rPr>
          <w:sz w:val="44"/>
          <w:szCs w:val="44"/>
        </w:rPr>
      </w:pPr>
    </w:p>
    <w:p>
      <w:pPr>
        <w:spacing w:before="120"/>
        <w:ind w:firstLine="880"/>
        <w:rPr>
          <w:sz w:val="44"/>
          <w:szCs w:val="44"/>
        </w:rPr>
      </w:pPr>
    </w:p>
    <w:p>
      <w:pPr>
        <w:adjustRightInd w:val="0"/>
        <w:snapToGrid w:val="0"/>
        <w:spacing w:before="120" w:line="288" w:lineRule="auto"/>
        <w:ind w:left="288" w:leftChars="120" w:firstLine="360" w:firstLineChars="100"/>
        <w:rPr>
          <w:sz w:val="36"/>
          <w:szCs w:val="36"/>
        </w:rPr>
      </w:pPr>
    </w:p>
    <w:p>
      <w:pPr>
        <w:adjustRightInd w:val="0"/>
        <w:snapToGrid w:val="0"/>
        <w:spacing w:before="120" w:line="288" w:lineRule="auto"/>
        <w:ind w:left="2328" w:leftChars="220" w:hanging="1800" w:hangingChars="500"/>
        <w:rPr>
          <w:rFonts w:ascii="仿宋_GB2312" w:eastAsia="仿宋_GB2312"/>
          <w:sz w:val="36"/>
          <w:szCs w:val="36"/>
          <w:u w:val="single"/>
        </w:rPr>
      </w:pPr>
      <w:r>
        <w:rPr>
          <w:rFonts w:hint="eastAsia" w:ascii="仿宋_GB2312" w:eastAsia="仿宋_GB2312"/>
          <w:sz w:val="36"/>
          <w:szCs w:val="36"/>
        </w:rPr>
        <w:t>项目名称：</w:t>
      </w:r>
      <w:bookmarkStart w:id="0" w:name="_Hlk114296546"/>
      <w:r>
        <w:rPr>
          <w:rFonts w:hint="eastAsia" w:ascii="仿宋_GB2312" w:eastAsia="仿宋_GB2312"/>
          <w:sz w:val="36"/>
          <w:szCs w:val="36"/>
          <w:u w:val="single"/>
        </w:rPr>
        <w:t>广东创盛农业发展有限公司年屠宰牛1750头，羊50750头建设项目</w:t>
      </w:r>
      <w:bookmarkEnd w:id="0"/>
      <w:r>
        <w:rPr>
          <w:rFonts w:hint="eastAsia" w:ascii="仿宋_GB2312" w:eastAsia="仿宋_GB2312"/>
          <w:sz w:val="36"/>
          <w:szCs w:val="36"/>
          <w:u w:val="single"/>
        </w:rPr>
        <w:t xml:space="preserve">       </w:t>
      </w:r>
    </w:p>
    <w:p>
      <w:pPr>
        <w:adjustRightInd w:val="0"/>
        <w:snapToGrid w:val="0"/>
        <w:spacing w:before="120" w:line="288" w:lineRule="auto"/>
        <w:ind w:left="288" w:leftChars="120" w:firstLine="360" w:firstLineChars="10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广东创盛农业发展有限公司  </w:t>
      </w:r>
    </w:p>
    <w:p>
      <w:pPr>
        <w:adjustRightInd w:val="0"/>
        <w:snapToGrid w:val="0"/>
        <w:spacing w:before="120" w:line="288" w:lineRule="auto"/>
        <w:ind w:firstLine="72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二</w:t>
      </w:r>
      <w:r>
        <w:rPr>
          <w:rFonts w:hint="eastAsia" w:ascii="微软雅黑" w:hAnsi="微软雅黑" w:eastAsia="微软雅黑" w:cs="微软雅黑"/>
          <w:sz w:val="36"/>
          <w:szCs w:val="36"/>
          <w:u w:val="single"/>
        </w:rPr>
        <w:t>〇</w:t>
      </w:r>
      <w:r>
        <w:rPr>
          <w:rFonts w:hint="eastAsia" w:ascii="仿宋_GB2312" w:hAnsi="仿宋_GB2312" w:eastAsia="仿宋_GB2312" w:cs="仿宋_GB2312"/>
          <w:sz w:val="36"/>
          <w:szCs w:val="36"/>
          <w:u w:val="single"/>
        </w:rPr>
        <w:t>二二年十</w:t>
      </w:r>
      <w:r>
        <w:rPr>
          <w:rFonts w:hint="eastAsia" w:ascii="仿宋_GB2312" w:eastAsia="仿宋_GB2312"/>
          <w:sz w:val="36"/>
          <w:szCs w:val="36"/>
          <w:u w:val="single"/>
        </w:rPr>
        <w:t>月</w:t>
      </w:r>
      <w:r>
        <w:rPr>
          <w:rFonts w:hint="eastAsia" w:ascii="仿宋_GB2312" w:eastAsia="仿宋_GB2312"/>
          <w:sz w:val="40"/>
          <w:szCs w:val="40"/>
          <w:u w:val="single"/>
        </w:rPr>
        <w:t xml:space="preserve"> </w:t>
      </w:r>
      <w:r>
        <w:rPr>
          <w:rFonts w:hint="eastAsia" w:ascii="仿宋_GB2312" w:eastAsia="仿宋_GB2312"/>
          <w:sz w:val="36"/>
          <w:szCs w:val="36"/>
          <w:u w:val="single"/>
        </w:rPr>
        <w:t xml:space="preserve">        </w:t>
      </w:r>
    </w:p>
    <w:p>
      <w:pPr>
        <w:adjustRightInd w:val="0"/>
        <w:snapToGrid w:val="0"/>
        <w:spacing w:before="120" w:line="288" w:lineRule="auto"/>
        <w:ind w:firstLine="720"/>
        <w:rPr>
          <w:sz w:val="36"/>
          <w:szCs w:val="36"/>
          <w:u w:val="single"/>
        </w:rPr>
      </w:pPr>
      <w:bookmarkStart w:id="1" w:name="_Hlk57884087"/>
    </w:p>
    <w:p>
      <w:pPr>
        <w:adjustRightInd w:val="0"/>
        <w:snapToGrid w:val="0"/>
        <w:spacing w:before="120" w:line="288" w:lineRule="auto"/>
        <w:ind w:firstLine="720"/>
        <w:rPr>
          <w:sz w:val="36"/>
          <w:szCs w:val="36"/>
        </w:rPr>
      </w:pPr>
    </w:p>
    <w:bookmarkEnd w:id="1"/>
    <w:p>
      <w:pPr>
        <w:adjustRightInd w:val="0"/>
        <w:snapToGrid w:val="0"/>
        <w:spacing w:before="120" w:line="288" w:lineRule="auto"/>
        <w:ind w:firstLine="720"/>
        <w:jc w:val="center"/>
        <w:rPr>
          <w:sz w:val="36"/>
          <w:szCs w:val="36"/>
        </w:rPr>
      </w:pPr>
    </w:p>
    <w:p>
      <w:pPr>
        <w:adjustRightInd w:val="0"/>
        <w:snapToGrid w:val="0"/>
        <w:spacing w:before="120" w:line="288" w:lineRule="auto"/>
        <w:ind w:firstLine="0" w:firstLineChars="0"/>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before="120" w:line="288" w:lineRule="auto"/>
        <w:ind w:firstLine="720"/>
        <w:rPr>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3"/>
          <w:cols w:space="720" w:num="1"/>
          <w:docGrid w:linePitch="312" w:charSpace="0"/>
        </w:sectPr>
      </w:pPr>
    </w:p>
    <w:p>
      <w:pPr>
        <w:pStyle w:val="18"/>
        <w:spacing w:before="120" w:beforeAutospacing="0" w:after="120" w:afterLines="50" w:afterAutospacing="0"/>
        <w:ind w:firstLine="0" w:firstLineChars="0"/>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17"/>
        <w:gridCol w:w="2229"/>
        <w:gridCol w:w="1277"/>
        <w:gridCol w:w="3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建设项目名称</w:t>
            </w:r>
          </w:p>
        </w:tc>
        <w:tc>
          <w:tcPr>
            <w:tcW w:w="6707" w:type="dxa"/>
            <w:gridSpan w:val="3"/>
            <w:vAlign w:val="center"/>
          </w:tcPr>
          <w:p>
            <w:pPr>
              <w:adjustRightInd w:val="0"/>
              <w:snapToGrid w:val="0"/>
              <w:spacing w:before="0" w:beforeLines="0" w:line="240" w:lineRule="auto"/>
              <w:ind w:firstLine="0" w:firstLineChars="0"/>
              <w:jc w:val="center"/>
            </w:pPr>
            <w:r>
              <w:rPr>
                <w:rFonts w:hint="eastAsia"/>
              </w:rPr>
              <w:t>广东创盛农业发展有限公司年屠宰牛1750头，羊50750头建设项目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项目代码</w:t>
            </w:r>
          </w:p>
        </w:tc>
        <w:tc>
          <w:tcPr>
            <w:tcW w:w="6707" w:type="dxa"/>
            <w:gridSpan w:val="3"/>
            <w:vAlign w:val="center"/>
          </w:tcPr>
          <w:p>
            <w:pPr>
              <w:adjustRightInd w:val="0"/>
              <w:snapToGrid w:val="0"/>
              <w:spacing w:before="0" w:beforeLines="0" w:line="240" w:lineRule="auto"/>
              <w:ind w:firstLine="0" w:firstLineChars="0"/>
              <w:jc w:val="center"/>
            </w:pPr>
            <w:r>
              <w:t>2208-440224-04-01-748928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rPr>
                <w:color w:val="000000"/>
              </w:rPr>
            </w:pPr>
            <w:r>
              <w:rPr>
                <w:color w:val="000000"/>
              </w:rPr>
              <w:t>建设单位联系人</w:t>
            </w:r>
          </w:p>
        </w:tc>
        <w:tc>
          <w:tcPr>
            <w:tcW w:w="2229" w:type="dxa"/>
            <w:vAlign w:val="center"/>
          </w:tcPr>
          <w:p>
            <w:pPr>
              <w:adjustRightInd w:val="0"/>
              <w:snapToGrid w:val="0"/>
              <w:spacing w:before="0" w:beforeLines="0" w:line="240" w:lineRule="auto"/>
              <w:ind w:firstLine="0" w:firstLineChars="0"/>
              <w:jc w:val="center"/>
              <w:rPr>
                <w:color w:val="000000"/>
              </w:rPr>
            </w:pPr>
            <w:r>
              <w:rPr>
                <w:rFonts w:hint="eastAsia"/>
                <w:color w:val="000000"/>
              </w:rPr>
              <w:t>刘娟</w:t>
            </w:r>
          </w:p>
        </w:tc>
        <w:tc>
          <w:tcPr>
            <w:tcW w:w="1277" w:type="dxa"/>
            <w:vAlign w:val="center"/>
          </w:tcPr>
          <w:p>
            <w:pPr>
              <w:adjustRightInd w:val="0"/>
              <w:snapToGrid w:val="0"/>
              <w:spacing w:before="0" w:beforeLines="0" w:line="240" w:lineRule="auto"/>
              <w:ind w:firstLine="0" w:firstLineChars="0"/>
              <w:jc w:val="center"/>
              <w:rPr>
                <w:color w:val="000000"/>
              </w:rPr>
            </w:pPr>
            <w:r>
              <w:rPr>
                <w:color w:val="000000"/>
              </w:rPr>
              <w:t>联系方式</w:t>
            </w:r>
          </w:p>
        </w:tc>
        <w:tc>
          <w:tcPr>
            <w:tcW w:w="3201" w:type="dxa"/>
            <w:vAlign w:val="center"/>
          </w:tcPr>
          <w:p>
            <w:pPr>
              <w:adjustRightInd w:val="0"/>
              <w:snapToGrid w:val="0"/>
              <w:spacing w:before="0" w:beforeLines="0" w:line="240" w:lineRule="auto"/>
              <w:ind w:firstLine="0" w:firstLineChars="0"/>
              <w:jc w:val="center"/>
              <w:rPr>
                <w:color w:val="000000"/>
              </w:rPr>
            </w:pPr>
            <w:r>
              <w:rPr>
                <w:color w:val="000000"/>
              </w:rPr>
              <w:t>0751-6368789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建设地点</w:t>
            </w:r>
          </w:p>
        </w:tc>
        <w:tc>
          <w:tcPr>
            <w:tcW w:w="6707" w:type="dxa"/>
            <w:gridSpan w:val="3"/>
            <w:vAlign w:val="center"/>
          </w:tcPr>
          <w:p>
            <w:pPr>
              <w:adjustRightInd w:val="0"/>
              <w:snapToGrid w:val="0"/>
              <w:spacing w:before="0" w:beforeLines="0" w:line="240" w:lineRule="auto"/>
              <w:ind w:firstLine="0" w:firstLineChars="0"/>
              <w:jc w:val="center"/>
              <w:rPr>
                <w:szCs w:val="21"/>
              </w:rPr>
            </w:pPr>
            <w:bookmarkStart w:id="2" w:name="_Hlk116334097"/>
            <w:r>
              <w:rPr>
                <w:rFonts w:hint="eastAsia"/>
                <w:szCs w:val="21"/>
              </w:rPr>
              <w:t>韶关市仁化县董塘镇坪岗工业区A地块</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地理坐标</w:t>
            </w:r>
          </w:p>
        </w:tc>
        <w:tc>
          <w:tcPr>
            <w:tcW w:w="6707" w:type="dxa"/>
            <w:gridSpan w:val="3"/>
            <w:vAlign w:val="center"/>
          </w:tcPr>
          <w:p>
            <w:pPr>
              <w:spacing w:before="0" w:beforeLines="0" w:line="240" w:lineRule="auto"/>
              <w:ind w:firstLine="0" w:firstLineChars="0"/>
              <w:jc w:val="center"/>
            </w:pPr>
            <w:bookmarkStart w:id="3" w:name="_Hlk102637103"/>
            <w:r>
              <w:rPr>
                <w:color w:val="000000"/>
              </w:rPr>
              <w:t>（东经：</w:t>
            </w:r>
            <w:bookmarkStart w:id="4" w:name="_Hlk102138200"/>
            <w:r>
              <w:rPr>
                <w:color w:val="000000"/>
                <w:u w:val="single"/>
              </w:rPr>
              <w:t>113</w:t>
            </w:r>
            <w:r>
              <w:rPr>
                <w:color w:val="000000"/>
              </w:rPr>
              <w:t>度</w:t>
            </w:r>
            <w:r>
              <w:rPr>
                <w:color w:val="000000"/>
                <w:u w:val="single"/>
              </w:rPr>
              <w:t>37</w:t>
            </w:r>
            <w:r>
              <w:rPr>
                <w:color w:val="000000"/>
              </w:rPr>
              <w:t>分</w:t>
            </w:r>
            <w:r>
              <w:rPr>
                <w:color w:val="000000"/>
                <w:u w:val="single"/>
              </w:rPr>
              <w:t>52.115</w:t>
            </w:r>
            <w:r>
              <w:rPr>
                <w:color w:val="000000"/>
              </w:rPr>
              <w:t>秒，北纬：</w:t>
            </w:r>
            <w:r>
              <w:rPr>
                <w:color w:val="000000"/>
                <w:u w:val="single"/>
              </w:rPr>
              <w:t>25</w:t>
            </w:r>
            <w:r>
              <w:rPr>
                <w:color w:val="000000"/>
              </w:rPr>
              <w:t>度</w:t>
            </w:r>
            <w:r>
              <w:rPr>
                <w:color w:val="000000"/>
                <w:u w:val="single"/>
              </w:rPr>
              <w:t>3</w:t>
            </w:r>
            <w:r>
              <w:rPr>
                <w:color w:val="000000"/>
              </w:rPr>
              <w:t>分</w:t>
            </w:r>
            <w:r>
              <w:rPr>
                <w:color w:val="000000"/>
                <w:u w:val="single"/>
              </w:rPr>
              <w:t>8.934</w:t>
            </w:r>
            <w:r>
              <w:rPr>
                <w:color w:val="000000"/>
              </w:rPr>
              <w:t>秒</w:t>
            </w:r>
            <w:bookmarkEnd w:id="4"/>
            <w:r>
              <w:rPr>
                <w:color w:val="000000"/>
              </w:rPr>
              <w:t>）</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国民经济</w:t>
            </w:r>
          </w:p>
          <w:p>
            <w:pPr>
              <w:adjustRightInd w:val="0"/>
              <w:snapToGrid w:val="0"/>
              <w:spacing w:before="0" w:beforeLines="0" w:line="240" w:lineRule="auto"/>
              <w:ind w:firstLine="0" w:firstLineChars="0"/>
              <w:jc w:val="center"/>
            </w:pPr>
            <w:r>
              <w:t>行业类别</w:t>
            </w:r>
          </w:p>
        </w:tc>
        <w:tc>
          <w:tcPr>
            <w:tcW w:w="2229" w:type="dxa"/>
            <w:vAlign w:val="center"/>
          </w:tcPr>
          <w:p>
            <w:pPr>
              <w:adjustRightInd w:val="0"/>
              <w:snapToGrid w:val="0"/>
              <w:spacing w:before="0" w:beforeLines="0" w:line="240" w:lineRule="auto"/>
              <w:ind w:firstLine="0" w:firstLineChars="0"/>
              <w:rPr>
                <w:szCs w:val="21"/>
              </w:rPr>
            </w:pPr>
            <w:r>
              <w:rPr>
                <w:rFonts w:hint="eastAsia"/>
                <w:szCs w:val="21"/>
              </w:rPr>
              <w:t>C1351 牲畜屠宰</w:t>
            </w:r>
          </w:p>
        </w:tc>
        <w:tc>
          <w:tcPr>
            <w:tcW w:w="1277" w:type="dxa"/>
            <w:vAlign w:val="center"/>
          </w:tcPr>
          <w:p>
            <w:pPr>
              <w:adjustRightInd w:val="0"/>
              <w:snapToGrid w:val="0"/>
              <w:spacing w:before="0" w:beforeLines="0" w:line="240" w:lineRule="auto"/>
              <w:ind w:firstLine="0" w:firstLineChars="0"/>
              <w:jc w:val="center"/>
            </w:pPr>
            <w:bookmarkStart w:id="5" w:name="_Hlk49843745"/>
            <w:r>
              <w:t>建设项目</w:t>
            </w:r>
          </w:p>
          <w:p>
            <w:pPr>
              <w:adjustRightInd w:val="0"/>
              <w:snapToGrid w:val="0"/>
              <w:spacing w:before="0" w:beforeLines="0" w:line="240" w:lineRule="auto"/>
              <w:ind w:firstLine="0" w:firstLineChars="0"/>
              <w:jc w:val="center"/>
            </w:pPr>
            <w:r>
              <w:t>行业类别</w:t>
            </w:r>
            <w:bookmarkEnd w:id="5"/>
          </w:p>
        </w:tc>
        <w:tc>
          <w:tcPr>
            <w:tcW w:w="3201" w:type="dxa"/>
            <w:vAlign w:val="center"/>
          </w:tcPr>
          <w:p>
            <w:pPr>
              <w:adjustRightInd w:val="0"/>
              <w:snapToGrid w:val="0"/>
              <w:spacing w:before="0" w:beforeLines="0" w:line="240" w:lineRule="auto"/>
              <w:ind w:firstLine="0" w:firstLineChars="0"/>
              <w:jc w:val="left"/>
            </w:pPr>
            <w:r>
              <w:rPr>
                <w:rFonts w:hint="eastAsia"/>
              </w:rPr>
              <w:t>十、农副食品加工业 18、屠宰及肉类加工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建设性质</w:t>
            </w:r>
          </w:p>
        </w:tc>
        <w:tc>
          <w:tcPr>
            <w:tcW w:w="2229" w:type="dxa"/>
            <w:vAlign w:val="center"/>
          </w:tcPr>
          <w:p>
            <w:pPr>
              <w:spacing w:before="0" w:beforeLines="0" w:line="240" w:lineRule="auto"/>
              <w:ind w:firstLine="0" w:firstLineChars="0"/>
            </w:pPr>
            <w:r>
              <w:rPr/>
              <w:sym w:font="Wingdings 2" w:char="00A3"/>
            </w:r>
            <w:r>
              <w:t>新建（迁建）</w:t>
            </w:r>
          </w:p>
          <w:p>
            <w:pPr>
              <w:spacing w:before="0" w:beforeLines="0" w:line="240" w:lineRule="auto"/>
              <w:ind w:firstLine="0" w:firstLineChars="0"/>
            </w:pPr>
            <w:r>
              <w:rPr/>
              <w:sym w:font="Wingdings 2" w:char="00A3"/>
            </w:r>
            <w:r>
              <w:t>改建</w:t>
            </w:r>
          </w:p>
          <w:p>
            <w:pPr>
              <w:spacing w:before="0" w:beforeLines="0" w:line="240" w:lineRule="auto"/>
              <w:ind w:firstLine="0" w:firstLineChars="0"/>
            </w:pPr>
            <w:r>
              <w:rPr>
                <w:rFonts w:ascii="Segoe UI Emoji" w:hAnsi="Segoe UI Emoji" w:cs="Segoe UI Emoji"/>
              </w:rPr>
              <w:t>☑</w:t>
            </w:r>
            <w:r>
              <w:t>扩建</w:t>
            </w:r>
          </w:p>
          <w:p>
            <w:pPr>
              <w:spacing w:before="0" w:beforeLines="0" w:line="240" w:lineRule="auto"/>
              <w:ind w:firstLine="0" w:firstLineChars="0"/>
            </w:pPr>
            <w:r>
              <w:rPr/>
              <w:sym w:font="Wingdings 2" w:char="00A3"/>
            </w:r>
            <w:r>
              <w:t>技术改造</w:t>
            </w:r>
          </w:p>
        </w:tc>
        <w:tc>
          <w:tcPr>
            <w:tcW w:w="1277" w:type="dxa"/>
            <w:vAlign w:val="center"/>
          </w:tcPr>
          <w:p>
            <w:pPr>
              <w:adjustRightInd w:val="0"/>
              <w:snapToGrid w:val="0"/>
              <w:spacing w:before="0" w:beforeLines="0" w:line="240" w:lineRule="auto"/>
              <w:ind w:firstLine="0" w:firstLineChars="0"/>
              <w:jc w:val="center"/>
            </w:pPr>
            <w:r>
              <w:t>建设项目</w:t>
            </w:r>
          </w:p>
          <w:p>
            <w:pPr>
              <w:adjustRightInd w:val="0"/>
              <w:snapToGrid w:val="0"/>
              <w:spacing w:before="0" w:beforeLines="0" w:line="240" w:lineRule="auto"/>
              <w:ind w:firstLine="0" w:firstLineChars="0"/>
              <w:jc w:val="center"/>
            </w:pPr>
            <w:r>
              <w:t>申报情形</w:t>
            </w:r>
          </w:p>
        </w:tc>
        <w:tc>
          <w:tcPr>
            <w:tcW w:w="3201" w:type="dxa"/>
            <w:vAlign w:val="center"/>
          </w:tcPr>
          <w:p>
            <w:pPr>
              <w:spacing w:before="0" w:beforeLines="0" w:line="240" w:lineRule="auto"/>
              <w:ind w:firstLine="0" w:firstLineChars="0"/>
            </w:pPr>
            <w:r>
              <w:rPr>
                <w:rFonts w:ascii="Segoe UI Emoji" w:hAnsi="Segoe UI Emoji" w:cs="Segoe UI Emoji"/>
              </w:rPr>
              <w:t>☑</w:t>
            </w:r>
            <w:r>
              <w:t xml:space="preserve">首次申报项目             </w:t>
            </w:r>
          </w:p>
          <w:p>
            <w:pPr>
              <w:spacing w:before="0" w:beforeLines="0" w:line="240" w:lineRule="auto"/>
              <w:ind w:firstLine="0" w:firstLineChars="0"/>
            </w:pPr>
            <w:r>
              <w:rPr/>
              <w:sym w:font="Wingdings 2" w:char="00A3"/>
            </w:r>
            <w:r>
              <w:t>不予批准后再次申报项目</w:t>
            </w:r>
          </w:p>
          <w:p>
            <w:pPr>
              <w:spacing w:before="0" w:beforeLines="0" w:line="240" w:lineRule="auto"/>
              <w:ind w:firstLine="0" w:firstLineChars="0"/>
            </w:pPr>
            <w:r>
              <w:rPr/>
              <w:sym w:font="Wingdings 2" w:char="00A3"/>
            </w:r>
            <w:r>
              <w:t xml:space="preserve">超五年重新审核项目     </w:t>
            </w:r>
          </w:p>
          <w:p>
            <w:pPr>
              <w:spacing w:before="0" w:beforeLines="0" w:line="240" w:lineRule="auto"/>
              <w:ind w:firstLine="0" w:firstLineChars="0"/>
            </w:pPr>
            <w:r>
              <w:rPr/>
              <w:sym w:font="Wingdings 2" w:char="00A3"/>
            </w:r>
            <w: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项目审批（核准/</w:t>
            </w:r>
          </w:p>
          <w:p>
            <w:pPr>
              <w:adjustRightInd w:val="0"/>
              <w:snapToGrid w:val="0"/>
              <w:spacing w:before="0" w:beforeLines="0" w:line="240" w:lineRule="auto"/>
              <w:ind w:firstLine="0" w:firstLineChars="0"/>
              <w:jc w:val="center"/>
            </w:pPr>
            <w:r>
              <w:t>备案）部门（选填）</w:t>
            </w:r>
          </w:p>
        </w:tc>
        <w:tc>
          <w:tcPr>
            <w:tcW w:w="2229" w:type="dxa"/>
            <w:vAlign w:val="center"/>
          </w:tcPr>
          <w:p>
            <w:pPr>
              <w:adjustRightInd w:val="0"/>
              <w:snapToGrid w:val="0"/>
              <w:spacing w:before="0" w:beforeLines="0" w:line="240" w:lineRule="auto"/>
              <w:ind w:firstLine="0" w:firstLineChars="0"/>
              <w:jc w:val="center"/>
            </w:pPr>
            <w:r>
              <w:rPr>
                <w:rFonts w:hint="eastAsia"/>
              </w:rPr>
              <w:t>仁化县发展和改革局</w:t>
            </w:r>
          </w:p>
        </w:tc>
        <w:tc>
          <w:tcPr>
            <w:tcW w:w="1277" w:type="dxa"/>
            <w:vAlign w:val="center"/>
          </w:tcPr>
          <w:p>
            <w:pPr>
              <w:adjustRightInd w:val="0"/>
              <w:snapToGrid w:val="0"/>
              <w:spacing w:before="0" w:beforeLines="0" w:line="240" w:lineRule="auto"/>
              <w:ind w:firstLine="0" w:firstLineChars="0"/>
              <w:jc w:val="center"/>
            </w:pPr>
            <w:r>
              <w:t>项目审批（核准/</w:t>
            </w:r>
          </w:p>
          <w:p>
            <w:pPr>
              <w:adjustRightInd w:val="0"/>
              <w:snapToGrid w:val="0"/>
              <w:spacing w:before="0" w:beforeLines="0" w:line="240" w:lineRule="auto"/>
              <w:ind w:firstLine="0" w:firstLineChars="0"/>
              <w:jc w:val="center"/>
            </w:pPr>
            <w:r>
              <w:t>备案）文号（选填）</w:t>
            </w:r>
          </w:p>
        </w:tc>
        <w:tc>
          <w:tcPr>
            <w:tcW w:w="3201" w:type="dxa"/>
            <w:vAlign w:val="center"/>
          </w:tcPr>
          <w:p>
            <w:pPr>
              <w:adjustRightInd w:val="0"/>
              <w:snapToGrid w:val="0"/>
              <w:spacing w:before="0" w:beforeLines="0" w:line="240" w:lineRule="auto"/>
              <w:ind w:firstLine="0" w:firstLineChars="0"/>
              <w:jc w:val="center"/>
            </w:pPr>
            <w:r>
              <w:rPr>
                <w:rFonts w:hint="eastAsia"/>
              </w:rPr>
              <w:t>2</w:t>
            </w:r>
            <w:r>
              <w:t>208-440224-04-01-748928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93"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总投资（万元）</w:t>
            </w:r>
          </w:p>
        </w:tc>
        <w:tc>
          <w:tcPr>
            <w:tcW w:w="2229" w:type="dxa"/>
            <w:vAlign w:val="center"/>
          </w:tcPr>
          <w:p>
            <w:pPr>
              <w:adjustRightInd w:val="0"/>
              <w:snapToGrid w:val="0"/>
              <w:spacing w:before="0" w:beforeLines="0" w:line="240" w:lineRule="auto"/>
              <w:ind w:firstLine="0" w:firstLineChars="0"/>
              <w:jc w:val="center"/>
            </w:pPr>
            <w:r>
              <w:rPr>
                <w:rFonts w:hint="eastAsia"/>
              </w:rPr>
              <w:t>4</w:t>
            </w:r>
            <w:r>
              <w:t>80</w:t>
            </w:r>
          </w:p>
        </w:tc>
        <w:tc>
          <w:tcPr>
            <w:tcW w:w="1277" w:type="dxa"/>
            <w:tcMar>
              <w:top w:w="16" w:type="dxa"/>
              <w:left w:w="16" w:type="dxa"/>
              <w:right w:w="16" w:type="dxa"/>
            </w:tcMar>
            <w:vAlign w:val="center"/>
          </w:tcPr>
          <w:p>
            <w:pPr>
              <w:adjustRightInd w:val="0"/>
              <w:snapToGrid w:val="0"/>
              <w:spacing w:before="0" w:beforeLines="0" w:line="240" w:lineRule="auto"/>
              <w:ind w:firstLine="0" w:firstLineChars="0"/>
              <w:jc w:val="center"/>
              <w:rPr>
                <w:color w:val="000000"/>
              </w:rPr>
            </w:pPr>
            <w:r>
              <w:rPr>
                <w:color w:val="000000"/>
              </w:rPr>
              <w:t>环保投资（万元）</w:t>
            </w:r>
          </w:p>
        </w:tc>
        <w:tc>
          <w:tcPr>
            <w:tcW w:w="3201" w:type="dxa"/>
            <w:vAlign w:val="center"/>
          </w:tcPr>
          <w:p>
            <w:pPr>
              <w:adjustRightInd w:val="0"/>
              <w:snapToGrid w:val="0"/>
              <w:spacing w:before="0" w:beforeLines="0" w:line="240" w:lineRule="auto"/>
              <w:ind w:firstLine="0" w:firstLineChars="0"/>
              <w:jc w:val="center"/>
              <w:rPr>
                <w:color w:val="000000"/>
              </w:rPr>
            </w:pPr>
            <w:r>
              <w:rPr>
                <w:rFonts w:hint="eastAsia"/>
                <w:color w:val="000000"/>
              </w:rPr>
              <w:t>5</w:t>
            </w:r>
            <w:r>
              <w:rPr>
                <w:color w:val="000000"/>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pPr>
            <w:r>
              <w:t>环保投资占比（%）</w:t>
            </w:r>
          </w:p>
        </w:tc>
        <w:tc>
          <w:tcPr>
            <w:tcW w:w="2229" w:type="dxa"/>
            <w:vAlign w:val="center"/>
          </w:tcPr>
          <w:p>
            <w:pPr>
              <w:adjustRightInd w:val="0"/>
              <w:snapToGrid w:val="0"/>
              <w:spacing w:before="0" w:beforeLines="0" w:line="240" w:lineRule="auto"/>
              <w:ind w:firstLine="0" w:firstLineChars="0"/>
              <w:jc w:val="center"/>
            </w:pPr>
            <w:r>
              <w:rPr>
                <w:rFonts w:hint="eastAsia"/>
              </w:rPr>
              <w:t>1</w:t>
            </w:r>
            <w:r>
              <w:t>0.4</w:t>
            </w:r>
          </w:p>
        </w:tc>
        <w:tc>
          <w:tcPr>
            <w:tcW w:w="1277" w:type="dxa"/>
            <w:tcMar>
              <w:top w:w="16" w:type="dxa"/>
              <w:left w:w="16" w:type="dxa"/>
              <w:right w:w="16" w:type="dxa"/>
            </w:tcMar>
            <w:vAlign w:val="center"/>
          </w:tcPr>
          <w:p>
            <w:pPr>
              <w:adjustRightInd w:val="0"/>
              <w:snapToGrid w:val="0"/>
              <w:spacing w:before="0" w:beforeLines="0" w:line="240" w:lineRule="auto"/>
              <w:ind w:firstLine="0" w:firstLineChars="0"/>
              <w:jc w:val="center"/>
            </w:pPr>
            <w:r>
              <w:t>施工工期</w:t>
            </w:r>
          </w:p>
        </w:tc>
        <w:tc>
          <w:tcPr>
            <w:tcW w:w="3201" w:type="dxa"/>
            <w:vAlign w:val="center"/>
          </w:tcPr>
          <w:p>
            <w:pPr>
              <w:adjustRightInd w:val="0"/>
              <w:snapToGrid w:val="0"/>
              <w:spacing w:before="0" w:beforeLines="0" w:line="240" w:lineRule="auto"/>
              <w:ind w:firstLine="0" w:firstLineChars="0"/>
              <w:jc w:val="center"/>
            </w:pPr>
            <w:r>
              <w:t>9个月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8" w:hRule="atLeast"/>
          <w:jc w:val="center"/>
        </w:trPr>
        <w:tc>
          <w:tcPr>
            <w:tcW w:w="2117" w:type="dxa"/>
            <w:tcMar>
              <w:top w:w="16" w:type="dxa"/>
              <w:left w:w="16" w:type="dxa"/>
              <w:right w:w="16" w:type="dxa"/>
            </w:tcMar>
            <w:vAlign w:val="center"/>
          </w:tcPr>
          <w:p>
            <w:pPr>
              <w:adjustRightInd w:val="0"/>
              <w:snapToGrid w:val="0"/>
              <w:spacing w:before="0" w:beforeLines="0" w:line="240" w:lineRule="auto"/>
              <w:ind w:firstLine="0" w:firstLineChars="0"/>
              <w:jc w:val="center"/>
            </w:pPr>
            <w:r>
              <w:t>是否开工建设</w:t>
            </w:r>
          </w:p>
        </w:tc>
        <w:tc>
          <w:tcPr>
            <w:tcW w:w="2229" w:type="dxa"/>
            <w:vAlign w:val="center"/>
          </w:tcPr>
          <w:p>
            <w:pPr>
              <w:adjustRightInd w:val="0"/>
              <w:snapToGrid w:val="0"/>
              <w:spacing w:before="0" w:beforeLines="0" w:line="240" w:lineRule="auto"/>
              <w:ind w:firstLine="0" w:firstLineChars="0"/>
            </w:pPr>
            <w:r>
              <w:rPr>
                <w:rFonts w:ascii="Segoe UI Emoji" w:hAnsi="Segoe UI Emoji" w:cs="Segoe UI Emoji"/>
              </w:rPr>
              <w:t>☑</w:t>
            </w:r>
            <w:r>
              <w:t>否</w:t>
            </w:r>
          </w:p>
          <w:p>
            <w:pPr>
              <w:adjustRightInd w:val="0"/>
              <w:snapToGrid w:val="0"/>
              <w:spacing w:before="0" w:beforeLines="0" w:line="240" w:lineRule="auto"/>
              <w:ind w:firstLine="0" w:firstLineChars="0"/>
            </w:pPr>
            <w:r>
              <w:rPr/>
              <w:sym w:font="Wingdings 2" w:char="00A3"/>
            </w:r>
            <w:r>
              <w:t>是：</w:t>
            </w:r>
            <w:r>
              <w:rPr>
                <w:u w:val="single"/>
              </w:rPr>
              <w:t xml:space="preserve">             </w:t>
            </w:r>
          </w:p>
        </w:tc>
        <w:tc>
          <w:tcPr>
            <w:tcW w:w="1277" w:type="dxa"/>
            <w:tcMar>
              <w:top w:w="16" w:type="dxa"/>
              <w:left w:w="16" w:type="dxa"/>
              <w:right w:w="16" w:type="dxa"/>
            </w:tcMar>
            <w:vAlign w:val="center"/>
          </w:tcPr>
          <w:p>
            <w:pPr>
              <w:adjustRightInd w:val="0"/>
              <w:snapToGrid w:val="0"/>
              <w:spacing w:before="0" w:beforeLines="0" w:line="240" w:lineRule="auto"/>
              <w:ind w:firstLine="0" w:firstLineChars="0"/>
              <w:jc w:val="center"/>
              <w:rPr>
                <w:spacing w:val="-6"/>
              </w:rPr>
            </w:pPr>
            <w:r>
              <w:rPr>
                <w:spacing w:val="-6"/>
              </w:rPr>
              <w:t>用地面积（m</w:t>
            </w:r>
            <w:r>
              <w:rPr>
                <w:spacing w:val="-6"/>
                <w:vertAlign w:val="superscript"/>
              </w:rPr>
              <w:t>2</w:t>
            </w:r>
            <w:r>
              <w:rPr>
                <w:spacing w:val="-6"/>
              </w:rPr>
              <w:t>）</w:t>
            </w:r>
          </w:p>
        </w:tc>
        <w:tc>
          <w:tcPr>
            <w:tcW w:w="3201" w:type="dxa"/>
            <w:vAlign w:val="center"/>
          </w:tcPr>
          <w:p>
            <w:pPr>
              <w:adjustRightInd w:val="0"/>
              <w:snapToGrid w:val="0"/>
              <w:spacing w:before="0" w:beforeLines="0" w:line="240" w:lineRule="auto"/>
              <w:ind w:firstLine="0" w:firstLineChars="0"/>
              <w:jc w:val="center"/>
              <w:rPr>
                <w:color w:val="000000"/>
              </w:rPr>
            </w:pPr>
            <w:r>
              <w:rPr>
                <w:color w:val="000000"/>
              </w:rPr>
              <w:t>26672.38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84" w:hRule="atLeast"/>
          <w:jc w:val="center"/>
        </w:trPr>
        <w:tc>
          <w:tcPr>
            <w:tcW w:w="2117" w:type="dxa"/>
            <w:vAlign w:val="center"/>
          </w:tcPr>
          <w:p>
            <w:pPr>
              <w:autoSpaceDE w:val="0"/>
              <w:autoSpaceDN w:val="0"/>
              <w:adjustRightInd w:val="0"/>
              <w:snapToGrid w:val="0"/>
              <w:spacing w:before="0" w:beforeLines="0" w:line="240" w:lineRule="auto"/>
              <w:ind w:firstLine="0" w:firstLineChars="0"/>
              <w:jc w:val="center"/>
            </w:pPr>
            <w:r>
              <w:t>专项评价设置情况</w:t>
            </w:r>
          </w:p>
        </w:tc>
        <w:tc>
          <w:tcPr>
            <w:tcW w:w="6707" w:type="dxa"/>
            <w:gridSpan w:val="3"/>
            <w:vAlign w:val="center"/>
          </w:tcPr>
          <w:p>
            <w:pPr>
              <w:autoSpaceDE w:val="0"/>
              <w:autoSpaceDN w:val="0"/>
              <w:adjustRightInd w:val="0"/>
              <w:snapToGrid w:val="0"/>
              <w:spacing w:before="0" w:beforeLines="0" w:line="240" w:lineRule="auto"/>
              <w:ind w:firstLine="0" w:firstLineChars="0"/>
              <w:jc w:val="center"/>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27" w:hRule="atLeast"/>
          <w:jc w:val="center"/>
        </w:trPr>
        <w:tc>
          <w:tcPr>
            <w:tcW w:w="2117" w:type="dxa"/>
            <w:vAlign w:val="center"/>
          </w:tcPr>
          <w:p>
            <w:pPr>
              <w:autoSpaceDE w:val="0"/>
              <w:autoSpaceDN w:val="0"/>
              <w:adjustRightInd w:val="0"/>
              <w:snapToGrid w:val="0"/>
              <w:spacing w:before="0" w:beforeLines="0" w:line="240" w:lineRule="auto"/>
              <w:ind w:firstLine="0" w:firstLineChars="0"/>
              <w:jc w:val="center"/>
              <w:rPr>
                <w:color w:val="000000"/>
              </w:rPr>
            </w:pPr>
            <w:r>
              <w:rPr>
                <w:color w:val="000000"/>
              </w:rPr>
              <w:t>规划情况</w:t>
            </w:r>
          </w:p>
        </w:tc>
        <w:tc>
          <w:tcPr>
            <w:tcW w:w="6707" w:type="dxa"/>
            <w:gridSpan w:val="3"/>
            <w:vAlign w:val="center"/>
          </w:tcPr>
          <w:p>
            <w:pPr>
              <w:autoSpaceDE w:val="0"/>
              <w:autoSpaceDN w:val="0"/>
              <w:adjustRightInd w:val="0"/>
              <w:snapToGrid w:val="0"/>
              <w:spacing w:before="0" w:beforeLines="0"/>
              <w:ind w:firstLine="0" w:firstLineChars="0"/>
              <w:jc w:val="center"/>
              <w:rPr>
                <w:color w:val="000000"/>
              </w:rPr>
            </w:pPr>
            <w:r>
              <w:rPr>
                <w:rFonts w:hint="eastAsia"/>
                <w:color w:val="00000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46" w:hRule="atLeast"/>
          <w:jc w:val="center"/>
        </w:trPr>
        <w:tc>
          <w:tcPr>
            <w:tcW w:w="2117" w:type="dxa"/>
            <w:vAlign w:val="center"/>
          </w:tcPr>
          <w:p>
            <w:pPr>
              <w:spacing w:before="0" w:beforeLines="0" w:line="240" w:lineRule="auto"/>
              <w:ind w:firstLine="0" w:firstLineChars="0"/>
              <w:jc w:val="center"/>
              <w:rPr>
                <w:color w:val="000000"/>
              </w:rPr>
            </w:pPr>
            <w:r>
              <w:rPr>
                <w:color w:val="000000"/>
              </w:rPr>
              <w:t>规划环境影响评价</w:t>
            </w:r>
          </w:p>
          <w:p>
            <w:pPr>
              <w:spacing w:before="0" w:beforeLines="0" w:line="240" w:lineRule="auto"/>
              <w:ind w:firstLine="0" w:firstLineChars="0"/>
              <w:jc w:val="center"/>
              <w:rPr>
                <w:color w:val="000000"/>
              </w:rPr>
            </w:pPr>
            <w:r>
              <w:rPr>
                <w:color w:val="000000"/>
              </w:rPr>
              <w:t>情况</w:t>
            </w:r>
          </w:p>
        </w:tc>
        <w:tc>
          <w:tcPr>
            <w:tcW w:w="6707" w:type="dxa"/>
            <w:gridSpan w:val="3"/>
            <w:vAlign w:val="center"/>
          </w:tcPr>
          <w:p>
            <w:pPr>
              <w:widowControl/>
              <w:spacing w:before="120"/>
              <w:ind w:firstLine="0" w:firstLineChars="0"/>
              <w:jc w:val="center"/>
              <w:rPr>
                <w:color w:val="000000"/>
              </w:rPr>
            </w:pPr>
            <w:r>
              <w:rPr>
                <w:rFonts w:hint="eastAsia"/>
                <w:color w:val="00000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2117" w:type="dxa"/>
            <w:vAlign w:val="center"/>
          </w:tcPr>
          <w:p>
            <w:pPr>
              <w:autoSpaceDE w:val="0"/>
              <w:autoSpaceDN w:val="0"/>
              <w:adjustRightInd w:val="0"/>
              <w:snapToGrid w:val="0"/>
              <w:spacing w:before="0" w:beforeLines="0" w:line="240" w:lineRule="auto"/>
              <w:ind w:firstLine="0" w:firstLineChars="0"/>
              <w:jc w:val="center"/>
            </w:pPr>
            <w:r>
              <w:t>规划及规划环境影响评价符合性分析</w:t>
            </w:r>
          </w:p>
        </w:tc>
        <w:tc>
          <w:tcPr>
            <w:tcW w:w="6707" w:type="dxa"/>
            <w:gridSpan w:val="3"/>
            <w:vAlign w:val="center"/>
          </w:tcPr>
          <w:p>
            <w:pPr>
              <w:spacing w:before="120"/>
              <w:ind w:firstLine="0" w:firstLineChars="0"/>
              <w:jc w:val="center"/>
              <w:rPr>
                <w:color w:val="000000"/>
              </w:rPr>
            </w:pPr>
            <w:r>
              <w:rPr>
                <w:rFonts w:hint="eastAsia"/>
                <w:color w:val="00000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2117" w:type="dxa"/>
            <w:vAlign w:val="center"/>
          </w:tcPr>
          <w:p>
            <w:pPr>
              <w:autoSpaceDE w:val="0"/>
              <w:autoSpaceDN w:val="0"/>
              <w:adjustRightInd w:val="0"/>
              <w:snapToGrid w:val="0"/>
              <w:spacing w:before="0" w:beforeLines="0" w:line="240" w:lineRule="auto"/>
              <w:ind w:firstLine="0" w:firstLineChars="0"/>
              <w:jc w:val="center"/>
            </w:pPr>
            <w:r>
              <w:t>其他符合性分析</w:t>
            </w:r>
          </w:p>
        </w:tc>
        <w:tc>
          <w:tcPr>
            <w:tcW w:w="6707" w:type="dxa"/>
            <w:gridSpan w:val="3"/>
            <w:vAlign w:val="center"/>
          </w:tcPr>
          <w:p>
            <w:pPr>
              <w:spacing w:before="120"/>
              <w:ind w:firstLine="562"/>
              <w:rPr>
                <w:b/>
                <w:sz w:val="28"/>
              </w:rPr>
            </w:pPr>
            <w:r>
              <w:rPr>
                <w:b/>
                <w:sz w:val="28"/>
              </w:rPr>
              <w:t>1、产业政策相符性</w:t>
            </w:r>
          </w:p>
          <w:p>
            <w:pPr>
              <w:spacing w:before="120"/>
              <w:ind w:firstLine="480"/>
            </w:pPr>
            <w:r>
              <w:t>本项目属于</w:t>
            </w:r>
            <w:r>
              <w:rPr>
                <w:rFonts w:hint="eastAsia"/>
              </w:rPr>
              <w:t>牛羊屠宰</w:t>
            </w:r>
            <w:r>
              <w:t>项目，根据《产业结构调整指导目录（2019年本）》及《国家发展改革委关于修改&lt;产业结构调整指导目录（2019年本）&gt;的决定》（中华人民共和国国家发展和改革委员会令第49号），属于限制类</w:t>
            </w:r>
            <w:r>
              <w:rPr>
                <w:rFonts w:hint="eastAsia"/>
              </w:rPr>
              <w:t>中第十二项“轻工”中第24 项“年屠宰生猪15万头及以下、肉牛1万头及以下、肉羊15万只及以下、活禽1000万只及以下的屠宰建设项目（少数民族地区除外）”</w:t>
            </w:r>
            <w:r>
              <w:t>，</w:t>
            </w:r>
            <w:r>
              <w:rPr>
                <w:rFonts w:hint="eastAsia"/>
              </w:rPr>
              <w:t>仁化县发改部门已对项目进行了核准，企业已取得了《广东省企业投资项目备案证》，编号2208-440224-04-01-748928。</w:t>
            </w:r>
          </w:p>
          <w:p>
            <w:pPr>
              <w:spacing w:before="120"/>
              <w:ind w:firstLine="480" w:firstLineChars="0"/>
              <w:rPr>
                <w:kern w:val="2"/>
              </w:rPr>
            </w:pPr>
            <w:r>
              <w:rPr>
                <w:rFonts w:hint="eastAsia"/>
                <w:kern w:val="2"/>
              </w:rPr>
              <w:t>综上</w:t>
            </w:r>
            <w:r>
              <w:rPr>
                <w:kern w:val="2"/>
              </w:rPr>
              <w:t>，本项目符合当前国家及地方产业发展政策。</w:t>
            </w:r>
          </w:p>
          <w:p>
            <w:pPr>
              <w:spacing w:before="120"/>
              <w:ind w:firstLine="562"/>
              <w:rPr>
                <w:b/>
                <w:sz w:val="28"/>
              </w:rPr>
            </w:pPr>
            <w:r>
              <w:rPr>
                <w:b/>
                <w:sz w:val="28"/>
              </w:rPr>
              <w:t>2、选址合理性分析</w:t>
            </w:r>
          </w:p>
          <w:p>
            <w:pPr>
              <w:adjustRightInd w:val="0"/>
              <w:snapToGrid w:val="0"/>
              <w:spacing w:before="120"/>
              <w:ind w:firstLine="480"/>
            </w:pPr>
            <w:r>
              <w:t>本项目位于</w:t>
            </w:r>
            <w:r>
              <w:rPr>
                <w:rFonts w:hint="eastAsia"/>
              </w:rPr>
              <w:t>韶关市仁化县董塘镇坪岗工业区A地块</w:t>
            </w:r>
            <w:r>
              <w:t>，</w:t>
            </w:r>
            <w:r>
              <w:rPr>
                <w:rFonts w:hint="eastAsia"/>
              </w:rPr>
              <w:t>厂区中心地理坐标为东经113°</w:t>
            </w:r>
            <w:r>
              <w:t>37</w:t>
            </w:r>
            <w:r>
              <w:rPr>
                <w:rFonts w:hint="eastAsia"/>
              </w:rPr>
              <w:t>′</w:t>
            </w:r>
            <w:r>
              <w:t>52</w:t>
            </w:r>
            <w:r>
              <w:rPr>
                <w:rFonts w:hint="eastAsia"/>
              </w:rPr>
              <w:t>.</w:t>
            </w:r>
            <w:r>
              <w:t>115</w:t>
            </w:r>
            <w:r>
              <w:rPr>
                <w:rFonts w:hint="eastAsia"/>
              </w:rPr>
              <w:t>″，北纬25°0</w:t>
            </w:r>
            <w:r>
              <w:t>3</w:t>
            </w:r>
            <w:r>
              <w:rPr>
                <w:rFonts w:hint="eastAsia"/>
              </w:rPr>
              <w:t>′</w:t>
            </w:r>
            <w:r>
              <w:t>8.934</w:t>
            </w:r>
            <w:r>
              <w:rPr>
                <w:rFonts w:hint="eastAsia"/>
              </w:rPr>
              <w:t>″，地理位置见图2-1。对照《仁化县城市总体规划（2016-2035）》、《仁化县董塘镇总体规划（2016-2030）》，项目所在区域为董塘镇坪岗工业区，</w:t>
            </w:r>
            <w:r>
              <w:t>为工业用地（</w:t>
            </w:r>
            <w:r>
              <w:rPr>
                <w:rFonts w:hint="eastAsia"/>
              </w:rPr>
              <w:t>详见</w:t>
            </w:r>
            <w:r>
              <w:t>附件5），属于允许建设区；</w:t>
            </w:r>
          </w:p>
          <w:p>
            <w:pPr>
              <w:adjustRightInd w:val="0"/>
              <w:snapToGrid w:val="0"/>
              <w:spacing w:before="120"/>
              <w:ind w:firstLine="0" w:firstLineChars="0"/>
            </w:pPr>
            <w:r>
              <w:drawing>
                <wp:inline distT="0" distB="0" distL="114300" distR="114300">
                  <wp:extent cx="4158615" cy="4601210"/>
                  <wp:effectExtent l="0" t="0" r="13335" b="889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7"/>
                          <a:stretch>
                            <a:fillRect/>
                          </a:stretch>
                        </pic:blipFill>
                        <pic:spPr>
                          <a:xfrm>
                            <a:off x="0" y="0"/>
                            <a:ext cx="4158615" cy="4601210"/>
                          </a:xfrm>
                          <a:prstGeom prst="rect">
                            <a:avLst/>
                          </a:prstGeom>
                          <a:noFill/>
                          <a:ln>
                            <a:noFill/>
                          </a:ln>
                        </pic:spPr>
                      </pic:pic>
                    </a:graphicData>
                  </a:graphic>
                </wp:inline>
              </w:drawing>
            </w:r>
          </w:p>
          <w:p>
            <w:pPr>
              <w:adjustRightInd w:val="0"/>
              <w:snapToGrid w:val="0"/>
              <w:spacing w:before="120"/>
              <w:ind w:firstLine="0" w:firstLineChars="0"/>
              <w:jc w:val="center"/>
              <w:rPr>
                <w:b/>
                <w:bCs/>
                <w:sz w:val="21"/>
                <w:szCs w:val="21"/>
              </w:rPr>
            </w:pPr>
            <w:r>
              <w:rPr>
                <w:rFonts w:hint="eastAsia"/>
                <w:b/>
                <w:bCs/>
                <w:sz w:val="21"/>
                <w:szCs w:val="21"/>
              </w:rPr>
              <w:t>图1</w:t>
            </w:r>
            <w:r>
              <w:rPr>
                <w:b/>
                <w:bCs/>
                <w:sz w:val="21"/>
                <w:szCs w:val="21"/>
              </w:rPr>
              <w:t xml:space="preserve">-1 </w:t>
            </w:r>
            <w:r>
              <w:rPr>
                <w:rFonts w:hint="eastAsia"/>
                <w:b/>
                <w:bCs/>
                <w:sz w:val="21"/>
                <w:szCs w:val="21"/>
              </w:rPr>
              <w:t>仁化县土地利用总体规划图</w:t>
            </w:r>
          </w:p>
          <w:p>
            <w:pPr>
              <w:adjustRightInd w:val="0"/>
              <w:snapToGrid w:val="0"/>
              <w:spacing w:before="120"/>
              <w:ind w:firstLine="480"/>
            </w:pPr>
            <w:r>
              <w:rPr>
                <w:rFonts w:hint="eastAsia"/>
              </w:rPr>
              <w:t>本项目地理位置优越，</w:t>
            </w:r>
            <w:r>
              <w:t>所在区域临近</w:t>
            </w:r>
            <w:r>
              <w:rPr>
                <w:rFonts w:hint="eastAsia"/>
              </w:rPr>
              <w:t>省</w:t>
            </w:r>
            <w:r>
              <w:t>道246，交通便利，</w:t>
            </w:r>
            <w:r>
              <w:rPr>
                <w:rFonts w:hint="eastAsia"/>
              </w:rPr>
              <w:t>有利于原材料及牛羊产品的运输。区域内水、电等基础设施完善，可满足本项目营运期生产、办公和生活需求。因此，项目选址是合理可行，符合仁化县、董塘镇总体规划的。</w:t>
            </w:r>
          </w:p>
          <w:p>
            <w:pPr>
              <w:adjustRightInd w:val="0"/>
              <w:snapToGrid w:val="0"/>
              <w:spacing w:before="120"/>
              <w:ind w:firstLine="480"/>
              <w:rPr>
                <w:b/>
                <w:sz w:val="28"/>
              </w:rPr>
            </w:pPr>
            <w:r>
              <w:t xml:space="preserve"> </w:t>
            </w:r>
            <w:r>
              <w:rPr>
                <w:b/>
                <w:sz w:val="28"/>
              </w:rPr>
              <w:t>3、“三线一单”符合性分析</w:t>
            </w:r>
          </w:p>
          <w:p>
            <w:pPr>
              <w:spacing w:before="120"/>
              <w:ind w:firstLine="482"/>
              <w:rPr>
                <w:b/>
              </w:rPr>
            </w:pPr>
            <w:r>
              <w:rPr>
                <w:b/>
              </w:rPr>
              <w:t>3.1与广东省“三线一单”相符性分析</w:t>
            </w:r>
          </w:p>
          <w:p>
            <w:pPr>
              <w:spacing w:before="120"/>
              <w:ind w:firstLine="480"/>
            </w:pPr>
            <w:r>
              <w:t>根据广东省人民政府《关于印发广东省“三线一单”生态环境分区管控方案的通知》粤府〔2020〕71号，从区域布局管控、能源资源利用、污染物排放管控和环境风险防控等方面明确准入要求，建立“1+3+N”三级生态环境准入清单体系。“1”为全省总体管控要求，“3”为“一核一带一区”区域管控要求，“N”为1912个陆域环境管控单元和471个海域环境管控单元的管控要求。本项目与“三线一单”相符性分析如下：</w:t>
            </w:r>
          </w:p>
          <w:p>
            <w:pPr>
              <w:spacing w:before="120"/>
              <w:ind w:firstLine="482"/>
              <w:rPr>
                <w:b/>
                <w:bCs/>
              </w:rPr>
            </w:pPr>
            <w:r>
              <w:rPr>
                <w:b/>
                <w:bCs/>
              </w:rPr>
              <w:t>（1）与“一核一带一区”区域管控要求的相符性分析</w:t>
            </w:r>
          </w:p>
          <w:p>
            <w:pPr>
              <w:spacing w:before="120"/>
              <w:ind w:firstLine="480"/>
            </w:pPr>
            <w:r>
              <w:t>本项目所在区域为“一核一带一区”中的‘一区’，即北部生态发展区，坚持生态优先，强化生态系统保护与修复，筑牢北部生态屏障。区域管控要求如下：</w:t>
            </w:r>
          </w:p>
          <w:p>
            <w:pPr>
              <w:spacing w:before="120"/>
              <w:ind w:firstLine="480"/>
            </w:pPr>
            <w:r>
              <w:rPr>
                <w:rFonts w:hint="eastAsia"/>
              </w:rPr>
              <w:t>①</w:t>
            </w:r>
            <w:r>
              <w:t>区域布局管控要求。大力强化生态保护和建设，严格控制开发强度。重点加强南岭山地保护，推进广东南岭国家公园建设，保护生态系统完整性与生物多样性，构建和巩固北部生态屏障。引导工业项目科学布局，新建项目原则上</w:t>
            </w:r>
            <w:r>
              <w:rPr>
                <w:rFonts w:hint="eastAsia"/>
              </w:rPr>
              <w:t>入园管理</w:t>
            </w:r>
            <w:r>
              <w:t>，推动现有工业项目集中进园。推动绿色钢铁、有色金属、建筑材料等先进材料产业集群向规模化、绿色化、高端化转型发展，打造特色优势产业集群，积极推动中高时延大数据中心项目布局落地。科学布局现代农业产业平台，打造现代农业与食品产业集群。严格控制涉重金属及有毒有害污染物排放的项目建设，新建、改建、扩建涉重金属重点行业的项目应明确重金属污染物总量来源。逐步扩大高污染燃料禁燃区范围。</w:t>
            </w:r>
          </w:p>
          <w:p>
            <w:pPr>
              <w:spacing w:before="120"/>
              <w:ind w:firstLine="480"/>
            </w:pPr>
            <w:r>
              <w:rPr>
                <w:rFonts w:hint="eastAsia" w:cs="宋体"/>
              </w:rPr>
              <w:t>②</w:t>
            </w:r>
            <w:r>
              <w:t>能源资源利用要求。进一步优化调整能源结构，鼓励使用天然气及可再生能源。县级及以上城市建成区，</w:t>
            </w:r>
            <w:r>
              <w:rPr>
                <w:color w:val="000000"/>
              </w:rPr>
              <w:t>禁止新建每小时35蒸吨以下燃煤锅炉</w:t>
            </w:r>
            <w:r>
              <w:t>。原则上不再新建小水电以及除国家和省规划外的风电项目，对不符合生态环境要求的小水电进行清理整改。严格落实东江、北江、韩江流域等重要控制断面生态流量保障目标。推动矿产资源开发合理布局和节约集约利用，提高矿产资源开发项目准入门槛，严格执行开采总量指标管控，加快淘汰落后采选工艺，提高资源产出率。</w:t>
            </w:r>
          </w:p>
          <w:p>
            <w:pPr>
              <w:spacing w:before="120"/>
              <w:ind w:firstLine="480"/>
            </w:pPr>
            <w:r>
              <w:rPr>
                <w:rFonts w:hint="eastAsia" w:cs="宋体"/>
              </w:rPr>
              <w:t>③</w:t>
            </w:r>
            <w:r>
              <w:t>污染物排放管控要求。在可核查、可监管的基础上，新建项目原则上实施</w:t>
            </w:r>
            <w:r>
              <w:rPr>
                <w:color w:val="000000"/>
              </w:rPr>
              <w:t>氮氧化物和挥发性有机物等量替代</w:t>
            </w:r>
            <w:r>
              <w:t>。北江流域严格实行重</w:t>
            </w:r>
            <w:r>
              <w:rPr>
                <w:color w:val="000000"/>
              </w:rPr>
              <w:t>点重金属污染物减量替代</w:t>
            </w:r>
            <w:r>
              <w:t>。加快镇级生活污水处理设施及配套管网建设，因地制宜建设农村生活污水处理设施。加强养殖污染防治，推动养殖尾水达标排放或资源化利用。加快推进钢铁、陶瓷、水泥等重点行业提标改造（或“煤改气”改造）。加快矿山改造升级，逐步达到绿色矿山建设要求，凡口铅锌矿及其周边、大宝山矿及其周边等区域严格执行部分重金属水污染物特别排放限值的相关规定。</w:t>
            </w:r>
          </w:p>
          <w:p>
            <w:pPr>
              <w:spacing w:before="120"/>
              <w:ind w:firstLine="480"/>
            </w:pPr>
            <w:r>
              <w:rPr>
                <w:rFonts w:hint="eastAsia" w:cs="宋体"/>
              </w:rPr>
              <w:t>④</w:t>
            </w:r>
            <w:r>
              <w:t>环境风险防控要求。强化流域上游生态保护与水源涵养功能，建立完善突发环境事件应急管理体系，保障饮用水安全。加快落实受污染农用地的安全利用与严格管控措施，防范农产品重金属含量超标风险。加强尾矿库的环境风险排查与防范。加强金属矿采选、金属冶炼企业的重金属污染风险防控。强化选矿废水治理设施的升级改造，选矿废水原则上回用不外排。</w:t>
            </w:r>
          </w:p>
          <w:p>
            <w:pPr>
              <w:spacing w:before="120"/>
              <w:ind w:firstLine="480"/>
            </w:pPr>
            <w:r>
              <w:t>本项目从事</w:t>
            </w:r>
            <w:r>
              <w:rPr>
                <w:rFonts w:hint="eastAsia"/>
              </w:rPr>
              <w:t>牛、羊屠宰</w:t>
            </w:r>
            <w:r>
              <w:t>，不涉及重金属和有毒有害污染物的产生和排放，建设</w:t>
            </w:r>
            <w:r>
              <w:rPr>
                <w:rFonts w:hint="eastAsia"/>
              </w:rPr>
              <w:t>项目</w:t>
            </w:r>
            <w:r>
              <w:t>符合区域管控要求；不设35蒸吨以下燃煤锅炉，采用电能作为主要能源，符合能源资源利用要求；建设单位将通过环保治理设施确保废气达标排放，废水经处理后</w:t>
            </w:r>
            <w:r>
              <w:rPr>
                <w:rFonts w:hint="eastAsia"/>
              </w:rPr>
              <w:t>达到《肉类加工工业水污染物排放标准》（GB13457-92）表3规定的畜类屠宰加工二级标准后回用于厂区及周边林地浇灌</w:t>
            </w:r>
            <w:r>
              <w:t>，</w:t>
            </w:r>
            <w:r>
              <w:rPr>
                <w:rFonts w:hint="eastAsia"/>
              </w:rPr>
              <w:t>不外排，</w:t>
            </w:r>
            <w:r>
              <w:t>固废合理处置；本项目将采取一系列风险防范措施，建立体系完备的风险管控体系，符合环境风险管控要求。综上，符合区域管控要求。</w:t>
            </w:r>
          </w:p>
          <w:p>
            <w:pPr>
              <w:spacing w:before="120"/>
              <w:ind w:firstLine="482"/>
              <w:rPr>
                <w:b/>
                <w:bCs/>
              </w:rPr>
            </w:pPr>
            <w:r>
              <w:rPr>
                <w:b/>
                <w:bCs/>
              </w:rPr>
              <w:t>（2）与环境管控单元总体管控要求的相符性分析</w:t>
            </w:r>
          </w:p>
          <w:p>
            <w:pPr>
              <w:spacing w:before="120"/>
              <w:ind w:firstLine="480"/>
            </w:pPr>
            <w:r>
              <w:t>本项目位于</w:t>
            </w:r>
            <w:r>
              <w:rPr>
                <w:rFonts w:hint="eastAsia"/>
              </w:rPr>
              <w:t>韶关市仁化县董塘镇坪岗工业区A地块</w:t>
            </w:r>
            <w:r>
              <w:t>，属于</w:t>
            </w:r>
            <w:r>
              <w:rPr>
                <w:rFonts w:hint="eastAsia"/>
              </w:rPr>
              <w:t>一般</w:t>
            </w:r>
            <w:r>
              <w:t>管控单元。项目将采用严格的污染治理措施和环境风险防范措施，确保各污染物稳定达标排放，不会对区域环境造成</w:t>
            </w:r>
            <w:r>
              <w:rPr>
                <w:rFonts w:hint="eastAsia"/>
              </w:rPr>
              <w:t>明显</w:t>
            </w:r>
            <w:r>
              <w:t>的不良影响，项目符合环境管控单元总体管控要求。</w:t>
            </w:r>
          </w:p>
          <w:p>
            <w:pPr>
              <w:widowControl/>
              <w:spacing w:before="120"/>
              <w:ind w:firstLine="482"/>
              <w:rPr>
                <w:b/>
                <w:bCs/>
                <w:color w:val="000000"/>
              </w:rPr>
            </w:pPr>
            <w:r>
              <w:rPr>
                <w:b/>
                <w:bCs/>
                <w:color w:val="000000"/>
              </w:rPr>
              <w:t>3.2与韶关市“三线一单”相符性分析</w:t>
            </w:r>
          </w:p>
          <w:p>
            <w:pPr>
              <w:spacing w:before="120"/>
              <w:ind w:firstLine="480"/>
            </w:pPr>
            <w:r>
              <w:t>根据《韶关市人民政府关于印发韶关市“三线一单”生态环境分区管控方案的通知》(韶府[2021]10号)，从区域布局管控、能源资源利用、污染物排放管控和环境风险防控等方面明确准入要求，建立“1+88”生态环境准入清单体系。“1”为全市总体管控要求，“88”为88个环境管控单元的差异性准入清单。</w:t>
            </w:r>
          </w:p>
          <w:p>
            <w:pPr>
              <w:spacing w:before="120"/>
              <w:ind w:firstLine="482"/>
              <w:rPr>
                <w:b/>
                <w:bCs/>
              </w:rPr>
            </w:pPr>
            <w:r>
              <w:rPr>
                <w:b/>
                <w:bCs/>
              </w:rPr>
              <w:t>（1）与“全市总体管控要求”的相符性分析：</w:t>
            </w:r>
          </w:p>
          <w:p>
            <w:pPr>
              <w:spacing w:before="120"/>
              <w:ind w:firstLine="480"/>
            </w:pPr>
            <w:r>
              <w:t>本项目为新建项目，不在生态保护红线内，不涉重金属、高污染高能耗和严控水污染项目，符合区域布局管控要求；本项目不设35蒸吨以下燃煤锅炉，采用电能作为主要能源，不属于新建小水电以及除国家和省规划外的风电项目，符合能源资源利用要求；不在饮用水水源保护区内，符合污染物排放管控要求；本项目将制定相应的环境风险防范措施，并定期组织开展应急演练，符合环境风险管控要求。</w:t>
            </w:r>
          </w:p>
          <w:p>
            <w:pPr>
              <w:spacing w:before="120"/>
              <w:ind w:firstLine="480"/>
            </w:pPr>
            <w:r>
              <w:t>如上所述，本项目符合全市总体管控要求，是可行的。</w:t>
            </w:r>
          </w:p>
          <w:p>
            <w:pPr>
              <w:spacing w:before="120"/>
              <w:ind w:firstLine="482"/>
              <w:rPr>
                <w:b/>
                <w:bCs/>
              </w:rPr>
            </w:pPr>
            <w:r>
              <w:rPr>
                <w:b/>
                <w:bCs/>
              </w:rPr>
              <w:t>（2）与生态环境准入清单的相符性分析：</w:t>
            </w:r>
          </w:p>
          <w:p>
            <w:pPr>
              <w:spacing w:before="120"/>
              <w:ind w:firstLine="480"/>
            </w:pPr>
            <w:r>
              <w:t>本项目位于</w:t>
            </w:r>
            <w:r>
              <w:rPr>
                <w:rFonts w:hint="eastAsia"/>
              </w:rPr>
              <w:t>韶关市仁化县董塘镇坪岗工业区A地块</w:t>
            </w:r>
            <w:r>
              <w:t>，属于“</w:t>
            </w:r>
            <w:r>
              <w:rPr>
                <w:rFonts w:hint="eastAsia"/>
              </w:rPr>
              <w:t>一般</w:t>
            </w:r>
            <w:r>
              <w:t>管控单元（78</w:t>
            </w:r>
            <w:r>
              <w:rPr>
                <w:rFonts w:hint="eastAsia"/>
              </w:rPr>
              <w:t>仁化县一般管控单元</w:t>
            </w:r>
            <w:r>
              <w:t>ZH44022430001）”</w:t>
            </w:r>
            <w:bookmarkStart w:id="6" w:name="_Hlk87692816"/>
            <w:r>
              <w:t>，详见图1-2。</w:t>
            </w:r>
          </w:p>
          <w:p>
            <w:pPr>
              <w:spacing w:before="120"/>
              <w:ind w:firstLine="0" w:firstLineChars="0"/>
              <w:jc w:val="center"/>
            </w:pPr>
            <w:r>
              <w:rPr>
                <w:b/>
                <w:sz w:val="28"/>
              </w:rPr>
              <w:drawing>
                <wp:inline distT="0" distB="0" distL="0" distR="0">
                  <wp:extent cx="3926840" cy="25241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49024" cy="2538130"/>
                          </a:xfrm>
                          <a:prstGeom prst="rect">
                            <a:avLst/>
                          </a:prstGeom>
                          <a:noFill/>
                        </pic:spPr>
                      </pic:pic>
                    </a:graphicData>
                  </a:graphic>
                </wp:inline>
              </w:drawing>
            </w:r>
          </w:p>
          <w:p>
            <w:pPr>
              <w:adjustRightInd w:val="0"/>
              <w:snapToGrid w:val="0"/>
              <w:spacing w:before="0" w:beforeLines="0"/>
              <w:ind w:firstLine="0" w:firstLineChars="0"/>
              <w:jc w:val="center"/>
              <w:rPr>
                <w:b/>
                <w:bCs/>
                <w:color w:val="000000"/>
                <w:sz w:val="21"/>
                <w:szCs w:val="21"/>
              </w:rPr>
            </w:pPr>
            <w:r>
              <w:rPr>
                <w:rFonts w:hint="eastAsia"/>
                <w:b/>
                <w:bCs/>
                <w:color w:val="000000"/>
                <w:sz w:val="21"/>
                <w:szCs w:val="21"/>
              </w:rPr>
              <w:t>图1-</w:t>
            </w:r>
            <w:r>
              <w:rPr>
                <w:b/>
                <w:bCs/>
                <w:color w:val="000000"/>
                <w:sz w:val="21"/>
                <w:szCs w:val="21"/>
              </w:rPr>
              <w:t>2</w:t>
            </w:r>
            <w:r>
              <w:rPr>
                <w:rFonts w:hint="eastAsia"/>
                <w:b/>
                <w:bCs/>
                <w:color w:val="000000"/>
                <w:sz w:val="21"/>
                <w:szCs w:val="21"/>
              </w:rPr>
              <w:t xml:space="preserve">  项目所在地环境管控单元区划图</w:t>
            </w:r>
          </w:p>
          <w:p>
            <w:pPr>
              <w:spacing w:before="120"/>
              <w:ind w:firstLine="480"/>
            </w:pPr>
            <w:r>
              <w:rPr>
                <w:rFonts w:hint="eastAsia" w:cs="宋体"/>
              </w:rPr>
              <w:t>①</w:t>
            </w:r>
            <w:r>
              <w:t>区域布局管控：</w:t>
            </w:r>
            <w:r>
              <w:rPr>
                <w:rFonts w:hint="eastAsia"/>
              </w:rPr>
              <w:t>本项目不在生态保护红线内，不从事非法猎捕、毒杀、采伐、采集野生动植物等活动；不属于除热电联产以外的煤电项目及钢铁、建材（水泥、平板玻璃）、焦化、有色、石化等高污染行业项目；本项目不产生和排放有毒有害大气污染物的建设项目以及不使用高挥发性有机物原辅材料</w:t>
            </w:r>
            <w:r>
              <w:t>；可见本项目符合区域布局管控要求。</w:t>
            </w:r>
          </w:p>
          <w:p>
            <w:pPr>
              <w:spacing w:before="120"/>
              <w:ind w:firstLine="480"/>
            </w:pPr>
            <w:r>
              <w:rPr>
                <w:rFonts w:hint="eastAsia" w:cs="宋体"/>
              </w:rPr>
              <w:t>②</w:t>
            </w:r>
            <w:r>
              <w:t>能源资源利用：本项目</w:t>
            </w:r>
            <w:r>
              <w:rPr>
                <w:rFonts w:hint="eastAsia"/>
              </w:rPr>
              <w:t>将贯彻落实“节水优先”方针，实行严格水资源管理制度</w:t>
            </w:r>
            <w:r>
              <w:t>，</w:t>
            </w:r>
            <w:r>
              <w:rPr>
                <w:rFonts w:hint="eastAsia"/>
              </w:rPr>
              <w:t>控制用水总量，</w:t>
            </w:r>
            <w:r>
              <w:t>符合能源资源利用要求。</w:t>
            </w:r>
          </w:p>
          <w:p>
            <w:pPr>
              <w:spacing w:before="120"/>
              <w:ind w:firstLine="480"/>
            </w:pPr>
            <w:r>
              <w:rPr>
                <w:rFonts w:hint="eastAsia" w:cs="宋体"/>
              </w:rPr>
              <w:t>③</w:t>
            </w:r>
            <w:r>
              <w:t>污染物排放管控：本项目各项污染物不涉及重金属污染物；本项目</w:t>
            </w:r>
            <w:r>
              <w:rPr>
                <w:rFonts w:hint="eastAsia"/>
              </w:rPr>
              <w:t>不属于种植业、水产养殖业，废水</w:t>
            </w:r>
            <w:r>
              <w:t>经厂区自建污水处理站处理后</w:t>
            </w:r>
            <w:r>
              <w:rPr>
                <w:rFonts w:hint="eastAsia"/>
              </w:rPr>
              <w:t>，达到《肉类加工工业水污染物排放标准》（GB13457-92）表3规定的畜类屠宰加工二级标准后，</w:t>
            </w:r>
            <w:r>
              <w:t>回用</w:t>
            </w:r>
            <w:r>
              <w:rPr>
                <w:rFonts w:hint="eastAsia"/>
              </w:rPr>
              <w:t>厂区及周边林地浇灌（附件3），不外排，</w:t>
            </w:r>
            <w:r>
              <w:t>符合污染物排放管控要求。</w:t>
            </w:r>
          </w:p>
          <w:p>
            <w:pPr>
              <w:spacing w:before="120"/>
              <w:ind w:firstLine="480"/>
            </w:pPr>
            <w:r>
              <w:rPr>
                <w:rFonts w:hint="eastAsia" w:cs="宋体"/>
              </w:rPr>
              <w:t>④</w:t>
            </w:r>
            <w:r>
              <w:t>环境风险管控：本项目将采取相应的环境风险防范措施，建有事故应急池、消防水池等，同时将编制突发环境事件应急预案，符合环境风险管控要求。</w:t>
            </w:r>
          </w:p>
          <w:p>
            <w:pPr>
              <w:spacing w:before="120"/>
              <w:ind w:firstLine="480"/>
            </w:pPr>
            <w:r>
              <w:t>总的来说，本项目符合</w:t>
            </w:r>
            <w:r>
              <w:rPr>
                <w:rFonts w:hint="eastAsia"/>
              </w:rPr>
              <w:t>仁化县一般管控单元</w:t>
            </w:r>
            <w:r>
              <w:t>生态环境准入清单相关要求，是可行的。</w:t>
            </w:r>
          </w:p>
          <w:bookmarkEnd w:id="6"/>
          <w:p>
            <w:pPr>
              <w:spacing w:before="120"/>
              <w:ind w:firstLine="482"/>
              <w:rPr>
                <w:b/>
                <w:bCs/>
              </w:rPr>
            </w:pPr>
            <w:r>
              <w:rPr>
                <w:b/>
                <w:bCs/>
              </w:rPr>
              <w:t>3.3生态保护红线相符性分析</w:t>
            </w:r>
          </w:p>
          <w:p>
            <w:pPr>
              <w:spacing w:before="120"/>
              <w:ind w:firstLine="480"/>
            </w:pPr>
            <w:r>
              <w:t>本项目不涉及广东省、韶关市划定的生态保护红线，</w:t>
            </w:r>
            <w:r>
              <w:rPr>
                <w:szCs w:val="32"/>
              </w:rPr>
              <w:t>属于生态空间一般管控区，</w:t>
            </w:r>
            <w:r>
              <w:t>周边无自然保护区、饮用水源保护区等生态保护目标，符合生态保护红线要求。</w:t>
            </w:r>
          </w:p>
          <w:p>
            <w:pPr>
              <w:spacing w:before="0" w:beforeLines="0" w:line="240" w:lineRule="auto"/>
              <w:ind w:firstLine="0" w:firstLineChars="0"/>
              <w:jc w:val="center"/>
            </w:pPr>
            <w:r>
              <w:drawing>
                <wp:inline distT="0" distB="0" distL="0" distR="0">
                  <wp:extent cx="4052570" cy="283845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54895" cy="2839829"/>
                          </a:xfrm>
                          <a:prstGeom prst="rect">
                            <a:avLst/>
                          </a:prstGeom>
                          <a:noFill/>
                          <a:ln>
                            <a:noFill/>
                          </a:ln>
                        </pic:spPr>
                      </pic:pic>
                    </a:graphicData>
                  </a:graphic>
                </wp:inline>
              </w:drawing>
            </w:r>
          </w:p>
          <w:p>
            <w:pPr>
              <w:adjustRightInd w:val="0"/>
              <w:snapToGrid w:val="0"/>
              <w:spacing w:before="120"/>
              <w:ind w:firstLine="0" w:firstLineChars="0"/>
              <w:jc w:val="center"/>
              <w:rPr>
                <w:b/>
                <w:bCs/>
                <w:color w:val="000000"/>
                <w:sz w:val="21"/>
                <w:szCs w:val="21"/>
              </w:rPr>
            </w:pPr>
            <w:r>
              <w:rPr>
                <w:b/>
                <w:bCs/>
                <w:color w:val="000000"/>
                <w:sz w:val="21"/>
                <w:szCs w:val="21"/>
              </w:rPr>
              <w:t xml:space="preserve">图1-3 项目所在地生态保护红线图 </w:t>
            </w:r>
          </w:p>
          <w:p>
            <w:pPr>
              <w:spacing w:before="120"/>
              <w:ind w:firstLine="482"/>
              <w:rPr>
                <w:b/>
                <w:bCs/>
              </w:rPr>
            </w:pPr>
            <w:r>
              <w:rPr>
                <w:b/>
                <w:bCs/>
              </w:rPr>
              <w:t>3.4环境质量要求底线相符性分析</w:t>
            </w:r>
          </w:p>
          <w:p>
            <w:pPr>
              <w:spacing w:before="120"/>
              <w:ind w:firstLine="480"/>
              <w:rPr>
                <w:color w:val="000000"/>
              </w:rPr>
            </w:pPr>
            <w:r>
              <w:rPr>
                <w:color w:val="000000"/>
              </w:rPr>
              <w:t>本项目生产废水</w:t>
            </w:r>
            <w:r>
              <w:rPr>
                <w:rFonts w:hint="eastAsia"/>
                <w:color w:val="000000"/>
              </w:rPr>
              <w:t>、</w:t>
            </w:r>
            <w:r>
              <w:rPr>
                <w:color w:val="000000"/>
              </w:rPr>
              <w:t>生活污水经厂区预处理后排入厂区自建污水处理站进一步处理后回用厂区绿化</w:t>
            </w:r>
            <w:r>
              <w:rPr>
                <w:rFonts w:hint="eastAsia"/>
                <w:color w:val="000000"/>
              </w:rPr>
              <w:t>及周边林地浇灌</w:t>
            </w:r>
            <w:r>
              <w:rPr>
                <w:color w:val="000000"/>
              </w:rPr>
              <w:t>，对水环境影响较小。</w:t>
            </w:r>
          </w:p>
          <w:p>
            <w:pPr>
              <w:spacing w:before="120"/>
              <w:ind w:firstLine="480"/>
            </w:pPr>
            <w:r>
              <w:t>根据《韶关市生态环境保护“十四五”规划》，项目所在区域属于二类环境空气质量功能区，执行《环境空气质量标准》（GB3095-2012）及2018年修改单中的二级标准。项目产生的废气通过处理后达标排放，对大气环境影响较小。</w:t>
            </w:r>
          </w:p>
          <w:p>
            <w:pPr>
              <w:spacing w:before="120"/>
              <w:ind w:firstLine="480"/>
            </w:pPr>
            <w:r>
              <w:t>项目所在区域声环境质量满足《声环境质量标准》(GB3096-2008)中2类功能区标准，本项目建成后噪声经减噪措施后影响较小，可满足《工业企业厂界环境噪声排放标准》（GB12348-2008）中2类标准限值。</w:t>
            </w:r>
          </w:p>
          <w:p>
            <w:pPr>
              <w:spacing w:before="120"/>
              <w:ind w:firstLine="480"/>
            </w:pPr>
            <w:r>
              <w:t>综上，项目符合环境质量底线要求。</w:t>
            </w:r>
          </w:p>
          <w:p>
            <w:pPr>
              <w:spacing w:before="120"/>
              <w:ind w:firstLine="482"/>
              <w:rPr>
                <w:b/>
                <w:bCs/>
              </w:rPr>
            </w:pPr>
            <w:r>
              <w:rPr>
                <w:b/>
                <w:bCs/>
              </w:rPr>
              <w:t>3.5资源利用上线相符性分析</w:t>
            </w:r>
          </w:p>
          <w:p>
            <w:pPr>
              <w:spacing w:before="120"/>
              <w:ind w:firstLine="480"/>
            </w:pPr>
            <w:r>
              <w:t>本项目营运过程中消耗一定量的电能、水资源等资源。韶关电力充足，水资源丰沛，项目资源消耗量相对区域资源利用总量较少，符合资源利用上线要求。</w:t>
            </w:r>
          </w:p>
          <w:p>
            <w:pPr>
              <w:spacing w:before="120"/>
              <w:ind w:firstLine="482"/>
              <w:rPr>
                <w:b/>
                <w:bCs/>
              </w:rPr>
            </w:pPr>
            <w:r>
              <w:rPr>
                <w:b/>
                <w:bCs/>
              </w:rPr>
              <w:t>3.6环境准入负面清单相符性分析</w:t>
            </w:r>
          </w:p>
          <w:p>
            <w:pPr>
              <w:spacing w:before="120"/>
              <w:ind w:firstLine="480"/>
            </w:pPr>
            <w:r>
              <w:t>本项目为</w:t>
            </w:r>
            <w:r>
              <w:rPr>
                <w:rFonts w:hint="eastAsia"/>
              </w:rPr>
              <w:t>牛羊屠宰</w:t>
            </w:r>
            <w:r>
              <w:t>行业，</w:t>
            </w:r>
            <w:r>
              <w:rPr>
                <w:rFonts w:hint="eastAsia"/>
              </w:rPr>
              <w:t>根据《市场准入负面清单（2022年版）》，本项目不属于负面清单中禁止准入类，属许可准入类，本项目建成后按规定履行相应环保手续，申报并获得农业农村部门许可并取得检疫证件方可正常经营。</w:t>
            </w:r>
          </w:p>
          <w:p>
            <w:pPr>
              <w:spacing w:before="120"/>
              <w:ind w:firstLine="562"/>
              <w:rPr>
                <w:b/>
                <w:sz w:val="28"/>
                <w:szCs w:val="28"/>
              </w:rPr>
            </w:pPr>
            <w:r>
              <w:rPr>
                <w:b/>
                <w:sz w:val="28"/>
                <w:szCs w:val="28"/>
              </w:rPr>
              <w:t>4、“两高”符合性分析</w:t>
            </w:r>
          </w:p>
          <w:p>
            <w:pPr>
              <w:spacing w:before="120"/>
              <w:ind w:firstLine="480"/>
              <w:rPr>
                <w:bCs/>
              </w:rPr>
            </w:pPr>
            <w:r>
              <w:rPr>
                <w:bCs/>
              </w:rPr>
              <w:t>生态环境部《关于加强高耗能、高排放建设项目生态环境源头防控的指导意见》（环环评〔2021〕45号)提出：严格“两高”项目环评审批，该指导意见提出：“两高”项目暂按煤电、石化、化工、钢铁、有色金属冶炼、建材等六个行业类别统计，后续对“两高”范围国家如有明确规定的，从其规定。</w:t>
            </w:r>
          </w:p>
          <w:p>
            <w:pPr>
              <w:spacing w:before="120"/>
              <w:ind w:firstLine="480"/>
              <w:rPr>
                <w:bCs/>
              </w:rPr>
            </w:pPr>
            <w:r>
              <w:rPr>
                <w:bCs/>
              </w:rPr>
              <w:t xml:space="preserve">《广东省发展改革委关于印发〈广东省坚决遏制“两高”项目盲目发展的实施方案〉的通知》（粤发改能源〔2021〕368号），明确了“两高”行业是指煤电、石化、化工、钢铁、有色金属、建材、煤化工、焦化等8个行业。“两高”项目，是指“两高”行业生产高耗能高排放产品或具有高耗能高排放生产工序，年综合能源消费量1万吨标准煤以上的固定资产投资项目，后续国家对“两高”项目范围如有明确规定，从其规定。  </w:t>
            </w:r>
          </w:p>
          <w:p>
            <w:pPr>
              <w:spacing w:before="120"/>
              <w:ind w:firstLine="480"/>
              <w:rPr>
                <w:bCs/>
              </w:rPr>
            </w:pPr>
            <w:r>
              <w:rPr>
                <w:bCs/>
              </w:rPr>
              <w:t>本项目为</w:t>
            </w:r>
            <w:r>
              <w:rPr>
                <w:rFonts w:hint="eastAsia"/>
                <w:bCs/>
              </w:rPr>
              <w:t>牛羊屠宰行业</w:t>
            </w:r>
            <w:r>
              <w:rPr>
                <w:bCs/>
              </w:rPr>
              <w:t>，不属于“两高”行业，且项目能耗不高，年用电约20万度，不属于“两高”项目。此外本项目将采取严格的废气、废水污染治理措施,确保各污染物长期稳定达标排放,不会对区域生态环境造成不良影响。总体而言，本项目的建设</w:t>
            </w:r>
            <w:r>
              <w:rPr>
                <w:rFonts w:hint="eastAsia"/>
                <w:bCs/>
              </w:rPr>
              <w:t>符合</w:t>
            </w:r>
            <w:r>
              <w:rPr>
                <w:bCs/>
              </w:rPr>
              <w:t>《关于加强高耗能、高排放建设项目生态环境源头防控的指导意见》</w:t>
            </w:r>
            <w:r>
              <w:rPr>
                <w:rFonts w:hint="eastAsia"/>
                <w:bCs/>
              </w:rPr>
              <w:t>（</w:t>
            </w:r>
            <w:r>
              <w:rPr>
                <w:bCs/>
              </w:rPr>
              <w:t>环环评〔2021〕45号</w:t>
            </w:r>
            <w:r>
              <w:rPr>
                <w:rFonts w:hint="eastAsia"/>
                <w:bCs/>
              </w:rPr>
              <w:t>）的规定</w:t>
            </w:r>
            <w:r>
              <w:rPr>
                <w:bCs/>
              </w:rPr>
              <w:t>。</w:t>
            </w:r>
          </w:p>
          <w:p>
            <w:pPr>
              <w:spacing w:before="120"/>
              <w:ind w:firstLine="482"/>
              <w:rPr>
                <w:b/>
                <w:bCs/>
              </w:rPr>
            </w:pPr>
            <w:r>
              <w:rPr>
                <w:b/>
                <w:bCs/>
              </w:rPr>
              <w:t>综上所述，本项目符合当前国家及地方产业政策，符合项目所在区域“三线一单”各项管控要求，符合“两高”等要求，选址合理。</w:t>
            </w:r>
          </w:p>
          <w:p>
            <w:pPr>
              <w:spacing w:before="120"/>
              <w:ind w:firstLine="482"/>
              <w:rPr>
                <w:b/>
                <w:bCs/>
              </w:rPr>
            </w:pPr>
          </w:p>
          <w:p>
            <w:pPr>
              <w:spacing w:before="120"/>
              <w:ind w:firstLine="482"/>
              <w:rPr>
                <w:b/>
                <w:bCs/>
              </w:rPr>
            </w:pPr>
          </w:p>
          <w:p>
            <w:pPr>
              <w:spacing w:before="120"/>
              <w:ind w:firstLine="482"/>
              <w:rPr>
                <w:b/>
                <w:bCs/>
              </w:rPr>
            </w:pPr>
          </w:p>
          <w:p>
            <w:pPr>
              <w:spacing w:before="120"/>
              <w:ind w:firstLine="0" w:firstLineChars="0"/>
              <w:rPr>
                <w:b/>
                <w:bCs/>
              </w:rPr>
            </w:pPr>
          </w:p>
        </w:tc>
      </w:tr>
    </w:tbl>
    <w:p>
      <w:pPr>
        <w:spacing w:before="120"/>
        <w:ind w:firstLine="600"/>
        <w:outlineLvl w:val="0"/>
        <w:rPr>
          <w:sz w:val="30"/>
        </w:rPr>
        <w:sectPr>
          <w:footerReference r:id="rId11" w:type="default"/>
          <w:pgSz w:w="11906" w:h="16838"/>
          <w:pgMar w:top="1701" w:right="1531" w:bottom="1701" w:left="1531" w:header="851" w:footer="1077" w:gutter="0"/>
          <w:pgNumType w:start="1"/>
          <w:cols w:space="720" w:num="1"/>
          <w:docGrid w:linePitch="312" w:charSpace="0"/>
        </w:sectPr>
      </w:pPr>
    </w:p>
    <w:p>
      <w:pPr>
        <w:pStyle w:val="18"/>
        <w:spacing w:before="120" w:beforeAutospacing="0" w:after="120" w:afterLines="50" w:afterAutospacing="0"/>
        <w:ind w:firstLine="0" w:firstLineChars="0"/>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865"/>
        <w:gridCol w:w="80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865" w:type="dxa"/>
            <w:vAlign w:val="center"/>
          </w:tcPr>
          <w:p>
            <w:pPr>
              <w:pStyle w:val="18"/>
              <w:adjustRightInd w:val="0"/>
              <w:snapToGrid w:val="0"/>
              <w:spacing w:before="120" w:beforeAutospacing="0" w:after="0" w:afterAutospacing="0"/>
              <w:ind w:left="120" w:leftChars="50" w:right="120" w:rightChars="50" w:firstLine="0" w:firstLineChars="0"/>
              <w:jc w:val="center"/>
              <w:rPr>
                <w:rFonts w:ascii="Times New Roman" w:hAnsi="Times New Roman"/>
                <w:szCs w:val="24"/>
              </w:rPr>
            </w:pPr>
            <w:r>
              <w:rPr>
                <w:rFonts w:ascii="Times New Roman" w:hAnsi="Times New Roman"/>
                <w:szCs w:val="24"/>
              </w:rPr>
              <w:t>建设内容</w:t>
            </w:r>
          </w:p>
        </w:tc>
        <w:tc>
          <w:tcPr>
            <w:tcW w:w="8007" w:type="dxa"/>
            <w:tcBorders>
              <w:top w:val="single" w:color="auto" w:sz="4" w:space="0"/>
              <w:bottom w:val="single" w:color="auto" w:sz="4" w:space="0"/>
              <w:right w:val="single" w:color="auto" w:sz="4" w:space="0"/>
            </w:tcBorders>
          </w:tcPr>
          <w:p>
            <w:pPr>
              <w:adjustRightInd w:val="0"/>
              <w:snapToGrid w:val="0"/>
              <w:spacing w:before="120"/>
              <w:ind w:firstLine="482"/>
              <w:rPr>
                <w:b/>
                <w:color w:val="000000"/>
              </w:rPr>
            </w:pPr>
            <w:r>
              <w:rPr>
                <w:b/>
                <w:color w:val="000000"/>
              </w:rPr>
              <w:t>1、项目由来</w:t>
            </w:r>
          </w:p>
          <w:p>
            <w:pPr>
              <w:adjustRightInd w:val="0"/>
              <w:snapToGrid w:val="0"/>
              <w:spacing w:before="120"/>
              <w:ind w:firstLine="480"/>
              <w:rPr>
                <w:color w:val="000000"/>
                <w:kern w:val="2"/>
                <w:szCs w:val="20"/>
              </w:rPr>
            </w:pPr>
            <w:r>
              <w:rPr>
                <w:rFonts w:hint="eastAsia"/>
                <w:color w:val="000000"/>
                <w:kern w:val="2"/>
                <w:szCs w:val="20"/>
              </w:rPr>
              <w:t>屠宰业是我国保障供给的支柱产业之一，随着人民生活水平的不断提高，人们对牛、羊等畜禽类肉产品的需求量日益增加，人们对肉类食品质量、品种、档次、营养价值等方面的要求也越来越高，肉类产品的安全与粮食安全一样，始终是一个关系农村经济发展和社会安定的根本问题。仁化及周边各县养殖牛、羊数量较多，目前没有牛、羊专业屠宰厂，依据《广东省人民政府关于深化屠宰行业改革完善屠宰管理体制机制的意见》（粤府函[2017]364号）和《韶关市深化屠宰行业改革完善屠宰管理体制机制实施方案的通知》（韶府办[2018]40号）的文件精神，需要在当地设立牛羊屠宰厂以便解决当地牛羊销售问题，基于周边地区及珠三角区域对牛羊肉的需求设施，广东创盛农业发展有限公司拟投资4</w:t>
            </w:r>
            <w:r>
              <w:rPr>
                <w:color w:val="000000"/>
                <w:kern w:val="2"/>
                <w:szCs w:val="20"/>
              </w:rPr>
              <w:t>80</w:t>
            </w:r>
            <w:r>
              <w:rPr>
                <w:rFonts w:hint="eastAsia"/>
                <w:color w:val="000000"/>
                <w:kern w:val="2"/>
                <w:szCs w:val="20"/>
              </w:rPr>
              <w:t>万元建设年屠宰牛1750头，羊50750头建设项目。</w:t>
            </w:r>
          </w:p>
          <w:p>
            <w:pPr>
              <w:adjustRightInd w:val="0"/>
              <w:snapToGrid w:val="0"/>
              <w:spacing w:before="120"/>
              <w:ind w:firstLine="480"/>
              <w:rPr>
                <w:color w:val="000000"/>
                <w:kern w:val="2"/>
                <w:szCs w:val="20"/>
              </w:rPr>
            </w:pPr>
            <w:r>
              <w:rPr>
                <w:rFonts w:hint="eastAsia"/>
                <w:color w:val="000000"/>
                <w:kern w:val="2"/>
                <w:szCs w:val="20"/>
              </w:rPr>
              <w:t>建设单位</w:t>
            </w:r>
            <w:r>
              <w:rPr>
                <w:color w:val="000000"/>
                <w:kern w:val="2"/>
                <w:szCs w:val="20"/>
              </w:rPr>
              <w:t>现</w:t>
            </w:r>
            <w:r>
              <w:rPr>
                <w:rFonts w:hint="eastAsia"/>
                <w:color w:val="000000"/>
                <w:kern w:val="2"/>
                <w:szCs w:val="20"/>
              </w:rPr>
              <w:t>有黑山羊生态养殖项目，于2</w:t>
            </w:r>
            <w:r>
              <w:rPr>
                <w:color w:val="000000"/>
                <w:kern w:val="2"/>
                <w:szCs w:val="20"/>
              </w:rPr>
              <w:t>020</w:t>
            </w:r>
            <w:r>
              <w:rPr>
                <w:rFonts w:hint="eastAsia"/>
                <w:color w:val="000000"/>
                <w:kern w:val="2"/>
                <w:szCs w:val="20"/>
              </w:rPr>
              <w:t>年5月申报《仁化县董塘镇黑山羊生态养殖项目环境影响登记表》，并取得备案回执（备案号：2</w:t>
            </w:r>
            <w:r>
              <w:rPr>
                <w:color w:val="000000"/>
                <w:kern w:val="2"/>
                <w:szCs w:val="20"/>
              </w:rPr>
              <w:t>0204402200000030</w:t>
            </w:r>
            <w:r>
              <w:rPr>
                <w:rFonts w:hint="eastAsia"/>
                <w:color w:val="000000"/>
                <w:kern w:val="2"/>
                <w:szCs w:val="20"/>
              </w:rPr>
              <w:t>，详见附件4）。公司现有项目</w:t>
            </w:r>
            <w:r>
              <w:rPr>
                <w:color w:val="000000"/>
                <w:kern w:val="2"/>
                <w:szCs w:val="20"/>
              </w:rPr>
              <w:t>位于韶关市</w:t>
            </w:r>
            <w:r>
              <w:rPr>
                <w:rFonts w:hint="eastAsia"/>
                <w:color w:val="000000"/>
                <w:kern w:val="2"/>
                <w:szCs w:val="20"/>
              </w:rPr>
              <w:t>仁化县董塘镇河富村委江下村小组，总用地面积1</w:t>
            </w:r>
            <w:r>
              <w:rPr>
                <w:color w:val="000000"/>
                <w:kern w:val="2"/>
                <w:szCs w:val="20"/>
              </w:rPr>
              <w:t>66895</w:t>
            </w:r>
            <w:r>
              <w:rPr>
                <w:rFonts w:hint="eastAsia"/>
                <w:color w:val="000000"/>
                <w:kern w:val="2"/>
                <w:szCs w:val="20"/>
              </w:rPr>
              <w:t>平方米</w:t>
            </w:r>
            <w:r>
              <w:rPr>
                <w:color w:val="000000"/>
                <w:kern w:val="2"/>
                <w:szCs w:val="20"/>
              </w:rPr>
              <w:t>，</w:t>
            </w:r>
            <w:r>
              <w:rPr>
                <w:rFonts w:hint="eastAsia"/>
                <w:color w:val="000000"/>
                <w:kern w:val="2"/>
                <w:szCs w:val="20"/>
              </w:rPr>
              <w:t>现存栏1</w:t>
            </w:r>
            <w:r>
              <w:rPr>
                <w:color w:val="000000"/>
                <w:kern w:val="2"/>
                <w:szCs w:val="20"/>
              </w:rPr>
              <w:t>200</w:t>
            </w:r>
            <w:r>
              <w:rPr>
                <w:rFonts w:hint="eastAsia"/>
                <w:color w:val="000000"/>
                <w:kern w:val="2"/>
                <w:szCs w:val="20"/>
              </w:rPr>
              <w:t>余头母羊。为了满足公司的发展需要，构建“种养+屠宰+加工+品牌+科技+农旅”等要素集聚的全产业链体系，打造省级牛羊产业园，公司现投资4</w:t>
            </w:r>
            <w:r>
              <w:rPr>
                <w:color w:val="000000"/>
                <w:kern w:val="2"/>
                <w:szCs w:val="20"/>
              </w:rPr>
              <w:t>80</w:t>
            </w:r>
            <w:r>
              <w:rPr>
                <w:rFonts w:hint="eastAsia"/>
                <w:color w:val="000000"/>
                <w:kern w:val="2"/>
                <w:szCs w:val="20"/>
              </w:rPr>
              <w:t>万元在仁化县董塘镇坪岗工业区A地块进行异地扩建，建设广东创盛农业发展有限公司年屠宰牛1750头，羊50750头建设项目，利用自身养殖的肉羊及收购周边养殖户牛羊进行屠宰加工，年屠宰牛1</w:t>
            </w:r>
            <w:r>
              <w:rPr>
                <w:color w:val="000000"/>
                <w:kern w:val="2"/>
                <w:szCs w:val="20"/>
              </w:rPr>
              <w:t>750</w:t>
            </w:r>
            <w:r>
              <w:rPr>
                <w:rFonts w:hint="eastAsia"/>
                <w:color w:val="000000"/>
                <w:kern w:val="2"/>
                <w:szCs w:val="20"/>
              </w:rPr>
              <w:t>头，羊5</w:t>
            </w:r>
            <w:r>
              <w:rPr>
                <w:color w:val="000000"/>
                <w:kern w:val="2"/>
                <w:szCs w:val="20"/>
              </w:rPr>
              <w:t>0750</w:t>
            </w:r>
            <w:r>
              <w:rPr>
                <w:rFonts w:hint="eastAsia"/>
                <w:color w:val="000000"/>
                <w:kern w:val="2"/>
                <w:szCs w:val="20"/>
              </w:rPr>
              <w:t>头，合计年宰牛羊5</w:t>
            </w:r>
            <w:r>
              <w:rPr>
                <w:color w:val="000000"/>
                <w:kern w:val="2"/>
                <w:szCs w:val="20"/>
              </w:rPr>
              <w:t>.25</w:t>
            </w:r>
            <w:r>
              <w:rPr>
                <w:rFonts w:hint="eastAsia"/>
                <w:color w:val="000000"/>
                <w:kern w:val="2"/>
                <w:szCs w:val="20"/>
              </w:rPr>
              <w:t>万头。</w:t>
            </w:r>
          </w:p>
          <w:p>
            <w:pPr>
              <w:adjustRightInd w:val="0"/>
              <w:snapToGrid w:val="0"/>
              <w:spacing w:before="120"/>
              <w:ind w:firstLine="480"/>
              <w:rPr>
                <w:color w:val="000000"/>
                <w:kern w:val="2"/>
                <w:szCs w:val="20"/>
              </w:rPr>
            </w:pPr>
            <w:r>
              <w:rPr>
                <w:rFonts w:hint="eastAsia"/>
                <w:color w:val="000000"/>
                <w:kern w:val="2"/>
                <w:szCs w:val="20"/>
              </w:rPr>
              <w:t>本次异地扩建新增厂区与原项目黑山羊生态养殖场直线距离约</w:t>
            </w:r>
            <w:r>
              <w:rPr>
                <w:color w:val="000000"/>
                <w:kern w:val="2"/>
                <w:szCs w:val="20"/>
              </w:rPr>
              <w:t>4.6</w:t>
            </w:r>
            <w:r>
              <w:rPr>
                <w:rFonts w:hint="eastAsia"/>
                <w:color w:val="000000"/>
                <w:kern w:val="2"/>
                <w:szCs w:val="20"/>
              </w:rPr>
              <w:t>公里，两者位置如下图所示：</w:t>
            </w:r>
          </w:p>
          <w:p>
            <w:pPr>
              <w:adjustRightInd w:val="0"/>
              <w:snapToGrid w:val="0"/>
              <w:spacing w:before="120"/>
              <w:ind w:firstLine="480"/>
              <w:rPr>
                <w:color w:val="000000"/>
                <w:kern w:val="2"/>
                <w:szCs w:val="20"/>
              </w:rPr>
            </w:pPr>
          </w:p>
          <w:p>
            <w:pPr>
              <w:adjustRightInd w:val="0"/>
              <w:snapToGrid w:val="0"/>
              <w:spacing w:before="120"/>
              <w:ind w:firstLine="0" w:firstLineChars="0"/>
              <w:rPr>
                <w:color w:val="000000"/>
                <w:kern w:val="2"/>
                <w:szCs w:val="20"/>
              </w:rPr>
            </w:pPr>
          </w:p>
          <w:p>
            <w:pPr>
              <w:adjustRightInd w:val="0"/>
              <w:snapToGrid w:val="0"/>
              <w:spacing w:before="120"/>
              <w:ind w:firstLine="0" w:firstLineChars="0"/>
              <w:jc w:val="center"/>
              <w:rPr>
                <w:color w:val="000000"/>
                <w:kern w:val="2"/>
                <w:szCs w:val="20"/>
              </w:rPr>
            </w:pPr>
            <w:r>
              <w:rPr>
                <w:rFonts w:hint="eastAsia"/>
                <w:color w:val="000000"/>
                <w:kern w:val="2"/>
                <w:szCs w:val="20"/>
              </w:rPr>
              <w:drawing>
                <wp:anchor distT="0" distB="0" distL="114300" distR="114300" simplePos="0" relativeHeight="251669504" behindDoc="0" locked="0" layoutInCell="1" allowOverlap="1">
                  <wp:simplePos x="0" y="0"/>
                  <wp:positionH relativeFrom="column">
                    <wp:posOffset>3691255</wp:posOffset>
                  </wp:positionH>
                  <wp:positionV relativeFrom="paragraph">
                    <wp:posOffset>90805</wp:posOffset>
                  </wp:positionV>
                  <wp:extent cx="527685" cy="548005"/>
                  <wp:effectExtent l="0" t="0" r="5715" b="4445"/>
                  <wp:wrapNone/>
                  <wp:docPr id="64" name="图片 64" descr="58c58c510abe0fd54807a8e5590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8c58c510abe0fd54807a8e55903657"/>
                          <pic:cNvPicPr>
                            <a:picLocks noChangeAspect="1"/>
                          </pic:cNvPicPr>
                        </pic:nvPicPr>
                        <pic:blipFill>
                          <a:blip r:embed="rId20"/>
                          <a:stretch>
                            <a:fillRect/>
                          </a:stretch>
                        </pic:blipFill>
                        <pic:spPr>
                          <a:xfrm>
                            <a:off x="0" y="0"/>
                            <a:ext cx="527685" cy="548005"/>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934720</wp:posOffset>
                      </wp:positionH>
                      <wp:positionV relativeFrom="paragraph">
                        <wp:posOffset>2148840</wp:posOffset>
                      </wp:positionV>
                      <wp:extent cx="609600" cy="276225"/>
                      <wp:effectExtent l="0" t="0" r="19050" b="390525"/>
                      <wp:wrapNone/>
                      <wp:docPr id="115" name="矩形标注 115"/>
                      <wp:cNvGraphicFramePr/>
                      <a:graphic xmlns:a="http://schemas.openxmlformats.org/drawingml/2006/main">
                        <a:graphicData uri="http://schemas.microsoft.com/office/word/2010/wordprocessingShape">
                          <wps:wsp>
                            <wps:cNvSpPr/>
                            <wps:spPr>
                              <a:xfrm>
                                <a:off x="0" y="0"/>
                                <a:ext cx="609600" cy="276225"/>
                              </a:xfrm>
                              <a:prstGeom prst="wedgeRectCallout">
                                <a:avLst>
                                  <a:gd name="adj1" fmla="val -4886"/>
                                  <a:gd name="adj2" fmla="val 160101"/>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原项目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3.6pt;margin-top:169.2pt;height:21.75pt;width:48pt;z-index:251666432;v-text-anchor:middle;mso-width-relative:page;mso-height-relative:page;" fillcolor="#FFFFFF [3201]" filled="t" stroked="t" coordsize="21600,21600" o:gfxdata="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VriurYAAAACwEAAA8AAAAAAAAAAQAgAAAAIgAAAGRycy9kb3du&#10;cmV2LnhtbFBLAQIUABQAAAAIAIdO4kBoCpmBqgIAAGYFAAAOAAAAAAAAAAEAIAAAACcBAABkcnMv&#10;ZTJvRG9jLnhtbFBLBQYAAAAABgAGAFkBAABDBgAAAAA=&#10;" adj="9745,45382">
                      <v:fill on="t" focussize="0,0"/>
                      <v:stroke weight="1pt" color="#000000 [3200]" miterlimit="8" joinstyle="miter"/>
                      <v:imagedata o:title=""/>
                      <o:lock v:ext="edit" aspectratio="f"/>
                      <v:textbo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原项目</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2392045</wp:posOffset>
                      </wp:positionH>
                      <wp:positionV relativeFrom="paragraph">
                        <wp:posOffset>510540</wp:posOffset>
                      </wp:positionV>
                      <wp:extent cx="647700" cy="285750"/>
                      <wp:effectExtent l="0" t="0" r="323850" b="57150"/>
                      <wp:wrapNone/>
                      <wp:docPr id="114" name="矩形标注 114"/>
                      <wp:cNvGraphicFramePr/>
                      <a:graphic xmlns:a="http://schemas.openxmlformats.org/drawingml/2006/main">
                        <a:graphicData uri="http://schemas.microsoft.com/office/word/2010/wordprocessingShape">
                          <wps:wsp>
                            <wps:cNvSpPr/>
                            <wps:spPr>
                              <a:xfrm>
                                <a:off x="0" y="0"/>
                                <a:ext cx="647700" cy="285750"/>
                              </a:xfrm>
                              <a:prstGeom prst="wedgeRectCallout">
                                <a:avLst>
                                  <a:gd name="adj1" fmla="val 89881"/>
                                  <a:gd name="adj2" fmla="val 54657"/>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本</w:t>
                                  </w:r>
                                  <w:r>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8.35pt;margin-top:40.2pt;height:22.5pt;width:51pt;z-index:251665408;v-text-anchor:middle;mso-width-relative:page;mso-height-relative:page;" fillcolor="#FFFFFF [3201]" filled="t" stroked="t" coordsize="21600,21600" o:gfxdata="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3Q47q2QAAAAoBAAAPAAAAAAAAAAEAIAAAACIAAABkcnMvZG93&#10;bnJldi54bWxQSwECFAAUAAAACACHTuJAxPkI26oCAABlBQAADgAAAAAAAAABACAAAAAoAQAAZHJz&#10;L2Uyb0RvYy54bWxQSwUGAAAAAAYABgBZAQAARAYAAAAA&#10;" adj="30214,22606">
                      <v:fill on="t" focussize="0,0"/>
                      <v:stroke weight="1pt" color="#000000 [3200]" miterlimit="8" joinstyle="miter"/>
                      <v:imagedata o:title=""/>
                      <o:lock v:ext="edit" aspectratio="f"/>
                      <v:textbo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本</w:t>
                            </w:r>
                            <w:r>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项目</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2001520</wp:posOffset>
                      </wp:positionH>
                      <wp:positionV relativeFrom="paragraph">
                        <wp:posOffset>1482090</wp:posOffset>
                      </wp:positionV>
                      <wp:extent cx="850900" cy="2667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850974" cy="266700"/>
                              </a:xfrm>
                              <a:prstGeom prst="rect">
                                <a:avLst/>
                              </a:prstGeom>
                              <a:noFill/>
                              <a:ln w="6350">
                                <a:noFill/>
                              </a:ln>
                            </wps:spPr>
                            <wps:txbx>
                              <w:txbxContent>
                                <w:p>
                                  <w:pPr>
                                    <w:spacing w:before="0" w:beforeLines="0" w:line="0" w:lineRule="atLeast"/>
                                    <w:ind w:firstLine="0" w:firstLineChars="0"/>
                                    <w:rPr>
                                      <w:b/>
                                      <w:color w:val="000000" w:themeColor="text1"/>
                                      <w:sz w:val="21"/>
                                      <w:szCs w:val="21"/>
                                      <w14:textFill>
                                        <w14:solidFill>
                                          <w14:schemeClr w14:val="tx1"/>
                                        </w14:solidFill>
                                      </w14:textFill>
                                    </w:rPr>
                                  </w:pPr>
                                  <w:r>
                                    <w:rPr>
                                      <w:rFonts w:hint="eastAsia"/>
                                      <w:b/>
                                      <w:color w:val="000000" w:themeColor="text1"/>
                                      <w:sz w:val="21"/>
                                      <w:szCs w:val="21"/>
                                      <w:highlight w:val="yellow"/>
                                      <w14:textFill>
                                        <w14:solidFill>
                                          <w14:schemeClr w14:val="tx1"/>
                                        </w14:solidFill>
                                      </w14:textFill>
                                    </w:rPr>
                                    <w:t>4623.647米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pt;margin-top:116.7pt;height:21pt;width:67pt;z-index:251664384;mso-width-relative:page;mso-height-relative:page;" filled="f" stroked="f" coordsize="21600,21600" o:gfxdata="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&#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8swwtsAAAALAQAADwAAAAAAAAABACAAAAAiAAAA&#10;ZHJzL2Rvd25yZXYueG1sUEsBAhQAFAAAAAgAh07iQDlz+3Y9AgAAZwQAAA4AAAAAAAAAAQAgAAAA&#10;KgEAAGRycy9lMm9Eb2MueG1sUEsFBgAAAAAGAAYAWQEAANkFAAAAAA==&#10;">
                      <v:fill on="f" focussize="0,0"/>
                      <v:stroke on="f" weight="0.5pt"/>
                      <v:imagedata o:title=""/>
                      <o:lock v:ext="edit" aspectratio="f"/>
                      <v:textbox>
                        <w:txbxContent>
                          <w:p>
                            <w:pPr>
                              <w:spacing w:before="0" w:beforeLines="0" w:line="0" w:lineRule="atLeast"/>
                              <w:ind w:firstLine="0" w:firstLineChars="0"/>
                              <w:rPr>
                                <w:b/>
                                <w:color w:val="000000" w:themeColor="text1"/>
                                <w:sz w:val="21"/>
                                <w:szCs w:val="21"/>
                                <w14:textFill>
                                  <w14:solidFill>
                                    <w14:schemeClr w14:val="tx1"/>
                                  </w14:solidFill>
                                </w14:textFill>
                              </w:rPr>
                            </w:pPr>
                            <w:r>
                              <w:rPr>
                                <w:rFonts w:hint="eastAsia"/>
                                <w:b/>
                                <w:color w:val="000000" w:themeColor="text1"/>
                                <w:sz w:val="21"/>
                                <w:szCs w:val="21"/>
                                <w:highlight w:val="yellow"/>
                                <w14:textFill>
                                  <w14:solidFill>
                                    <w14:schemeClr w14:val="tx1"/>
                                  </w14:solidFill>
                                </w14:textFill>
                              </w:rPr>
                              <w:t>4623.647米</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1279525</wp:posOffset>
                      </wp:positionH>
                      <wp:positionV relativeFrom="paragraph">
                        <wp:posOffset>789940</wp:posOffset>
                      </wp:positionV>
                      <wp:extent cx="1997710" cy="1960880"/>
                      <wp:effectExtent l="0" t="0" r="21590" b="20320"/>
                      <wp:wrapNone/>
                      <wp:docPr id="68" name="直接连接符 68"/>
                      <wp:cNvGraphicFramePr/>
                      <a:graphic xmlns:a="http://schemas.openxmlformats.org/drawingml/2006/main">
                        <a:graphicData uri="http://schemas.microsoft.com/office/word/2010/wordprocessingShape">
                          <wps:wsp>
                            <wps:cNvCnPr/>
                            <wps:spPr>
                              <a:xfrm flipV="1">
                                <a:off x="0" y="0"/>
                                <a:ext cx="1997938" cy="196093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00.75pt;margin-top:62.2pt;height:154.4pt;width:157.3pt;z-index:251663360;mso-width-relative:page;mso-height-relative:page;" filled="f" stroked="t" coordsize="21600,21600" o:gfxdata="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fvoA2AAAAAsBAAAPAAAAAAAAAAEAIAAAACIAAABkcnMvZG93bnJldi54bWxQ&#10;SwECFAAUAAAACACHTuJARdRz//cBAADEAwAADgAAAAAAAAABACAAAAAnAQAAZHJzL2Uyb0RvYy54&#10;bWxQSwUGAAAAAAYABgBZAQAAkAUAAAAA&#10;">
                      <v:fill on="f" focussize="0,0"/>
                      <v:stroke weight="1.5pt" color="#ED7D31 [3205]" miterlimit="8" joinstyle="miter"/>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3261360</wp:posOffset>
                      </wp:positionH>
                      <wp:positionV relativeFrom="paragraph">
                        <wp:posOffset>715645</wp:posOffset>
                      </wp:positionV>
                      <wp:extent cx="137160" cy="105410"/>
                      <wp:effectExtent l="38100" t="19050" r="34290" b="46990"/>
                      <wp:wrapNone/>
                      <wp:docPr id="32" name="五角星 32"/>
                      <wp:cNvGraphicFramePr/>
                      <a:graphic xmlns:a="http://schemas.openxmlformats.org/drawingml/2006/main">
                        <a:graphicData uri="http://schemas.microsoft.com/office/word/2010/wordprocessingShape">
                          <wps:wsp>
                            <wps:cNvSpPr/>
                            <wps:spPr>
                              <a:xfrm>
                                <a:off x="0" y="0"/>
                                <a:ext cx="137424" cy="105711"/>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6.8pt;margin-top:56.35pt;height:8.3pt;width:10.8pt;z-index:251662336;v-text-anchor:middle;mso-width-relative:page;mso-height-relative:page;" fillcolor="#FF0000" filled="t" stroked="t" coordsize="137424,105711" o:gfxdata="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iVvaR2gAAAAsBAAAP&#10;AAAAAAAAAAEAIAAAACIAAABkcnMvZG93bnJldi54bWxQSwECFAAUAAAACACHTuJA/q08zogCAAAa&#10;BQAADgAAAAAAAAABACAAAAApAQAAZHJzL2Uyb0RvYy54bWxQSwUGAAAAAAYABgBZAQAAIwYAAAAA&#10;" path="m0,40377l52491,40378,68712,0,84932,40378,137423,40377,94957,65332,111178,105710,68712,80755,26245,105710,42466,65332xe">
                      <v:path o:connectlocs="68712,0;0,40377;26245,105710;111178,105710;137423,40377" o:connectangles="247,164,82,82,0"/>
                      <v:fill on="t" focussize="0,0"/>
                      <v:stroke weight="1pt" color="#2F528F [3204]" miterlimit="8"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1184910</wp:posOffset>
                      </wp:positionH>
                      <wp:positionV relativeFrom="paragraph">
                        <wp:posOffset>2705735</wp:posOffset>
                      </wp:positionV>
                      <wp:extent cx="153035" cy="137160"/>
                      <wp:effectExtent l="38100" t="38100" r="37465" b="34290"/>
                      <wp:wrapNone/>
                      <wp:docPr id="28" name="五角星 28"/>
                      <wp:cNvGraphicFramePr/>
                      <a:graphic xmlns:a="http://schemas.openxmlformats.org/drawingml/2006/main">
                        <a:graphicData uri="http://schemas.microsoft.com/office/word/2010/wordprocessingShape">
                          <wps:wsp>
                            <wps:cNvSpPr/>
                            <wps:spPr>
                              <a:xfrm>
                                <a:off x="0" y="0"/>
                                <a:ext cx="153281" cy="13742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93.3pt;margin-top:213.05pt;height:10.8pt;width:12.05pt;z-index:251661312;v-text-anchor:middle;mso-width-relative:page;mso-height-relative:page;" fillcolor="#FF0000" filled="t" stroked="t" coordsize="153281,137424" o:gfxdata="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WoXAF2AAAAAsBAAAPAAAA&#10;AAAAAAEAIAAAACIAAABkcnMvZG93bnJldi54bWxQSwECFAAUAAAACACHTuJAxV35rIcCAAAaBQAA&#10;DgAAAAAAAAABACAAAAAnAQAAZHJzL2Uyb0RvYy54bWxQSwUGAAAAAAYABgBZAQAAIAYAAAAA&#10;" path="m0,52491l58548,52491,76640,0,94732,52491,153280,52491,105914,84932,124006,137423,76640,104981,29274,137423,47366,84932xe">
                      <v:path o:connectlocs="76640,0;0,52491;29274,137423;124006,137423;153280,52491" o:connectangles="247,164,82,82,0"/>
                      <v:fill on="t" focussize="0,0"/>
                      <v:stroke weight="1pt" color="#2F528F [3204]" miterlimit="8" joinstyle="miter"/>
                      <v:imagedata o:title=""/>
                      <o:lock v:ext="edit" aspectratio="f"/>
                    </v:shape>
                  </w:pict>
                </mc:Fallback>
              </mc:AlternateContent>
            </w:r>
            <w:r>
              <w:drawing>
                <wp:inline distT="0" distB="0" distL="0" distR="0">
                  <wp:extent cx="3424555" cy="3189605"/>
                  <wp:effectExtent l="0" t="0" r="444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3437277" cy="3201669"/>
                          </a:xfrm>
                          <a:prstGeom prst="rect">
                            <a:avLst/>
                          </a:prstGeom>
                        </pic:spPr>
                      </pic:pic>
                    </a:graphicData>
                  </a:graphic>
                </wp:inline>
              </w:drawing>
            </w:r>
          </w:p>
          <w:p>
            <w:pPr>
              <w:adjustRightInd w:val="0"/>
              <w:snapToGrid w:val="0"/>
              <w:spacing w:before="120"/>
              <w:ind w:firstLine="0" w:firstLineChars="0"/>
              <w:jc w:val="center"/>
              <w:rPr>
                <w:b/>
                <w:bCs/>
                <w:color w:val="000000"/>
                <w:kern w:val="2"/>
                <w:sz w:val="21"/>
                <w:szCs w:val="21"/>
              </w:rPr>
            </w:pPr>
            <w:r>
              <w:rPr>
                <w:rFonts w:hint="eastAsia"/>
                <w:b/>
                <w:bCs/>
                <w:color w:val="000000"/>
                <w:kern w:val="2"/>
                <w:sz w:val="21"/>
                <w:szCs w:val="21"/>
              </w:rPr>
              <w:t>图2-1  本项目与原有项目地理位置图</w:t>
            </w:r>
          </w:p>
          <w:p>
            <w:pPr>
              <w:adjustRightInd w:val="0"/>
              <w:snapToGrid w:val="0"/>
              <w:spacing w:before="120"/>
              <w:ind w:firstLine="480"/>
              <w:rPr>
                <w:color w:val="000000"/>
                <w:kern w:val="2"/>
                <w:szCs w:val="20"/>
              </w:rPr>
            </w:pPr>
            <w:r>
              <w:rPr>
                <w:color w:val="000000"/>
                <w:kern w:val="2"/>
                <w:szCs w:val="20"/>
              </w:rPr>
              <w:t>项目为异地扩建，</w:t>
            </w:r>
            <w:r>
              <w:rPr>
                <w:rFonts w:hint="eastAsia"/>
                <w:color w:val="000000"/>
                <w:kern w:val="2"/>
                <w:szCs w:val="20"/>
              </w:rPr>
              <w:t>原项目保持现状，本扩建项目</w:t>
            </w:r>
            <w:r>
              <w:rPr>
                <w:color w:val="000000"/>
                <w:kern w:val="2"/>
                <w:szCs w:val="20"/>
              </w:rPr>
              <w:t>与原项目污染物排放不重叠，</w:t>
            </w:r>
            <w:r>
              <w:rPr>
                <w:rFonts w:hint="eastAsia"/>
                <w:color w:val="000000"/>
                <w:kern w:val="2"/>
                <w:szCs w:val="20"/>
              </w:rPr>
              <w:t>本环评</w:t>
            </w:r>
            <w:r>
              <w:rPr>
                <w:color w:val="000000"/>
                <w:kern w:val="2"/>
                <w:szCs w:val="20"/>
              </w:rPr>
              <w:t>报告</w:t>
            </w:r>
            <w:r>
              <w:rPr>
                <w:rFonts w:hint="eastAsia"/>
                <w:color w:val="000000"/>
                <w:kern w:val="2"/>
                <w:szCs w:val="20"/>
              </w:rPr>
              <w:t>表</w:t>
            </w:r>
            <w:r>
              <w:rPr>
                <w:color w:val="000000"/>
                <w:kern w:val="2"/>
                <w:szCs w:val="20"/>
              </w:rPr>
              <w:t>按新建项目处理。</w:t>
            </w:r>
          </w:p>
          <w:p>
            <w:pPr>
              <w:adjustRightInd w:val="0"/>
              <w:snapToGrid w:val="0"/>
              <w:spacing w:before="120"/>
              <w:ind w:firstLine="480"/>
              <w:rPr>
                <w:color w:val="000000"/>
                <w:kern w:val="2"/>
                <w:szCs w:val="20"/>
              </w:rPr>
            </w:pPr>
            <w:r>
              <w:rPr>
                <w:color w:val="000000"/>
                <w:kern w:val="2"/>
                <w:szCs w:val="20"/>
              </w:rPr>
              <w:t>根据《中华人民共和国环境保护法》、《中华人民共和国环境影响评价法》、《建设项目环境保护管理条例》等有关规定，建设过程中或者建成投产后可能对环境产生影响的新建、扩建、改建、迁建、技术改造建设项目，必须执行环境影响评价制度。</w:t>
            </w:r>
          </w:p>
          <w:p>
            <w:pPr>
              <w:adjustRightInd w:val="0"/>
              <w:snapToGrid w:val="0"/>
              <w:spacing w:before="120"/>
              <w:ind w:firstLine="480"/>
              <w:rPr>
                <w:color w:val="000000"/>
                <w:kern w:val="2"/>
                <w:szCs w:val="20"/>
              </w:rPr>
            </w:pPr>
            <w:r>
              <w:rPr>
                <w:color w:val="000000"/>
                <w:kern w:val="2"/>
                <w:szCs w:val="20"/>
              </w:rPr>
              <w:t>根据《建设项目环境影响评价分类管理目录（2021年版）》（生态环境部令第16号），本项目属于“</w:t>
            </w:r>
            <w:r>
              <w:rPr>
                <w:rFonts w:hint="eastAsia"/>
                <w:color w:val="000000"/>
                <w:kern w:val="2"/>
                <w:szCs w:val="20"/>
              </w:rPr>
              <w:t>十、农副食品加工业13</w:t>
            </w:r>
            <w:r>
              <w:rPr>
                <w:color w:val="000000"/>
                <w:kern w:val="2"/>
                <w:szCs w:val="20"/>
              </w:rPr>
              <w:t>-18</w:t>
            </w:r>
            <w:r>
              <w:rPr>
                <w:rFonts w:hint="eastAsia"/>
                <w:color w:val="000000"/>
                <w:kern w:val="2"/>
                <w:szCs w:val="20"/>
              </w:rPr>
              <w:t>屠宰及肉类加工</w:t>
            </w:r>
            <w:r>
              <w:rPr>
                <w:color w:val="000000"/>
                <w:kern w:val="2"/>
                <w:szCs w:val="20"/>
              </w:rPr>
              <w:t>135*”：“</w:t>
            </w:r>
            <w:r>
              <w:rPr>
                <w:rFonts w:hint="eastAsia"/>
              </w:rPr>
              <w:t>其他屠宰</w:t>
            </w:r>
            <w:r>
              <w:rPr>
                <w:color w:val="000000"/>
                <w:kern w:val="2"/>
                <w:szCs w:val="20"/>
              </w:rPr>
              <w:t>”，应编制环境影响评价报告表。</w:t>
            </w:r>
          </w:p>
          <w:p>
            <w:pPr>
              <w:adjustRightInd w:val="0"/>
              <w:snapToGrid w:val="0"/>
              <w:spacing w:before="120"/>
              <w:ind w:firstLine="480"/>
              <w:rPr>
                <w:color w:val="000000"/>
                <w:kern w:val="2"/>
                <w:szCs w:val="20"/>
              </w:rPr>
            </w:pPr>
            <w:r>
              <w:rPr>
                <w:rFonts w:hint="eastAsia"/>
                <w:color w:val="000000"/>
                <w:kern w:val="2"/>
                <w:szCs w:val="20"/>
              </w:rPr>
              <w:t>我公司</w:t>
            </w:r>
            <w:r>
              <w:rPr>
                <w:color w:val="000000"/>
                <w:kern w:val="2"/>
                <w:szCs w:val="20"/>
              </w:rPr>
              <w:t>受</w:t>
            </w:r>
            <w:r>
              <w:rPr>
                <w:rFonts w:hint="eastAsia"/>
                <w:color w:val="000000"/>
                <w:kern w:val="2"/>
                <w:szCs w:val="20"/>
              </w:rPr>
              <w:t>广东创盛农业发展有限公司</w:t>
            </w:r>
            <w:r>
              <w:rPr>
                <w:color w:val="000000"/>
                <w:kern w:val="2"/>
                <w:szCs w:val="20"/>
              </w:rPr>
              <w:t>委托后，即派有关工程技术人员进行了深入的现场踏勘，收集了与该项目有关的技术资料和支持性文件，按照有关技术规范及法律法规的有关规定，编制该项目环境影响报告表，报请生态环境主管部门审批，为该项目的管理提供参考依据。</w:t>
            </w:r>
          </w:p>
          <w:p>
            <w:pPr>
              <w:adjustRightInd w:val="0"/>
              <w:snapToGrid w:val="0"/>
              <w:spacing w:before="0" w:beforeLines="0"/>
              <w:ind w:firstLine="482"/>
              <w:rPr>
                <w:b/>
                <w:bCs/>
                <w:color w:val="000000"/>
                <w:kern w:val="2"/>
                <w:szCs w:val="20"/>
              </w:rPr>
            </w:pPr>
            <w:r>
              <w:rPr>
                <w:b/>
                <w:bCs/>
                <w:color w:val="000000"/>
                <w:kern w:val="2"/>
                <w:szCs w:val="20"/>
              </w:rPr>
              <w:t>2、项目地理位置及四至情况</w:t>
            </w:r>
          </w:p>
          <w:p>
            <w:pPr>
              <w:adjustRightInd w:val="0"/>
              <w:snapToGrid w:val="0"/>
              <w:spacing w:before="120"/>
              <w:ind w:firstLine="480"/>
              <w:rPr>
                <w:color w:val="000000"/>
                <w:kern w:val="2"/>
              </w:rPr>
            </w:pPr>
            <w:bookmarkStart w:id="7" w:name="_Hlk102746034"/>
            <w:r>
              <w:t>本项目位</w:t>
            </w:r>
            <w:r>
              <w:rPr>
                <w:color w:val="000000"/>
                <w:kern w:val="2"/>
              </w:rPr>
              <w:t>于</w:t>
            </w:r>
            <w:r>
              <w:rPr>
                <w:rFonts w:hint="eastAsia"/>
                <w:color w:val="000000"/>
                <w:kern w:val="2"/>
              </w:rPr>
              <w:t>韶关市仁化县董塘镇坪岗工业区A地块</w:t>
            </w:r>
            <w:r>
              <w:rPr>
                <w:color w:val="000000"/>
                <w:kern w:val="2"/>
              </w:rPr>
              <w:t>，地理坐标为：</w:t>
            </w:r>
            <w:r>
              <w:rPr>
                <w:rFonts w:hint="eastAsia"/>
                <w:color w:val="000000"/>
                <w:kern w:val="2"/>
              </w:rPr>
              <w:t>东经113°37′</w:t>
            </w:r>
            <w:r>
              <w:rPr>
                <w:color w:val="000000"/>
                <w:kern w:val="2"/>
              </w:rPr>
              <w:t>52.115</w:t>
            </w:r>
            <w:r>
              <w:rPr>
                <w:rFonts w:hint="eastAsia"/>
                <w:color w:val="000000"/>
                <w:kern w:val="2"/>
              </w:rPr>
              <w:t>″，北纬25°3′</w:t>
            </w:r>
            <w:r>
              <w:rPr>
                <w:color w:val="000000"/>
                <w:kern w:val="2"/>
              </w:rPr>
              <w:t>8.934</w:t>
            </w:r>
            <w:r>
              <w:rPr>
                <w:rFonts w:hint="eastAsia"/>
                <w:color w:val="000000"/>
                <w:kern w:val="2"/>
              </w:rPr>
              <w:t>″</w:t>
            </w:r>
            <w:r>
              <w:rPr>
                <w:color w:val="000000"/>
                <w:kern w:val="2"/>
              </w:rPr>
              <w:t>，项目地理位置见图2-2。</w:t>
            </w:r>
          </w:p>
          <w:bookmarkEnd w:id="7"/>
          <w:tbl>
            <w:tblPr>
              <w:tblStyle w:val="22"/>
              <w:tblW w:w="5000" w:type="pct"/>
              <w:tblInd w:w="0" w:type="dxa"/>
              <w:tblLayout w:type="fixed"/>
              <w:tblCellMar>
                <w:top w:w="0" w:type="dxa"/>
                <w:left w:w="108" w:type="dxa"/>
                <w:bottom w:w="0" w:type="dxa"/>
                <w:right w:w="108" w:type="dxa"/>
              </w:tblCellMar>
            </w:tblPr>
            <w:tblGrid>
              <w:gridCol w:w="7951"/>
            </w:tblGrid>
            <w:tr>
              <w:tblPrEx>
                <w:tblCellMar>
                  <w:top w:w="0" w:type="dxa"/>
                  <w:left w:w="108" w:type="dxa"/>
                  <w:bottom w:w="0" w:type="dxa"/>
                  <w:right w:w="108" w:type="dxa"/>
                </w:tblCellMar>
              </w:tblPrEx>
              <w:trPr>
                <w:trHeight w:val="544" w:hRule="atLeast"/>
              </w:trPr>
              <w:tc>
                <w:tcPr>
                  <w:tcW w:w="7951" w:type="dxa"/>
                  <w:tcBorders>
                    <w:top w:val="nil"/>
                    <w:left w:val="nil"/>
                    <w:right w:val="nil"/>
                  </w:tcBorders>
                  <w:vAlign w:val="center"/>
                </w:tcPr>
                <w:p>
                  <w:pPr>
                    <w:adjustRightInd w:val="0"/>
                    <w:snapToGrid w:val="0"/>
                    <w:spacing w:before="0" w:beforeLines="0"/>
                    <w:ind w:firstLine="0" w:firstLineChars="0"/>
                    <w:jc w:val="center"/>
                    <w:rPr>
                      <w:b/>
                      <w:bCs/>
                      <w:color w:val="000000"/>
                      <w:sz w:val="21"/>
                      <w:szCs w:val="21"/>
                    </w:rPr>
                  </w:pPr>
                  <w:r>
                    <w:rPr>
                      <w:b/>
                      <w:bCs/>
                      <w:color w:val="000000"/>
                      <w:sz w:val="21"/>
                      <w:szCs w:val="21"/>
                    </w:rPr>
                    <w:drawing>
                      <wp:inline distT="0" distB="0" distL="0" distR="0">
                        <wp:extent cx="3246755" cy="27254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64377" cy="2740290"/>
                                </a:xfrm>
                                <a:prstGeom prst="rect">
                                  <a:avLst/>
                                </a:prstGeom>
                                <a:noFill/>
                                <a:ln>
                                  <a:noFill/>
                                </a:ln>
                              </pic:spPr>
                            </pic:pic>
                          </a:graphicData>
                        </a:graphic>
                      </wp:inline>
                    </w:drawing>
                  </w:r>
                </w:p>
                <w:p>
                  <w:pPr>
                    <w:spacing w:before="0" w:beforeLines="0" w:line="240" w:lineRule="auto"/>
                    <w:ind w:firstLine="0" w:firstLineChars="0"/>
                    <w:jc w:val="center"/>
                    <w:rPr>
                      <w:b/>
                      <w:bCs/>
                      <w:sz w:val="21"/>
                      <w:szCs w:val="21"/>
                    </w:rPr>
                  </w:pPr>
                  <w:r>
                    <w:rPr>
                      <w:rFonts w:hint="eastAsia"/>
                      <w:b/>
                      <w:bCs/>
                      <w:color w:val="000000"/>
                      <w:sz w:val="21"/>
                      <w:szCs w:val="21"/>
                    </w:rPr>
                    <w:t>图2-</w:t>
                  </w:r>
                  <w:r>
                    <w:rPr>
                      <w:b/>
                      <w:bCs/>
                      <w:color w:val="000000"/>
                      <w:sz w:val="21"/>
                      <w:szCs w:val="21"/>
                    </w:rPr>
                    <w:t xml:space="preserve">2  </w:t>
                  </w:r>
                  <w:r>
                    <w:rPr>
                      <w:rFonts w:hint="eastAsia"/>
                      <w:b/>
                      <w:bCs/>
                      <w:color w:val="000000"/>
                      <w:sz w:val="21"/>
                      <w:szCs w:val="21"/>
                    </w:rPr>
                    <w:t>项目地理位置</w:t>
                  </w:r>
                  <w:r>
                    <w:rPr>
                      <w:rFonts w:hint="eastAsia"/>
                      <w:b/>
                      <w:bCs/>
                      <w:sz w:val="21"/>
                      <w:szCs w:val="21"/>
                    </w:rPr>
                    <w:t>图</w:t>
                  </w:r>
                </w:p>
                <w:p>
                  <w:pPr>
                    <w:spacing w:before="120"/>
                    <w:ind w:firstLine="482"/>
                    <w:rPr>
                      <w:b/>
                      <w:bCs/>
                    </w:rPr>
                  </w:pPr>
                  <w:r>
                    <w:rPr>
                      <w:b/>
                      <w:bCs/>
                    </w:rPr>
                    <w:t>四至情况：</w:t>
                  </w:r>
                  <w:r>
                    <w:t>根据现场勘查，项目</w:t>
                  </w:r>
                  <w:r>
                    <w:rPr>
                      <w:rFonts w:hint="eastAsia"/>
                    </w:rPr>
                    <w:t>西侧</w:t>
                  </w:r>
                  <w:r>
                    <w:t>、</w:t>
                  </w:r>
                  <w:r>
                    <w:rPr>
                      <w:rFonts w:hint="eastAsia"/>
                    </w:rPr>
                    <w:t>北侧</w:t>
                  </w:r>
                  <w:r>
                    <w:t>均是</w:t>
                  </w:r>
                  <w:r>
                    <w:rPr>
                      <w:rFonts w:hint="eastAsia"/>
                    </w:rPr>
                    <w:t>无名乡道</w:t>
                  </w:r>
                  <w:r>
                    <w:t>，</w:t>
                  </w:r>
                  <w:r>
                    <w:rPr>
                      <w:rFonts w:hint="eastAsia"/>
                    </w:rPr>
                    <w:t>东侧</w:t>
                  </w:r>
                  <w:bookmarkStart w:id="8" w:name="_Hlk106204532"/>
                  <w:r>
                    <w:rPr>
                      <w:rFonts w:hint="eastAsia"/>
                    </w:rPr>
                    <w:t>为韶关湘大骆驼饲料</w:t>
                  </w:r>
                  <w:r>
                    <w:t>有限公司</w:t>
                  </w:r>
                  <w:bookmarkEnd w:id="8"/>
                  <w:r>
                    <w:rPr>
                      <w:rFonts w:hint="eastAsia"/>
                    </w:rPr>
                    <w:t>（正在建设中），南侧为水塘，东南侧为林地，</w:t>
                  </w:r>
                  <w:r>
                    <w:t>项目四至情况见图2-3所示。</w:t>
                  </w:r>
                </w:p>
                <w:p>
                  <w:pPr>
                    <w:adjustRightInd w:val="0"/>
                    <w:snapToGrid w:val="0"/>
                    <w:spacing w:before="0" w:beforeLines="0"/>
                    <w:ind w:firstLine="0" w:firstLineChars="0"/>
                    <w:jc w:val="center"/>
                    <w:rPr>
                      <w:color w:val="000000"/>
                    </w:rPr>
                  </w:pPr>
                  <w:r>
                    <w:rPr>
                      <w:color w:val="000000"/>
                    </w:rPr>
                    <w:drawing>
                      <wp:inline distT="0" distB="0" distL="0" distR="0">
                        <wp:extent cx="3152140" cy="3295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76443" cy="3321106"/>
                                </a:xfrm>
                                <a:prstGeom prst="rect">
                                  <a:avLst/>
                                </a:prstGeom>
                                <a:noFill/>
                                <a:ln>
                                  <a:noFill/>
                                </a:ln>
                              </pic:spPr>
                            </pic:pic>
                          </a:graphicData>
                        </a:graphic>
                      </wp:inline>
                    </w:drawing>
                  </w:r>
                </w:p>
                <w:p>
                  <w:pPr>
                    <w:spacing w:before="0" w:beforeLines="0" w:line="240" w:lineRule="auto"/>
                    <w:ind w:firstLine="0" w:firstLineChars="0"/>
                    <w:jc w:val="center"/>
                    <w:rPr>
                      <w:b/>
                      <w:kern w:val="28"/>
                      <w:sz w:val="21"/>
                      <w:szCs w:val="32"/>
                    </w:rPr>
                  </w:pPr>
                  <w:r>
                    <w:rPr>
                      <w:rFonts w:hint="eastAsia"/>
                      <w:b/>
                      <w:kern w:val="28"/>
                      <w:sz w:val="21"/>
                      <w:szCs w:val="32"/>
                    </w:rPr>
                    <w:t>图2-</w:t>
                  </w:r>
                  <w:r>
                    <w:rPr>
                      <w:b/>
                      <w:kern w:val="28"/>
                      <w:sz w:val="21"/>
                      <w:szCs w:val="32"/>
                    </w:rPr>
                    <w:t xml:space="preserve">3  </w:t>
                  </w:r>
                  <w:r>
                    <w:rPr>
                      <w:rFonts w:hint="eastAsia"/>
                      <w:b/>
                      <w:kern w:val="28"/>
                      <w:sz w:val="21"/>
                      <w:szCs w:val="32"/>
                    </w:rPr>
                    <w:t>项目四至图</w:t>
                  </w:r>
                </w:p>
                <w:p>
                  <w:pPr>
                    <w:spacing w:before="120"/>
                    <w:ind w:firstLine="482"/>
                    <w:rPr>
                      <w:b/>
                      <w:bCs/>
                    </w:rPr>
                  </w:pPr>
                  <w:r>
                    <w:rPr>
                      <w:b/>
                      <w:bCs/>
                    </w:rPr>
                    <w:t>3、本项目建设情况</w:t>
                  </w:r>
                </w:p>
                <w:p>
                  <w:pPr>
                    <w:spacing w:before="120"/>
                    <w:ind w:firstLine="482"/>
                    <w:rPr>
                      <w:b/>
                      <w:bCs/>
                    </w:rPr>
                  </w:pPr>
                  <w:r>
                    <w:rPr>
                      <w:b/>
                      <w:bCs/>
                    </w:rPr>
                    <w:t>3.1建</w:t>
                  </w:r>
                  <w:r>
                    <w:rPr>
                      <w:b/>
                      <w:bCs/>
                      <w:color w:val="000000"/>
                    </w:rPr>
                    <w:t>设内容</w:t>
                  </w:r>
                </w:p>
                <w:p>
                  <w:pPr>
                    <w:spacing w:before="120"/>
                    <w:ind w:firstLine="480"/>
                  </w:pPr>
                  <w:r>
                    <w:t>本项目总占地面积26672.38m</w:t>
                  </w:r>
                  <w:r>
                    <w:rPr>
                      <w:vertAlign w:val="superscript"/>
                    </w:rPr>
                    <w:t>2</w:t>
                  </w:r>
                  <w:r>
                    <w:t>（约40亩）</w:t>
                  </w:r>
                  <w:r>
                    <w:rPr>
                      <w:rFonts w:hint="eastAsia"/>
                    </w:rPr>
                    <w:t>，其中主体工程、辅助工程、公用工程占地面积1</w:t>
                  </w:r>
                  <w:r>
                    <w:t>0</w:t>
                  </w:r>
                  <w:r>
                    <w:rPr>
                      <w:rFonts w:hint="eastAsia"/>
                    </w:rPr>
                    <w:t>2</w:t>
                  </w:r>
                  <w:r>
                    <w:t>1</w:t>
                  </w:r>
                  <w:r>
                    <w:rPr>
                      <w:rFonts w:hint="eastAsia"/>
                    </w:rPr>
                    <w:t>6</w:t>
                  </w:r>
                  <w:r>
                    <w:t>.62m</w:t>
                  </w:r>
                  <w:r>
                    <w:rPr>
                      <w:vertAlign w:val="superscript"/>
                    </w:rPr>
                    <w:t>2</w:t>
                  </w:r>
                  <w:r>
                    <w:rPr>
                      <w:rFonts w:hint="eastAsia"/>
                    </w:rPr>
                    <w:t>，道路、绿化面积及停车位等占地面积为</w:t>
                  </w:r>
                  <w:r>
                    <w:t>16</w:t>
                  </w:r>
                  <w:r>
                    <w:rPr>
                      <w:rFonts w:hint="eastAsia"/>
                    </w:rPr>
                    <w:t>455</w:t>
                  </w:r>
                  <w:r>
                    <w:t>.76m</w:t>
                  </w:r>
                  <w:r>
                    <w:rPr>
                      <w:vertAlign w:val="superscript"/>
                    </w:rPr>
                    <w:t>2</w:t>
                  </w:r>
                  <w:r>
                    <w:t>，建筑面积约19</w:t>
                  </w:r>
                  <w:r>
                    <w:rPr>
                      <w:rFonts w:hint="eastAsia"/>
                    </w:rPr>
                    <w:t>672</w:t>
                  </w:r>
                  <w:r>
                    <w:t>.24m</w:t>
                  </w:r>
                  <w:r>
                    <w:rPr>
                      <w:vertAlign w:val="superscript"/>
                    </w:rPr>
                    <w:t>2</w:t>
                  </w:r>
                  <w:r>
                    <w:rPr>
                      <w:rFonts w:hint="eastAsia"/>
                    </w:rPr>
                    <w:t>。项目主要</w:t>
                  </w:r>
                  <w:r>
                    <w:t>建设内容包括：</w:t>
                  </w:r>
                  <w:r>
                    <w:rPr>
                      <w:rFonts w:hint="eastAsia"/>
                    </w:rPr>
                    <w:t>屠宰场、通用厂房一、二、三、科研办公楼、生活服务楼及其它配套设施</w:t>
                  </w:r>
                  <w:r>
                    <w:t>。项目建设情况详见表2-1。</w:t>
                  </w:r>
                  <w:r>
                    <w:rPr>
                      <w:bCs/>
                      <w:color w:val="000000"/>
                    </w:rPr>
                    <w:t xml:space="preserve"> </w:t>
                  </w:r>
                </w:p>
                <w:p>
                  <w:pPr>
                    <w:spacing w:before="120"/>
                    <w:ind w:firstLine="0" w:firstLineChars="0"/>
                    <w:jc w:val="center"/>
                    <w:rPr>
                      <w:b/>
                      <w:kern w:val="28"/>
                      <w:sz w:val="21"/>
                      <w:szCs w:val="32"/>
                    </w:rPr>
                  </w:pPr>
                  <w:bookmarkStart w:id="9" w:name="_Hlk97306094"/>
                  <w:bookmarkStart w:id="10" w:name="_Hlk114297587"/>
                  <w:r>
                    <w:rPr>
                      <w:b/>
                      <w:kern w:val="28"/>
                      <w:sz w:val="21"/>
                      <w:szCs w:val="32"/>
                    </w:rPr>
                    <w:t>表2-1  项目主要建设内容一览表</w:t>
                  </w:r>
                </w:p>
                <w:tbl>
                  <w:tblPr>
                    <w:tblStyle w:val="22"/>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514"/>
                    <w:gridCol w:w="1051"/>
                    <w:gridCol w:w="2576"/>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24" w:type="dxa"/>
                        <w:gridSpan w:val="3"/>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名称</w:t>
                        </w:r>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建设内容</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restart"/>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主体工程</w:t>
                        </w: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屠宰场</w:t>
                        </w:r>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1</w:t>
                        </w:r>
                        <w:r>
                          <w:rPr>
                            <w:sz w:val="21"/>
                            <w:szCs w:val="20"/>
                          </w:rPr>
                          <w:t>F</w:t>
                        </w:r>
                        <w:r>
                          <w:rPr>
                            <w:rFonts w:hint="eastAsia"/>
                            <w:sz w:val="21"/>
                            <w:szCs w:val="20"/>
                          </w:rPr>
                          <w:t>，占地面积1</w:t>
                        </w:r>
                        <w:r>
                          <w:rPr>
                            <w:sz w:val="21"/>
                            <w:szCs w:val="20"/>
                          </w:rPr>
                          <w:t>872</w:t>
                        </w:r>
                        <w:r>
                          <w:rPr>
                            <w:rFonts w:hint="eastAsia"/>
                            <w:sz w:val="21"/>
                            <w:szCs w:val="20"/>
                          </w:rPr>
                          <w:t>m</w:t>
                        </w:r>
                        <w:r>
                          <w:rPr>
                            <w:rFonts w:hint="eastAsia"/>
                            <w:sz w:val="21"/>
                            <w:szCs w:val="20"/>
                            <w:vertAlign w:val="superscript"/>
                          </w:rPr>
                          <w:t>2</w:t>
                        </w:r>
                        <w:r>
                          <w:rPr>
                            <w:rFonts w:hint="eastAsia"/>
                            <w:sz w:val="21"/>
                            <w:szCs w:val="20"/>
                          </w:rPr>
                          <w:t>，建筑面积1</w:t>
                        </w:r>
                        <w:r>
                          <w:rPr>
                            <w:sz w:val="21"/>
                            <w:szCs w:val="20"/>
                          </w:rPr>
                          <w:t>872</w:t>
                        </w:r>
                        <w:r>
                          <w:rPr>
                            <w:rFonts w:hint="eastAsia"/>
                            <w:sz w:val="21"/>
                            <w:szCs w:val="20"/>
                          </w:rPr>
                          <w:t>m</w:t>
                        </w:r>
                        <w:r>
                          <w:rPr>
                            <w:rFonts w:hint="eastAsia"/>
                            <w:sz w:val="21"/>
                            <w:szCs w:val="20"/>
                            <w:vertAlign w:val="superscript"/>
                          </w:rPr>
                          <w:t>2</w:t>
                        </w:r>
                        <w:r>
                          <w:rPr>
                            <w:rFonts w:hint="eastAsia"/>
                            <w:sz w:val="21"/>
                            <w:szCs w:val="20"/>
                          </w:rPr>
                          <w:t>，H</w:t>
                        </w:r>
                        <w:r>
                          <w:rPr>
                            <w:sz w:val="21"/>
                            <w:szCs w:val="20"/>
                          </w:rPr>
                          <w:t>8.3</w:t>
                        </w:r>
                        <w:r>
                          <w:rPr>
                            <w:rFonts w:hint="eastAsia"/>
                            <w:sz w:val="21"/>
                            <w:szCs w:val="20"/>
                          </w:rPr>
                          <w:t>m，钢架结构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120" w:line="240" w:lineRule="auto"/>
                          <w:ind w:firstLine="420"/>
                          <w:rPr>
                            <w:sz w:val="21"/>
                            <w:szCs w:val="20"/>
                          </w:rPr>
                        </w:pPr>
                        <w:r>
                          <w:rPr>
                            <w:rFonts w:hint="eastAsia"/>
                            <w:sz w:val="21"/>
                            <w:szCs w:val="20"/>
                          </w:rPr>
                          <w:t>用于屠宰牛、羊，包括待宰栏（牛羊栏）、屠宰间、加工分割包装间、低温冷藏库、卫检肉检室等，主要功能为宰杀检疫合格的牛羊。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冷库</w:t>
                        </w:r>
                      </w:p>
                    </w:tc>
                    <w:tc>
                      <w:tcPr>
                        <w:tcW w:w="2576" w:type="dxa"/>
                        <w:tcBorders>
                          <w:top w:val="single" w:color="auto" w:sz="4" w:space="0"/>
                          <w:left w:val="single" w:color="auto" w:sz="4" w:space="0"/>
                          <w:bottom w:val="single" w:color="auto" w:sz="4" w:space="0"/>
                          <w:right w:val="single" w:color="auto" w:sz="4" w:space="0"/>
                        </w:tcBorders>
                        <w:vAlign w:val="center"/>
                      </w:tcPr>
                      <w:p>
                        <w:pPr>
                          <w:spacing w:before="120" w:line="240" w:lineRule="auto"/>
                          <w:ind w:firstLine="0" w:firstLineChars="0"/>
                          <w:jc w:val="center"/>
                          <w:rPr>
                            <w:sz w:val="21"/>
                            <w:szCs w:val="20"/>
                          </w:rPr>
                        </w:pPr>
                        <w:r>
                          <w:rPr>
                            <w:rFonts w:hint="eastAsia"/>
                            <w:sz w:val="21"/>
                            <w:szCs w:val="20"/>
                          </w:rPr>
                          <w:t>1</w:t>
                        </w:r>
                        <w:r>
                          <w:rPr>
                            <w:sz w:val="21"/>
                            <w:szCs w:val="20"/>
                          </w:rPr>
                          <w:t>F</w:t>
                        </w:r>
                        <w:r>
                          <w:rPr>
                            <w:rFonts w:hint="eastAsia"/>
                            <w:sz w:val="21"/>
                            <w:szCs w:val="20"/>
                          </w:rPr>
                          <w:t>，占地面积500m</w:t>
                        </w:r>
                        <w:r>
                          <w:rPr>
                            <w:rFonts w:hint="eastAsia"/>
                            <w:sz w:val="21"/>
                            <w:szCs w:val="20"/>
                            <w:vertAlign w:val="superscript"/>
                          </w:rPr>
                          <w:t>2</w:t>
                        </w:r>
                        <w:r>
                          <w:rPr>
                            <w:rFonts w:hint="eastAsia"/>
                            <w:sz w:val="21"/>
                            <w:szCs w:val="20"/>
                          </w:rPr>
                          <w:t>，建筑面积500m</w:t>
                        </w:r>
                        <w:r>
                          <w:rPr>
                            <w:rFonts w:hint="eastAsia"/>
                            <w:sz w:val="21"/>
                            <w:szCs w:val="20"/>
                            <w:vertAlign w:val="superscript"/>
                          </w:rPr>
                          <w:t>2</w:t>
                        </w:r>
                        <w:r>
                          <w:rPr>
                            <w:rFonts w:hint="eastAsia"/>
                            <w:sz w:val="21"/>
                            <w:szCs w:val="20"/>
                          </w:rPr>
                          <w:t>，H</w:t>
                        </w:r>
                        <w:r>
                          <w:rPr>
                            <w:sz w:val="21"/>
                            <w:szCs w:val="20"/>
                          </w:rPr>
                          <w:t>8.3</w:t>
                        </w:r>
                        <w:r>
                          <w:rPr>
                            <w:rFonts w:hint="eastAsia"/>
                            <w:sz w:val="21"/>
                            <w:szCs w:val="20"/>
                          </w:rPr>
                          <w:t>m， 钢架结构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120" w:line="240" w:lineRule="auto"/>
                          <w:ind w:firstLine="0" w:firstLineChars="0"/>
                          <w:jc w:val="center"/>
                          <w:rPr>
                            <w:sz w:val="21"/>
                            <w:szCs w:val="20"/>
                          </w:rPr>
                        </w:pPr>
                        <w:r>
                          <w:rPr>
                            <w:rFonts w:hint="eastAsia"/>
                            <w:sz w:val="21"/>
                            <w:szCs w:val="20"/>
                          </w:rPr>
                          <w:t>产品冷藏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bookmarkStart w:id="11" w:name="_Hlk117442211"/>
                        <w:r>
                          <w:rPr>
                            <w:rFonts w:hint="eastAsia"/>
                            <w:sz w:val="21"/>
                            <w:szCs w:val="20"/>
                          </w:rPr>
                          <w:t>通用厂房一</w:t>
                        </w:r>
                        <w:bookmarkEnd w:id="11"/>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1</w:t>
                        </w:r>
                        <w:r>
                          <w:rPr>
                            <w:sz w:val="21"/>
                            <w:szCs w:val="20"/>
                          </w:rPr>
                          <w:t>F</w:t>
                        </w:r>
                        <w:r>
                          <w:rPr>
                            <w:rFonts w:hint="eastAsia"/>
                            <w:sz w:val="21"/>
                            <w:szCs w:val="20"/>
                          </w:rPr>
                          <w:t>，占地面积</w:t>
                        </w:r>
                        <w:r>
                          <w:rPr>
                            <w:sz w:val="21"/>
                            <w:szCs w:val="20"/>
                          </w:rPr>
                          <w:t>2574</w:t>
                        </w:r>
                        <w:r>
                          <w:rPr>
                            <w:rFonts w:hint="eastAsia"/>
                            <w:sz w:val="21"/>
                            <w:szCs w:val="20"/>
                          </w:rPr>
                          <w:t>m</w:t>
                        </w:r>
                        <w:r>
                          <w:rPr>
                            <w:rFonts w:hint="eastAsia"/>
                            <w:sz w:val="21"/>
                            <w:szCs w:val="20"/>
                            <w:vertAlign w:val="superscript"/>
                          </w:rPr>
                          <w:t>2</w:t>
                        </w:r>
                        <w:r>
                          <w:rPr>
                            <w:rFonts w:hint="eastAsia"/>
                            <w:sz w:val="21"/>
                            <w:szCs w:val="20"/>
                          </w:rPr>
                          <w:t>，建筑面积</w:t>
                        </w:r>
                        <w:r>
                          <w:rPr>
                            <w:sz w:val="21"/>
                            <w:szCs w:val="20"/>
                          </w:rPr>
                          <w:t>2574</w:t>
                        </w:r>
                        <w:r>
                          <w:rPr>
                            <w:rFonts w:hint="eastAsia"/>
                            <w:sz w:val="21"/>
                            <w:szCs w:val="20"/>
                          </w:rPr>
                          <w:t>m</w:t>
                        </w:r>
                        <w:r>
                          <w:rPr>
                            <w:rFonts w:hint="eastAsia"/>
                            <w:sz w:val="21"/>
                            <w:szCs w:val="20"/>
                            <w:vertAlign w:val="superscript"/>
                          </w:rPr>
                          <w:t>2</w:t>
                        </w:r>
                        <w:r>
                          <w:rPr>
                            <w:rFonts w:hint="eastAsia"/>
                            <w:sz w:val="21"/>
                            <w:szCs w:val="20"/>
                          </w:rPr>
                          <w:t>，H</w:t>
                        </w:r>
                        <w:r>
                          <w:rPr>
                            <w:sz w:val="21"/>
                            <w:szCs w:val="20"/>
                          </w:rPr>
                          <w:t>8.3</w:t>
                        </w:r>
                        <w:r>
                          <w:rPr>
                            <w:rFonts w:hint="eastAsia"/>
                            <w:sz w:val="21"/>
                            <w:szCs w:val="20"/>
                          </w:rPr>
                          <w:t>m，钢架结构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120" w:line="240" w:lineRule="auto"/>
                          <w:ind w:firstLine="0" w:firstLineChars="0"/>
                          <w:jc w:val="center"/>
                          <w:rPr>
                            <w:sz w:val="21"/>
                            <w:szCs w:val="20"/>
                          </w:rPr>
                        </w:pPr>
                        <w:r>
                          <w:rPr>
                            <w:rFonts w:hint="eastAsia"/>
                            <w:sz w:val="21"/>
                            <w:szCs w:val="20"/>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通用厂房二</w:t>
                        </w:r>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1</w:t>
                        </w:r>
                        <w:r>
                          <w:rPr>
                            <w:sz w:val="21"/>
                            <w:szCs w:val="20"/>
                          </w:rPr>
                          <w:t>F</w:t>
                        </w:r>
                        <w:r>
                          <w:rPr>
                            <w:rFonts w:hint="eastAsia"/>
                            <w:sz w:val="21"/>
                            <w:szCs w:val="20"/>
                          </w:rPr>
                          <w:t>，占地面积</w:t>
                        </w:r>
                        <w:r>
                          <w:rPr>
                            <w:sz w:val="21"/>
                            <w:szCs w:val="20"/>
                          </w:rPr>
                          <w:t>1353</w:t>
                        </w:r>
                        <w:r>
                          <w:rPr>
                            <w:rFonts w:hint="eastAsia"/>
                            <w:sz w:val="21"/>
                            <w:szCs w:val="20"/>
                          </w:rPr>
                          <w:t>m</w:t>
                        </w:r>
                        <w:r>
                          <w:rPr>
                            <w:rFonts w:hint="eastAsia"/>
                            <w:sz w:val="21"/>
                            <w:szCs w:val="20"/>
                            <w:vertAlign w:val="superscript"/>
                          </w:rPr>
                          <w:t>2</w:t>
                        </w:r>
                        <w:r>
                          <w:rPr>
                            <w:rFonts w:hint="eastAsia"/>
                            <w:sz w:val="21"/>
                            <w:szCs w:val="20"/>
                          </w:rPr>
                          <w:t>，建筑面积</w:t>
                        </w:r>
                        <w:r>
                          <w:rPr>
                            <w:sz w:val="21"/>
                            <w:szCs w:val="20"/>
                          </w:rPr>
                          <w:t>1353</w:t>
                        </w:r>
                        <w:r>
                          <w:rPr>
                            <w:rFonts w:hint="eastAsia"/>
                            <w:sz w:val="21"/>
                            <w:szCs w:val="20"/>
                          </w:rPr>
                          <w:t>m</w:t>
                        </w:r>
                        <w:r>
                          <w:rPr>
                            <w:rFonts w:hint="eastAsia"/>
                            <w:sz w:val="21"/>
                            <w:szCs w:val="20"/>
                            <w:vertAlign w:val="superscript"/>
                          </w:rPr>
                          <w:t>2</w:t>
                        </w:r>
                        <w:r>
                          <w:rPr>
                            <w:rFonts w:hint="eastAsia"/>
                            <w:sz w:val="21"/>
                            <w:szCs w:val="20"/>
                          </w:rPr>
                          <w:t>，H</w:t>
                        </w:r>
                        <w:r>
                          <w:rPr>
                            <w:sz w:val="21"/>
                            <w:szCs w:val="20"/>
                          </w:rPr>
                          <w:t>8.3</w:t>
                        </w:r>
                        <w:r>
                          <w:rPr>
                            <w:rFonts w:hint="eastAsia"/>
                            <w:sz w:val="21"/>
                            <w:szCs w:val="20"/>
                          </w:rPr>
                          <w:t>m，钢架结构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120" w:line="240" w:lineRule="auto"/>
                          <w:ind w:firstLine="0" w:firstLineChars="0"/>
                          <w:jc w:val="center"/>
                          <w:rPr>
                            <w:sz w:val="21"/>
                            <w:szCs w:val="20"/>
                          </w:rPr>
                        </w:pPr>
                        <w:r>
                          <w:rPr>
                            <w:rFonts w:hint="eastAsia"/>
                            <w:sz w:val="21"/>
                            <w:szCs w:val="20"/>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通用厂房三</w:t>
                        </w:r>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3F</w:t>
                        </w:r>
                        <w:r>
                          <w:rPr>
                            <w:rFonts w:hint="eastAsia"/>
                            <w:sz w:val="21"/>
                            <w:szCs w:val="20"/>
                          </w:rPr>
                          <w:t>，占地面积</w:t>
                        </w:r>
                        <w:r>
                          <w:rPr>
                            <w:sz w:val="21"/>
                            <w:szCs w:val="20"/>
                          </w:rPr>
                          <w:t>1152</w:t>
                        </w:r>
                        <w:r>
                          <w:rPr>
                            <w:rFonts w:hint="eastAsia"/>
                            <w:sz w:val="21"/>
                            <w:szCs w:val="20"/>
                          </w:rPr>
                          <w:t>m</w:t>
                        </w:r>
                        <w:r>
                          <w:rPr>
                            <w:rFonts w:hint="eastAsia"/>
                            <w:sz w:val="21"/>
                            <w:szCs w:val="20"/>
                            <w:vertAlign w:val="superscript"/>
                          </w:rPr>
                          <w:t>2</w:t>
                        </w:r>
                        <w:r>
                          <w:rPr>
                            <w:rFonts w:hint="eastAsia"/>
                            <w:sz w:val="21"/>
                            <w:szCs w:val="20"/>
                          </w:rPr>
                          <w:t>，建筑面积</w:t>
                        </w:r>
                        <w:r>
                          <w:rPr>
                            <w:sz w:val="21"/>
                            <w:szCs w:val="20"/>
                          </w:rPr>
                          <w:t>3456</w:t>
                        </w:r>
                        <w:r>
                          <w:rPr>
                            <w:rFonts w:hint="eastAsia"/>
                            <w:sz w:val="21"/>
                            <w:szCs w:val="20"/>
                          </w:rPr>
                          <w:t>m</w:t>
                        </w:r>
                        <w:r>
                          <w:rPr>
                            <w:rFonts w:hint="eastAsia"/>
                            <w:sz w:val="21"/>
                            <w:szCs w:val="20"/>
                            <w:vertAlign w:val="superscript"/>
                          </w:rPr>
                          <w:t>2</w:t>
                        </w:r>
                        <w:r>
                          <w:rPr>
                            <w:rFonts w:hint="eastAsia"/>
                            <w:sz w:val="21"/>
                            <w:szCs w:val="20"/>
                          </w:rPr>
                          <w:t>，H</w:t>
                        </w:r>
                        <w:r>
                          <w:rPr>
                            <w:sz w:val="21"/>
                            <w:szCs w:val="20"/>
                          </w:rPr>
                          <w:t>18.3</w:t>
                        </w:r>
                        <w:r>
                          <w:rPr>
                            <w:rFonts w:hint="eastAsia"/>
                            <w:sz w:val="21"/>
                            <w:szCs w:val="20"/>
                          </w:rPr>
                          <w:t>m，钢架结构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120" w:line="240" w:lineRule="auto"/>
                          <w:ind w:firstLine="0" w:firstLineChars="0"/>
                          <w:jc w:val="center"/>
                          <w:rPr>
                            <w:sz w:val="21"/>
                            <w:szCs w:val="20"/>
                          </w:rPr>
                        </w:pPr>
                        <w:r>
                          <w:rPr>
                            <w:rFonts w:hint="eastAsia"/>
                            <w:sz w:val="21"/>
                            <w:szCs w:val="20"/>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bookmarkStart w:id="12" w:name="_Hlk117442384"/>
                        <w:r>
                          <w:rPr>
                            <w:rFonts w:hint="eastAsia"/>
                            <w:sz w:val="21"/>
                            <w:szCs w:val="20"/>
                          </w:rPr>
                          <w:t>科研办公楼</w:t>
                        </w:r>
                        <w:bookmarkEnd w:id="12"/>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5</w:t>
                        </w:r>
                        <w:r>
                          <w:rPr>
                            <w:rFonts w:hint="eastAsia"/>
                            <w:sz w:val="21"/>
                            <w:szCs w:val="20"/>
                          </w:rPr>
                          <w:t>F，占地面积</w:t>
                        </w:r>
                        <w:r>
                          <w:rPr>
                            <w:sz w:val="21"/>
                            <w:szCs w:val="20"/>
                          </w:rPr>
                          <w:t>731</w:t>
                        </w:r>
                        <w:r>
                          <w:rPr>
                            <w:rFonts w:hint="eastAsia"/>
                            <w:sz w:val="21"/>
                            <w:szCs w:val="20"/>
                          </w:rPr>
                          <w:t>m</w:t>
                        </w:r>
                        <w:r>
                          <w:rPr>
                            <w:rFonts w:hint="eastAsia"/>
                            <w:sz w:val="21"/>
                            <w:szCs w:val="20"/>
                            <w:vertAlign w:val="superscript"/>
                          </w:rPr>
                          <w:t>2</w:t>
                        </w:r>
                        <w:r>
                          <w:rPr>
                            <w:rFonts w:hint="eastAsia"/>
                            <w:sz w:val="21"/>
                            <w:szCs w:val="20"/>
                          </w:rPr>
                          <w:t>，建筑面积</w:t>
                        </w:r>
                        <w:r>
                          <w:rPr>
                            <w:sz w:val="21"/>
                            <w:szCs w:val="20"/>
                          </w:rPr>
                          <w:t>3655</w:t>
                        </w:r>
                        <w:r>
                          <w:rPr>
                            <w:rFonts w:hint="eastAsia"/>
                            <w:sz w:val="21"/>
                            <w:szCs w:val="20"/>
                          </w:rPr>
                          <w:t>m</w:t>
                        </w:r>
                        <w:r>
                          <w:rPr>
                            <w:rFonts w:hint="eastAsia"/>
                            <w:sz w:val="21"/>
                            <w:szCs w:val="20"/>
                            <w:vertAlign w:val="superscript"/>
                          </w:rPr>
                          <w:t>2</w:t>
                        </w:r>
                        <w:r>
                          <w:rPr>
                            <w:rFonts w:hint="eastAsia"/>
                            <w:sz w:val="21"/>
                            <w:szCs w:val="20"/>
                          </w:rPr>
                          <w:t>，H</w:t>
                        </w:r>
                        <w:r>
                          <w:rPr>
                            <w:sz w:val="21"/>
                            <w:szCs w:val="20"/>
                          </w:rPr>
                          <w:t>19.5</w:t>
                        </w:r>
                        <w:r>
                          <w:rPr>
                            <w:rFonts w:hint="eastAsia"/>
                            <w:sz w:val="21"/>
                            <w:szCs w:val="20"/>
                          </w:rPr>
                          <w:t>m，砖混结构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用于办公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restart"/>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辅助工程</w:t>
                        </w: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bookmarkStart w:id="13" w:name="_Hlk117442617"/>
                        <w:r>
                          <w:rPr>
                            <w:rFonts w:hint="eastAsia"/>
                            <w:sz w:val="21"/>
                            <w:szCs w:val="20"/>
                          </w:rPr>
                          <w:t>生活服务楼</w:t>
                        </w:r>
                        <w:bookmarkEnd w:id="13"/>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5</w:t>
                        </w:r>
                        <w:r>
                          <w:rPr>
                            <w:rFonts w:hint="eastAsia"/>
                            <w:sz w:val="21"/>
                            <w:szCs w:val="20"/>
                          </w:rPr>
                          <w:t>F，占地面积</w:t>
                        </w:r>
                        <w:r>
                          <w:rPr>
                            <w:sz w:val="21"/>
                            <w:szCs w:val="20"/>
                          </w:rPr>
                          <w:t>876</w:t>
                        </w:r>
                        <w:r>
                          <w:rPr>
                            <w:rFonts w:hint="eastAsia"/>
                            <w:sz w:val="21"/>
                            <w:szCs w:val="20"/>
                          </w:rPr>
                          <w:t>m</w:t>
                        </w:r>
                        <w:r>
                          <w:rPr>
                            <w:rFonts w:hint="eastAsia"/>
                            <w:sz w:val="21"/>
                            <w:szCs w:val="20"/>
                            <w:vertAlign w:val="superscript"/>
                          </w:rPr>
                          <w:t>2</w:t>
                        </w:r>
                        <w:r>
                          <w:rPr>
                            <w:rFonts w:hint="eastAsia"/>
                            <w:sz w:val="21"/>
                            <w:szCs w:val="20"/>
                          </w:rPr>
                          <w:t>，建筑面积</w:t>
                        </w:r>
                        <w:r>
                          <w:rPr>
                            <w:sz w:val="21"/>
                            <w:szCs w:val="20"/>
                          </w:rPr>
                          <w:t>4380</w:t>
                        </w:r>
                        <w:r>
                          <w:rPr>
                            <w:rFonts w:hint="eastAsia"/>
                            <w:sz w:val="21"/>
                            <w:szCs w:val="20"/>
                          </w:rPr>
                          <w:t>m</w:t>
                        </w:r>
                        <w:r>
                          <w:rPr>
                            <w:rFonts w:hint="eastAsia"/>
                            <w:sz w:val="21"/>
                            <w:szCs w:val="20"/>
                            <w:vertAlign w:val="superscript"/>
                          </w:rPr>
                          <w:t>2</w:t>
                        </w:r>
                        <w:r>
                          <w:rPr>
                            <w:rFonts w:hint="eastAsia"/>
                            <w:sz w:val="21"/>
                            <w:szCs w:val="20"/>
                          </w:rPr>
                          <w:t>，H</w:t>
                        </w:r>
                        <w:r>
                          <w:rPr>
                            <w:sz w:val="21"/>
                            <w:szCs w:val="20"/>
                          </w:rPr>
                          <w:t>18.3</w:t>
                        </w:r>
                        <w:r>
                          <w:rPr>
                            <w:rFonts w:hint="eastAsia"/>
                            <w:sz w:val="21"/>
                            <w:szCs w:val="20"/>
                          </w:rPr>
                          <w:t>m，砖混结构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用于厂区员工食宿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bookmarkStart w:id="14" w:name="_Hlk117442475"/>
                        <w:r>
                          <w:rPr>
                            <w:rFonts w:hint="eastAsia"/>
                            <w:sz w:val="21"/>
                            <w:szCs w:val="20"/>
                          </w:rPr>
                          <w:t>体验园</w:t>
                        </w:r>
                        <w:bookmarkEnd w:id="14"/>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2</w:t>
                        </w:r>
                        <w:r>
                          <w:rPr>
                            <w:rFonts w:hint="eastAsia"/>
                            <w:sz w:val="21"/>
                            <w:szCs w:val="20"/>
                          </w:rPr>
                          <w:t>F，占地面积</w:t>
                        </w:r>
                        <w:r>
                          <w:rPr>
                            <w:sz w:val="21"/>
                            <w:szCs w:val="20"/>
                          </w:rPr>
                          <w:t>333.62</w:t>
                        </w:r>
                        <w:r>
                          <w:rPr>
                            <w:rFonts w:hint="eastAsia"/>
                            <w:sz w:val="21"/>
                            <w:szCs w:val="20"/>
                          </w:rPr>
                          <w:t>m</w:t>
                        </w:r>
                        <w:r>
                          <w:rPr>
                            <w:rFonts w:hint="eastAsia"/>
                            <w:sz w:val="21"/>
                            <w:szCs w:val="20"/>
                            <w:vertAlign w:val="superscript"/>
                          </w:rPr>
                          <w:t>2</w:t>
                        </w:r>
                        <w:r>
                          <w:rPr>
                            <w:rFonts w:hint="eastAsia"/>
                            <w:sz w:val="21"/>
                            <w:szCs w:val="20"/>
                          </w:rPr>
                          <w:t>，建筑面积</w:t>
                        </w:r>
                        <w:r>
                          <w:rPr>
                            <w:sz w:val="21"/>
                            <w:szCs w:val="20"/>
                          </w:rPr>
                          <w:t>667.24</w:t>
                        </w:r>
                        <w:r>
                          <w:rPr>
                            <w:rFonts w:hint="eastAsia"/>
                            <w:sz w:val="21"/>
                            <w:szCs w:val="20"/>
                          </w:rPr>
                          <w:t>m</w:t>
                        </w:r>
                        <w:r>
                          <w:rPr>
                            <w:rFonts w:hint="eastAsia"/>
                            <w:sz w:val="21"/>
                            <w:szCs w:val="20"/>
                            <w:vertAlign w:val="superscript"/>
                          </w:rPr>
                          <w:t>2</w:t>
                        </w:r>
                        <w:r>
                          <w:rPr>
                            <w:rFonts w:hint="eastAsia"/>
                            <w:sz w:val="21"/>
                            <w:szCs w:val="20"/>
                          </w:rPr>
                          <w:t>，H</w:t>
                        </w:r>
                        <w:r>
                          <w:rPr>
                            <w:sz w:val="21"/>
                            <w:szCs w:val="20"/>
                          </w:rPr>
                          <w:t>8. 3</w:t>
                        </w:r>
                        <w:r>
                          <w:rPr>
                            <w:rFonts w:hint="eastAsia"/>
                            <w:sz w:val="21"/>
                            <w:szCs w:val="20"/>
                          </w:rPr>
                          <w:t>m，砖混结构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用于企业产品展示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bookmarkStart w:id="15" w:name="_Hlk117442363"/>
                        <w:r>
                          <w:rPr>
                            <w:rFonts w:hint="eastAsia"/>
                            <w:sz w:val="21"/>
                            <w:szCs w:val="20"/>
                          </w:rPr>
                          <w:t>发配电房及消防水池</w:t>
                        </w:r>
                        <w:bookmarkEnd w:id="15"/>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2F，地上一层，钢结构，占地面积</w:t>
                        </w:r>
                        <w:r>
                          <w:rPr>
                            <w:sz w:val="21"/>
                            <w:szCs w:val="20"/>
                          </w:rPr>
                          <w:t>390</w:t>
                        </w:r>
                        <w:r>
                          <w:rPr>
                            <w:rFonts w:hint="eastAsia"/>
                            <w:sz w:val="21"/>
                            <w:szCs w:val="20"/>
                          </w:rPr>
                          <w:t>m</w:t>
                        </w:r>
                        <w:r>
                          <w:rPr>
                            <w:rFonts w:hint="eastAsia"/>
                            <w:sz w:val="21"/>
                            <w:szCs w:val="20"/>
                            <w:vertAlign w:val="superscript"/>
                          </w:rPr>
                          <w:t>2</w:t>
                        </w:r>
                        <w:r>
                          <w:rPr>
                            <w:rFonts w:hint="eastAsia"/>
                            <w:sz w:val="21"/>
                            <w:szCs w:val="20"/>
                          </w:rPr>
                          <w:t>，</w:t>
                        </w:r>
                        <w:r>
                          <w:rPr>
                            <w:sz w:val="21"/>
                            <w:szCs w:val="20"/>
                          </w:rPr>
                          <w:t xml:space="preserve"> </w:t>
                        </w:r>
                        <w:r>
                          <w:rPr>
                            <w:rFonts w:hint="eastAsia"/>
                            <w:sz w:val="21"/>
                            <w:szCs w:val="20"/>
                          </w:rPr>
                          <w:t>H</w:t>
                        </w:r>
                        <w:r>
                          <w:rPr>
                            <w:sz w:val="21"/>
                            <w:szCs w:val="20"/>
                          </w:rPr>
                          <w:t>5.1</w:t>
                        </w:r>
                        <w:r>
                          <w:rPr>
                            <w:rFonts w:hint="eastAsia"/>
                            <w:sz w:val="21"/>
                            <w:szCs w:val="20"/>
                          </w:rPr>
                          <w:t>m， 地下一层，面积</w:t>
                        </w:r>
                        <w:r>
                          <w:rPr>
                            <w:sz w:val="21"/>
                            <w:szCs w:val="20"/>
                          </w:rPr>
                          <w:t>390</w:t>
                        </w:r>
                        <w:r>
                          <w:rPr>
                            <w:rFonts w:hint="eastAsia"/>
                            <w:sz w:val="21"/>
                            <w:szCs w:val="20"/>
                          </w:rPr>
                          <w:t>m</w:t>
                        </w:r>
                        <w:r>
                          <w:rPr>
                            <w:rFonts w:hint="eastAsia"/>
                            <w:sz w:val="21"/>
                            <w:szCs w:val="20"/>
                            <w:vertAlign w:val="superscript"/>
                          </w:rPr>
                          <w:t>2</w:t>
                        </w:r>
                        <w:r>
                          <w:rPr>
                            <w:rFonts w:hint="eastAsia"/>
                            <w:sz w:val="21"/>
                            <w:szCs w:val="20"/>
                          </w:rPr>
                          <w:t>，建筑面积</w:t>
                        </w:r>
                        <w:r>
                          <w:rPr>
                            <w:sz w:val="21"/>
                            <w:szCs w:val="20"/>
                          </w:rPr>
                          <w:t>780</w:t>
                        </w:r>
                        <w:r>
                          <w:rPr>
                            <w:rFonts w:hint="eastAsia"/>
                            <w:sz w:val="21"/>
                            <w:szCs w:val="20"/>
                          </w:rPr>
                          <w:t xml:space="preserve"> m</w:t>
                        </w:r>
                        <w:r>
                          <w:rPr>
                            <w:rFonts w:hint="eastAsia"/>
                            <w:sz w:val="21"/>
                            <w:szCs w:val="20"/>
                            <w:vertAlign w:val="superscript"/>
                          </w:rPr>
                          <w:t>2</w:t>
                        </w:r>
                        <w:r>
                          <w:rPr>
                            <w:rFonts w:hint="eastAsia"/>
                            <w:sz w:val="21"/>
                            <w:szCs w:val="20"/>
                          </w:rPr>
                          <w:t>。</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地上1</w:t>
                        </w:r>
                        <w:r>
                          <w:rPr>
                            <w:sz w:val="21"/>
                            <w:szCs w:val="20"/>
                          </w:rPr>
                          <w:t>F</w:t>
                        </w:r>
                        <w:r>
                          <w:rPr>
                            <w:rFonts w:hint="eastAsia"/>
                            <w:sz w:val="21"/>
                            <w:szCs w:val="20"/>
                          </w:rPr>
                          <w:t>为发配电房；地下1</w:t>
                        </w:r>
                        <w:r>
                          <w:rPr>
                            <w:sz w:val="21"/>
                            <w:szCs w:val="20"/>
                          </w:rPr>
                          <w:t>F</w:t>
                        </w:r>
                        <w:r>
                          <w:rPr>
                            <w:rFonts w:hint="eastAsia"/>
                            <w:sz w:val="21"/>
                            <w:szCs w:val="20"/>
                          </w:rPr>
                          <w:t>为消防水池；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无害化处理间</w:t>
                        </w:r>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1</w:t>
                        </w:r>
                        <w:r>
                          <w:rPr>
                            <w:sz w:val="21"/>
                            <w:szCs w:val="20"/>
                          </w:rPr>
                          <w:t>F</w:t>
                        </w:r>
                        <w:r>
                          <w:rPr>
                            <w:rFonts w:hint="eastAsia"/>
                            <w:sz w:val="21"/>
                            <w:szCs w:val="20"/>
                          </w:rPr>
                          <w:t>，占地面积</w:t>
                        </w:r>
                        <w:r>
                          <w:rPr>
                            <w:sz w:val="21"/>
                            <w:szCs w:val="20"/>
                          </w:rPr>
                          <w:t>8</w:t>
                        </w:r>
                        <w:r>
                          <w:rPr>
                            <w:rFonts w:hint="eastAsia"/>
                            <w:sz w:val="21"/>
                            <w:szCs w:val="20"/>
                          </w:rPr>
                          <w:t xml:space="preserve"> m</w:t>
                        </w:r>
                        <w:r>
                          <w:rPr>
                            <w:rFonts w:hint="eastAsia"/>
                            <w:sz w:val="21"/>
                            <w:szCs w:val="20"/>
                            <w:vertAlign w:val="superscript"/>
                          </w:rPr>
                          <w:t>2</w:t>
                        </w:r>
                        <w:r>
                          <w:rPr>
                            <w:rFonts w:hint="eastAsia"/>
                            <w:sz w:val="21"/>
                            <w:szCs w:val="20"/>
                          </w:rPr>
                          <w:t>，建筑面积</w:t>
                        </w:r>
                        <w:r>
                          <w:rPr>
                            <w:sz w:val="21"/>
                            <w:szCs w:val="20"/>
                          </w:rPr>
                          <w:t>8</w:t>
                        </w:r>
                        <w:r>
                          <w:rPr>
                            <w:rFonts w:hint="eastAsia"/>
                            <w:sz w:val="21"/>
                            <w:szCs w:val="20"/>
                          </w:rPr>
                          <w:t xml:space="preserve"> m</w:t>
                        </w:r>
                        <w:r>
                          <w:rPr>
                            <w:rFonts w:hint="eastAsia"/>
                            <w:sz w:val="21"/>
                            <w:szCs w:val="20"/>
                            <w:vertAlign w:val="superscript"/>
                          </w:rPr>
                          <w:t>2</w:t>
                        </w:r>
                        <w:r>
                          <w:rPr>
                            <w:rFonts w:hint="eastAsia"/>
                            <w:sz w:val="21"/>
                            <w:szCs w:val="20"/>
                          </w:rPr>
                          <w:t>，H</w:t>
                        </w:r>
                        <w:r>
                          <w:rPr>
                            <w:sz w:val="21"/>
                            <w:szCs w:val="20"/>
                          </w:rPr>
                          <w:t>8.3</w:t>
                        </w:r>
                        <w:r>
                          <w:rPr>
                            <w:rFonts w:hint="eastAsia"/>
                            <w:sz w:val="21"/>
                            <w:szCs w:val="20"/>
                          </w:rPr>
                          <w:t>m，钢架结构</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消毒槽</w:t>
                        </w:r>
                      </w:p>
                    </w:tc>
                    <w:tc>
                      <w:tcPr>
                        <w:tcW w:w="257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1</w:t>
                        </w:r>
                        <w:r>
                          <w:rPr>
                            <w:sz w:val="21"/>
                            <w:szCs w:val="20"/>
                          </w:rPr>
                          <w:t>F</w:t>
                        </w:r>
                        <w:r>
                          <w:rPr>
                            <w:rFonts w:hint="eastAsia"/>
                            <w:sz w:val="21"/>
                            <w:szCs w:val="20"/>
                          </w:rPr>
                          <w:t>，占地面积6m</w:t>
                        </w:r>
                        <w:r>
                          <w:rPr>
                            <w:rFonts w:hint="eastAsia"/>
                            <w:sz w:val="21"/>
                            <w:szCs w:val="20"/>
                            <w:vertAlign w:val="superscript"/>
                          </w:rPr>
                          <w:t>2</w:t>
                        </w:r>
                        <w:r>
                          <w:rPr>
                            <w:rFonts w:hint="eastAsia"/>
                            <w:sz w:val="21"/>
                            <w:szCs w:val="20"/>
                          </w:rPr>
                          <w:t>，建筑面积</w:t>
                        </w:r>
                        <w:r>
                          <w:rPr>
                            <w:sz w:val="21"/>
                            <w:szCs w:val="20"/>
                          </w:rPr>
                          <w:t>6</w:t>
                        </w:r>
                        <w:r>
                          <w:rPr>
                            <w:rFonts w:hint="eastAsia"/>
                            <w:sz w:val="21"/>
                            <w:szCs w:val="20"/>
                          </w:rPr>
                          <w:t>m</w:t>
                        </w:r>
                        <w:r>
                          <w:rPr>
                            <w:rFonts w:hint="eastAsia"/>
                            <w:sz w:val="21"/>
                            <w:szCs w:val="20"/>
                            <w:vertAlign w:val="superscript"/>
                          </w:rPr>
                          <w:t>2</w:t>
                        </w:r>
                        <w:r>
                          <w:rPr>
                            <w:sz w:val="21"/>
                            <w:szCs w:val="20"/>
                          </w:rPr>
                          <w:t xml:space="preserve"> </w:t>
                        </w:r>
                      </w:p>
                    </w:tc>
                    <w:tc>
                      <w:tcPr>
                        <w:tcW w:w="2541"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汽车轮胎消毒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门卫室</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共</w:t>
                        </w:r>
                        <w:r>
                          <w:rPr>
                            <w:sz w:val="21"/>
                            <w:szCs w:val="20"/>
                          </w:rPr>
                          <w:t>2</w:t>
                        </w:r>
                        <w:r>
                          <w:rPr>
                            <w:rFonts w:hint="eastAsia"/>
                            <w:sz w:val="21"/>
                            <w:szCs w:val="20"/>
                          </w:rPr>
                          <w:t>个，1F，总占地面积</w:t>
                        </w:r>
                        <w:r>
                          <w:rPr>
                            <w:sz w:val="21"/>
                            <w:szCs w:val="20"/>
                          </w:rPr>
                          <w:t>198</w:t>
                        </w:r>
                        <w:r>
                          <w:rPr>
                            <w:rFonts w:hint="eastAsia"/>
                            <w:sz w:val="21"/>
                            <w:szCs w:val="20"/>
                          </w:rPr>
                          <w:t xml:space="preserve"> m</w:t>
                        </w:r>
                        <w:r>
                          <w:rPr>
                            <w:rFonts w:hint="eastAsia"/>
                            <w:sz w:val="21"/>
                            <w:szCs w:val="20"/>
                            <w:vertAlign w:val="superscript"/>
                          </w:rPr>
                          <w:t>2</w:t>
                        </w:r>
                        <w:r>
                          <w:rPr>
                            <w:rFonts w:hint="eastAsia"/>
                            <w:sz w:val="21"/>
                            <w:szCs w:val="20"/>
                          </w:rPr>
                          <w:t>，建筑面积</w:t>
                        </w:r>
                        <w:r>
                          <w:rPr>
                            <w:sz w:val="21"/>
                            <w:szCs w:val="20"/>
                          </w:rPr>
                          <w:t>198</w:t>
                        </w:r>
                        <w:r>
                          <w:rPr>
                            <w:rFonts w:hint="eastAsia"/>
                            <w:sz w:val="21"/>
                            <w:szCs w:val="20"/>
                          </w:rPr>
                          <w:t xml:space="preserve"> m</w:t>
                        </w:r>
                        <w:r>
                          <w:rPr>
                            <w:rFonts w:hint="eastAsia"/>
                            <w:sz w:val="21"/>
                            <w:szCs w:val="20"/>
                            <w:vertAlign w:val="superscript"/>
                          </w:rPr>
                          <w:t>2</w:t>
                        </w:r>
                        <w:r>
                          <w:rPr>
                            <w:rFonts w:hint="eastAsia"/>
                            <w:sz w:val="21"/>
                            <w:szCs w:val="20"/>
                          </w:rPr>
                          <w:t>，H</w:t>
                        </w:r>
                        <w:r>
                          <w:rPr>
                            <w:sz w:val="21"/>
                            <w:szCs w:val="20"/>
                          </w:rPr>
                          <w:t>3.6</w:t>
                        </w:r>
                        <w:r>
                          <w:rPr>
                            <w:rFonts w:hint="eastAsia"/>
                            <w:sz w:val="21"/>
                            <w:szCs w:val="20"/>
                          </w:rPr>
                          <w:t>m，砖混结构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危废间</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1</w:t>
                        </w:r>
                        <w:r>
                          <w:rPr>
                            <w:rFonts w:hint="eastAsia"/>
                            <w:sz w:val="21"/>
                            <w:szCs w:val="20"/>
                          </w:rPr>
                          <w:t>F，占地面积</w:t>
                        </w:r>
                        <w:r>
                          <w:rPr>
                            <w:sz w:val="21"/>
                            <w:szCs w:val="20"/>
                          </w:rPr>
                          <w:t>8</w:t>
                        </w:r>
                        <w:r>
                          <w:rPr>
                            <w:rFonts w:hint="eastAsia"/>
                            <w:sz w:val="21"/>
                            <w:szCs w:val="20"/>
                          </w:rPr>
                          <w:t xml:space="preserve"> m</w:t>
                        </w:r>
                        <w:r>
                          <w:rPr>
                            <w:rFonts w:hint="eastAsia"/>
                            <w:sz w:val="21"/>
                            <w:szCs w:val="20"/>
                            <w:vertAlign w:val="superscript"/>
                          </w:rPr>
                          <w:t>2</w:t>
                        </w:r>
                        <w:r>
                          <w:rPr>
                            <w:rFonts w:hint="eastAsia"/>
                            <w:sz w:val="21"/>
                            <w:szCs w:val="20"/>
                          </w:rPr>
                          <w:t>，建筑面积</w:t>
                        </w:r>
                        <w:r>
                          <w:rPr>
                            <w:sz w:val="21"/>
                            <w:szCs w:val="20"/>
                          </w:rPr>
                          <w:t>8</w:t>
                        </w:r>
                        <w:r>
                          <w:rPr>
                            <w:rFonts w:hint="eastAsia"/>
                            <w:sz w:val="21"/>
                            <w:szCs w:val="20"/>
                          </w:rPr>
                          <w:t xml:space="preserve"> m</w:t>
                        </w:r>
                        <w:r>
                          <w:rPr>
                            <w:rFonts w:hint="eastAsia"/>
                            <w:sz w:val="21"/>
                            <w:szCs w:val="20"/>
                            <w:vertAlign w:val="superscript"/>
                          </w:rPr>
                          <w:t>2</w:t>
                        </w:r>
                        <w:r>
                          <w:rPr>
                            <w:rFonts w:hint="eastAsia"/>
                            <w:sz w:val="21"/>
                            <w:szCs w:val="20"/>
                          </w:rPr>
                          <w:t>，Hm</w:t>
                        </w:r>
                        <w:r>
                          <w:rPr>
                            <w:sz w:val="21"/>
                            <w:szCs w:val="20"/>
                          </w:rPr>
                          <w:t>8.3</w:t>
                        </w:r>
                        <w:r>
                          <w:rPr>
                            <w:rFonts w:hint="eastAsia"/>
                            <w:sz w:val="21"/>
                            <w:szCs w:val="20"/>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bookmarkStart w:id="16" w:name="_Hlk117697680"/>
                        <w:r>
                          <w:rPr>
                            <w:rFonts w:hint="eastAsia"/>
                            <w:sz w:val="21"/>
                            <w:szCs w:val="20"/>
                          </w:rPr>
                          <w:t>蓄水池</w:t>
                        </w:r>
                        <w:bookmarkEnd w:id="16"/>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半地下式，长</w:t>
                        </w:r>
                        <w:r>
                          <w:rPr>
                            <w:sz w:val="21"/>
                            <w:szCs w:val="20"/>
                          </w:rPr>
                          <w:t>20m</w:t>
                        </w:r>
                        <w:r>
                          <w:rPr>
                            <w:rFonts w:hint="eastAsia"/>
                            <w:sz w:val="21"/>
                            <w:szCs w:val="20"/>
                          </w:rPr>
                          <w:t>、宽</w:t>
                        </w:r>
                        <w:r>
                          <w:rPr>
                            <w:sz w:val="21"/>
                            <w:szCs w:val="20"/>
                          </w:rPr>
                          <w:t>10m</w:t>
                        </w:r>
                        <w:r>
                          <w:rPr>
                            <w:rFonts w:hint="eastAsia"/>
                            <w:sz w:val="21"/>
                            <w:szCs w:val="20"/>
                          </w:rPr>
                          <w:t>，高5</w:t>
                        </w:r>
                        <w:r>
                          <w:rPr>
                            <w:sz w:val="21"/>
                            <w:szCs w:val="20"/>
                          </w:rPr>
                          <w:t>m</w:t>
                        </w:r>
                        <w:r>
                          <w:rPr>
                            <w:rFonts w:hint="eastAsia"/>
                            <w:sz w:val="21"/>
                            <w:szCs w:val="20"/>
                          </w:rPr>
                          <w:t>（高出地面1</w:t>
                        </w:r>
                        <w:r>
                          <w:rPr>
                            <w:sz w:val="21"/>
                            <w:szCs w:val="20"/>
                          </w:rPr>
                          <w:t>.2m</w:t>
                        </w:r>
                        <w:r>
                          <w:rPr>
                            <w:rFonts w:hint="eastAsia"/>
                            <w:sz w:val="21"/>
                            <w:szCs w:val="20"/>
                          </w:rPr>
                          <w:t>）。总占地面积</w:t>
                        </w:r>
                        <w:r>
                          <w:rPr>
                            <w:sz w:val="21"/>
                            <w:szCs w:val="20"/>
                          </w:rPr>
                          <w:t>200</w:t>
                        </w:r>
                        <w:r>
                          <w:rPr>
                            <w:rFonts w:hint="eastAsia"/>
                            <w:sz w:val="21"/>
                            <w:szCs w:val="20"/>
                          </w:rPr>
                          <w:t xml:space="preserve"> m</w:t>
                        </w:r>
                        <w:r>
                          <w:rPr>
                            <w:rFonts w:hint="eastAsia"/>
                            <w:sz w:val="21"/>
                            <w:szCs w:val="20"/>
                            <w:vertAlign w:val="superscript"/>
                          </w:rPr>
                          <w:t>2</w:t>
                        </w:r>
                        <w:r>
                          <w:rPr>
                            <w:rFonts w:hint="eastAsia"/>
                            <w:sz w:val="21"/>
                            <w:szCs w:val="20"/>
                          </w:rPr>
                          <w:t>，建筑面积</w:t>
                        </w:r>
                        <w:r>
                          <w:rPr>
                            <w:sz w:val="21"/>
                            <w:szCs w:val="20"/>
                          </w:rPr>
                          <w:t>200</w:t>
                        </w:r>
                        <w:r>
                          <w:rPr>
                            <w:rFonts w:hint="eastAsia"/>
                            <w:sz w:val="21"/>
                            <w:szCs w:val="20"/>
                          </w:rPr>
                          <w:t xml:space="preserve"> m</w:t>
                        </w:r>
                        <w:r>
                          <w:rPr>
                            <w:rFonts w:hint="eastAsia"/>
                            <w:sz w:val="21"/>
                            <w:szCs w:val="20"/>
                            <w:vertAlign w:val="superscript"/>
                          </w:rPr>
                          <w:t>2</w:t>
                        </w:r>
                        <w:r>
                          <w:rPr>
                            <w:rFonts w:hint="eastAsia"/>
                            <w:sz w:val="21"/>
                            <w:szCs w:val="20"/>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污水处理站</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1</w:t>
                        </w:r>
                        <w:r>
                          <w:rPr>
                            <w:rFonts w:hint="eastAsia"/>
                            <w:sz w:val="21"/>
                            <w:szCs w:val="20"/>
                          </w:rPr>
                          <w:t>F，占地面积1</w:t>
                        </w:r>
                        <w:r>
                          <w:rPr>
                            <w:sz w:val="21"/>
                            <w:szCs w:val="20"/>
                          </w:rPr>
                          <w:t>5</w:t>
                        </w:r>
                        <w:r>
                          <w:rPr>
                            <w:rFonts w:hint="eastAsia"/>
                            <w:sz w:val="21"/>
                            <w:szCs w:val="20"/>
                          </w:rPr>
                          <w:t xml:space="preserve"> m</w:t>
                        </w:r>
                        <w:r>
                          <w:rPr>
                            <w:rFonts w:hint="eastAsia"/>
                            <w:sz w:val="21"/>
                            <w:szCs w:val="20"/>
                            <w:vertAlign w:val="superscript"/>
                          </w:rPr>
                          <w:t>2</w:t>
                        </w:r>
                        <w:r>
                          <w:rPr>
                            <w:rFonts w:hint="eastAsia"/>
                            <w:sz w:val="21"/>
                            <w:szCs w:val="20"/>
                          </w:rPr>
                          <w:t>，建筑面积1</w:t>
                        </w:r>
                        <w:r>
                          <w:rPr>
                            <w:sz w:val="21"/>
                            <w:szCs w:val="20"/>
                          </w:rPr>
                          <w:t>5</w:t>
                        </w:r>
                        <w:r>
                          <w:rPr>
                            <w:rFonts w:hint="eastAsia"/>
                            <w:sz w:val="21"/>
                            <w:szCs w:val="20"/>
                          </w:rPr>
                          <w:t xml:space="preserve"> m</w:t>
                        </w:r>
                        <w:r>
                          <w:rPr>
                            <w:rFonts w:hint="eastAsia"/>
                            <w:sz w:val="21"/>
                            <w:szCs w:val="20"/>
                            <w:vertAlign w:val="superscript"/>
                          </w:rPr>
                          <w:t>2</w:t>
                        </w:r>
                        <w:r>
                          <w:rPr>
                            <w:rFonts w:hint="eastAsia"/>
                            <w:sz w:val="21"/>
                            <w:szCs w:val="20"/>
                          </w:rPr>
                          <w:t>，Hm</w:t>
                        </w:r>
                        <w:r>
                          <w:rPr>
                            <w:sz w:val="21"/>
                            <w:szCs w:val="20"/>
                          </w:rPr>
                          <w:t>8.3</w:t>
                        </w:r>
                        <w:r>
                          <w:rPr>
                            <w:rFonts w:hint="eastAsia"/>
                            <w:sz w:val="21"/>
                            <w:szCs w:val="20"/>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59" w:type="dxa"/>
                        <w:vMerge w:val="restart"/>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公用工程</w:t>
                        </w: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给水</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由当地市政管网供水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用电</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由当地市政供电电网提供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制冷工程</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rFonts w:hint="eastAsia"/>
                            <w:sz w:val="21"/>
                            <w:szCs w:val="20"/>
                          </w:rPr>
                          <w:t>制冷系统采用R</w:t>
                        </w:r>
                        <w:r>
                          <w:rPr>
                            <w:sz w:val="21"/>
                            <w:szCs w:val="20"/>
                          </w:rPr>
                          <w:t>410</w:t>
                        </w:r>
                        <w:r>
                          <w:rPr>
                            <w:rFonts w:hint="eastAsia"/>
                            <w:sz w:val="21"/>
                            <w:szCs w:val="20"/>
                          </w:rPr>
                          <w:t>A型制冷剂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restart"/>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r>
                          <w:rPr>
                            <w:sz w:val="21"/>
                            <w:szCs w:val="20"/>
                          </w:rPr>
                          <w:t>环保工程</w:t>
                        </w:r>
                      </w:p>
                      <w:p>
                        <w:pPr>
                          <w:spacing w:before="0" w:beforeLines="0" w:line="240" w:lineRule="auto"/>
                          <w:ind w:firstLine="0" w:firstLineChars="0"/>
                          <w:jc w:val="center"/>
                          <w:rPr>
                            <w:sz w:val="21"/>
                            <w:szCs w:val="20"/>
                          </w:rPr>
                        </w:pPr>
                      </w:p>
                      <w:p>
                        <w:pPr>
                          <w:spacing w:before="0" w:beforeLines="0" w:line="240" w:lineRule="auto"/>
                          <w:ind w:firstLine="0" w:firstLineChars="0"/>
                          <w:jc w:val="center"/>
                          <w:rPr>
                            <w:sz w:val="21"/>
                            <w:szCs w:val="20"/>
                          </w:rPr>
                        </w:pPr>
                      </w:p>
                      <w:p>
                        <w:pPr>
                          <w:spacing w:before="120" w:line="240" w:lineRule="auto"/>
                          <w:ind w:firstLine="420"/>
                          <w:jc w:val="center"/>
                          <w:rPr>
                            <w:sz w:val="21"/>
                            <w:szCs w:val="20"/>
                          </w:rPr>
                        </w:pPr>
                      </w:p>
                    </w:tc>
                    <w:tc>
                      <w:tcPr>
                        <w:tcW w:w="1565" w:type="dxa"/>
                        <w:gridSpan w:val="2"/>
                        <w:vMerge w:val="restart"/>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废气</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屠宰场臭气经管道收集至生物（或碱）喷淋塔处理后由1</w:t>
                        </w:r>
                        <w:r>
                          <w:rPr>
                            <w:sz w:val="21"/>
                            <w:szCs w:val="20"/>
                          </w:rPr>
                          <w:t>5m</w:t>
                        </w:r>
                        <w:r>
                          <w:rPr>
                            <w:rFonts w:hint="eastAsia"/>
                            <w:sz w:val="21"/>
                            <w:szCs w:val="20"/>
                          </w:rPr>
                          <w:t>排气筒排放；</w:t>
                        </w:r>
                        <w:r>
                          <w:rPr>
                            <w:sz w:val="21"/>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食堂油烟由烟罩收集并经静电油烟净化器处理后经屋顶排放。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无害化处理间及污水处理站合设除臭设施1套，产生的废气经生物（或碱）喷淋塔处理后由15m排气筒排放。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废水</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厂区自建废水处理站，采用粗格栅+细格栅+平流式沉淀池+平流式隔油池+加压溶气气浮+水解酸化+好氧池+MBR+消毒池工艺，处理后由附近林地消纳。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1565"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噪声</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设备基础减振、消声器、设隔音板、设备定期保养等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514" w:type="dxa"/>
                        <w:vMerge w:val="restart"/>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固废</w:t>
                        </w:r>
                      </w:p>
                    </w:tc>
                    <w:tc>
                      <w:tcPr>
                        <w:tcW w:w="1051" w:type="dxa"/>
                        <w:vMerge w:val="restart"/>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一般固废</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待宰栏内牛羊粪便、胃容物日产日清，经收集后外售，作为有机肥原料。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514" w:type="dxa"/>
                        <w:vMerge w:val="continue"/>
                        <w:tcBorders>
                          <w:left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1051" w:type="dxa"/>
                        <w:vMerge w:val="continue"/>
                        <w:tcBorders>
                          <w:left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生活污泥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514" w:type="dxa"/>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1051" w:type="dxa"/>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检疫不合格品、不可食用部分和疫畜经收集后送至无害化处理间处理，本项目用高温降解干法化制处理，废渣日产日清，送至有机肥厂制有机肥。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514" w:type="dxa"/>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1051" w:type="dxa"/>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污水处理站产生的废油脂、废格栅渣、污泥泥饼由具备能力单位处置。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514" w:type="dxa"/>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1051" w:type="dxa"/>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生活垃圾集中收集，由环卫部门统一清运。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59"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sz w:val="21"/>
                            <w:szCs w:val="20"/>
                          </w:rPr>
                        </w:pPr>
                      </w:p>
                    </w:tc>
                    <w:tc>
                      <w:tcPr>
                        <w:tcW w:w="514" w:type="dxa"/>
                        <w:vMerge w:val="continue"/>
                        <w:tcBorders>
                          <w:top w:val="nil"/>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p>
                    </w:tc>
                    <w:tc>
                      <w:tcPr>
                        <w:tcW w:w="1051"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危险废物</w:t>
                        </w:r>
                      </w:p>
                    </w:tc>
                    <w:tc>
                      <w:tcPr>
                        <w:tcW w:w="5117" w:type="dxa"/>
                        <w:gridSpan w:val="2"/>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sz w:val="21"/>
                            <w:szCs w:val="20"/>
                          </w:rPr>
                        </w:pPr>
                        <w:r>
                          <w:rPr>
                            <w:rFonts w:hint="eastAsia"/>
                            <w:sz w:val="21"/>
                            <w:szCs w:val="20"/>
                          </w:rPr>
                          <w:t>危险废物暂存于废物间，由资质单位处置。</w:t>
                        </w:r>
                      </w:p>
                    </w:tc>
                  </w:tr>
                  <w:bookmarkEnd w:id="9"/>
                  <w:bookmarkEnd w:id="10"/>
                </w:tbl>
                <w:p>
                  <w:pPr>
                    <w:spacing w:before="120"/>
                    <w:ind w:firstLine="0" w:firstLineChars="0"/>
                    <w:rPr>
                      <w:bCs/>
                      <w:kern w:val="28"/>
                      <w:szCs w:val="40"/>
                    </w:rPr>
                  </w:pPr>
                </w:p>
              </w:tc>
            </w:tr>
          </w:tbl>
          <w:p>
            <w:pPr>
              <w:spacing w:before="120"/>
              <w:ind w:firstLine="480"/>
              <w:rPr>
                <w:bCs/>
                <w:kern w:val="28"/>
                <w:szCs w:val="40"/>
              </w:rPr>
            </w:pPr>
            <w:r>
              <w:rPr>
                <w:rFonts w:hint="eastAsia"/>
                <w:bCs/>
                <w:kern w:val="28"/>
                <w:szCs w:val="40"/>
              </w:rPr>
              <w:t>厂区设2个出入口，东北面的出入口是牛羊活体入口，西面的出入口为人流出入口与产品出口，外界运输车辆经东北面入口运入牛羊活体至屠宰场待宰，宰杀分选后的牛羊肉胴体、内脏、血等产品经西面正门运出。</w:t>
            </w:r>
          </w:p>
          <w:p>
            <w:pPr>
              <w:spacing w:before="120"/>
              <w:ind w:firstLine="480"/>
              <w:rPr>
                <w:bCs/>
                <w:kern w:val="28"/>
                <w:szCs w:val="40"/>
              </w:rPr>
            </w:pPr>
            <w:r>
              <w:rPr>
                <w:rFonts w:hint="eastAsia"/>
                <w:bCs/>
                <w:kern w:val="28"/>
                <w:szCs w:val="40"/>
              </w:rPr>
              <w:t>整个</w:t>
            </w:r>
            <w:r>
              <w:rPr>
                <w:bCs/>
                <w:kern w:val="28"/>
                <w:szCs w:val="40"/>
              </w:rPr>
              <w:t>厂区布局严格执行《工业企业总平面设计规范》（GB50187-1993）、《工业企业设计卫生标准》（GBZ1-2010），总图布置充分考虑到生产、储存的需要，</w:t>
            </w:r>
            <w:r>
              <w:rPr>
                <w:rFonts w:hint="eastAsia"/>
                <w:bCs/>
                <w:kern w:val="28"/>
                <w:szCs w:val="40"/>
              </w:rPr>
              <w:t>按生产性质、工艺要求及火灾危险性的大小等划分出各个相对独立的功能区。厂内道路呈半圆形布置，保证消防通道畅通</w:t>
            </w:r>
            <w:r>
              <w:rPr>
                <w:bCs/>
                <w:kern w:val="28"/>
                <w:szCs w:val="40"/>
              </w:rPr>
              <w:t>，道路两侧有绿化带</w:t>
            </w:r>
            <w:r>
              <w:rPr>
                <w:rFonts w:hint="eastAsia"/>
                <w:bCs/>
                <w:kern w:val="28"/>
                <w:szCs w:val="40"/>
              </w:rPr>
              <w:t>，</w:t>
            </w:r>
            <w:r>
              <w:rPr>
                <w:bCs/>
                <w:kern w:val="28"/>
                <w:szCs w:val="40"/>
              </w:rPr>
              <w:t>各建筑物布置合理。项目平面布置图如图2-4所示。</w:t>
            </w:r>
          </w:p>
          <w:p>
            <w:pPr>
              <w:adjustRightInd w:val="0"/>
              <w:snapToGrid w:val="0"/>
              <w:spacing w:before="120"/>
              <w:ind w:firstLine="0" w:firstLineChars="0"/>
              <w:jc w:val="left"/>
              <w:rPr>
                <w:bCs/>
                <w:kern w:val="28"/>
                <w:sz w:val="21"/>
                <w:szCs w:val="32"/>
              </w:rPr>
            </w:pPr>
            <w:bookmarkStart w:id="17" w:name="_Hlk108703956"/>
            <w:r>
              <w:rPr>
                <w:rFonts w:hint="eastAsia"/>
              </w:rPr>
              <w:drawing>
                <wp:anchor distT="0" distB="0" distL="114300" distR="114300" simplePos="0" relativeHeight="251668480" behindDoc="0" locked="0" layoutInCell="1" allowOverlap="1">
                  <wp:simplePos x="0" y="0"/>
                  <wp:positionH relativeFrom="column">
                    <wp:posOffset>143510</wp:posOffset>
                  </wp:positionH>
                  <wp:positionV relativeFrom="paragraph">
                    <wp:posOffset>142240</wp:posOffset>
                  </wp:positionV>
                  <wp:extent cx="733425" cy="762000"/>
                  <wp:effectExtent l="0" t="0" r="9525" b="0"/>
                  <wp:wrapNone/>
                  <wp:docPr id="51" name="图片 51" descr="58c58c510abe0fd54807a8e5590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8c58c510abe0fd54807a8e55903657"/>
                          <pic:cNvPicPr>
                            <a:picLocks noChangeAspect="1"/>
                          </pic:cNvPicPr>
                        </pic:nvPicPr>
                        <pic:blipFill>
                          <a:blip r:embed="rId20"/>
                          <a:stretch>
                            <a:fillRect/>
                          </a:stretch>
                        </pic:blipFill>
                        <pic:spPr>
                          <a:xfrm>
                            <a:off x="0" y="0"/>
                            <a:ext cx="733425" cy="762000"/>
                          </a:xfrm>
                          <a:prstGeom prst="rect">
                            <a:avLst/>
                          </a:prstGeom>
                        </pic:spPr>
                      </pic:pic>
                    </a:graphicData>
                  </a:graphic>
                </wp:anchor>
              </w:drawing>
            </w:r>
            <w:r>
              <w:rPr>
                <w:rFonts w:hint="eastAsia"/>
              </w:rPr>
              <w:drawing>
                <wp:inline distT="0" distB="0" distL="114300" distR="114300">
                  <wp:extent cx="4975225" cy="7814310"/>
                  <wp:effectExtent l="0" t="0" r="15875" b="15240"/>
                  <wp:docPr id="47" name="图片 47" descr="8335ce92feb8cb785fe3dd2d8064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335ce92feb8cb785fe3dd2d8064eef"/>
                          <pic:cNvPicPr>
                            <a:picLocks noChangeAspect="1"/>
                          </pic:cNvPicPr>
                        </pic:nvPicPr>
                        <pic:blipFill>
                          <a:blip r:embed="rId24"/>
                          <a:stretch>
                            <a:fillRect/>
                          </a:stretch>
                        </pic:blipFill>
                        <pic:spPr>
                          <a:xfrm>
                            <a:off x="0" y="0"/>
                            <a:ext cx="4975225" cy="7814310"/>
                          </a:xfrm>
                          <a:prstGeom prst="rect">
                            <a:avLst/>
                          </a:prstGeom>
                        </pic:spPr>
                      </pic:pic>
                    </a:graphicData>
                  </a:graphic>
                </wp:inline>
              </w:drawing>
            </w:r>
            <w:r>
              <w:rPr>
                <w:bCs/>
                <w:kern w:val="28"/>
                <w:sz w:val="21"/>
                <w:szCs w:val="32"/>
              </w:rPr>
              <w:t xml:space="preserve"> </w:t>
            </w:r>
            <w:bookmarkEnd w:id="17"/>
          </w:p>
          <w:p>
            <w:pPr>
              <w:spacing w:before="0" w:beforeLines="0"/>
              <w:ind w:firstLine="0" w:firstLineChars="0"/>
              <w:jc w:val="center"/>
              <w:rPr>
                <w:b/>
                <w:kern w:val="28"/>
                <w:sz w:val="21"/>
                <w:szCs w:val="32"/>
              </w:rPr>
            </w:pPr>
            <w:r>
              <w:rPr>
                <w:rFonts w:hint="eastAsia"/>
                <w:b/>
                <w:kern w:val="28"/>
                <w:sz w:val="21"/>
                <w:szCs w:val="32"/>
              </w:rPr>
              <w:t>图2-</w:t>
            </w:r>
            <w:r>
              <w:rPr>
                <w:b/>
                <w:kern w:val="28"/>
                <w:sz w:val="21"/>
                <w:szCs w:val="32"/>
              </w:rPr>
              <w:t>4</w:t>
            </w:r>
            <w:r>
              <w:rPr>
                <w:rFonts w:hint="eastAsia"/>
                <w:b/>
                <w:kern w:val="28"/>
                <w:sz w:val="21"/>
                <w:szCs w:val="32"/>
              </w:rPr>
              <w:t xml:space="preserve">  厂区平面布置图</w:t>
            </w:r>
          </w:p>
          <w:p>
            <w:pPr>
              <w:spacing w:before="120"/>
              <w:ind w:firstLine="480"/>
              <w:rPr>
                <w:bCs/>
                <w:kern w:val="28"/>
                <w:szCs w:val="40"/>
              </w:rPr>
            </w:pPr>
            <w:r>
              <w:rPr>
                <w:rFonts w:hint="eastAsia"/>
                <w:bCs/>
                <w:kern w:val="28"/>
                <w:szCs w:val="40"/>
              </w:rPr>
              <w:t>屠宰场位于厂区东北侧，内部设有物流大厅、待宰栏（牛栏和羊栏）、屠宰线及产品暂存间等，具体布局详见下图。</w:t>
            </w:r>
          </w:p>
          <w:p>
            <w:pPr>
              <w:spacing w:before="0" w:beforeLines="0"/>
              <w:ind w:firstLine="0" w:firstLineChars="0"/>
              <w:jc w:val="center"/>
              <w:rPr>
                <w:b/>
                <w:kern w:val="28"/>
                <w:sz w:val="21"/>
                <w:szCs w:val="32"/>
              </w:rPr>
            </w:pPr>
            <w:r>
              <w:rPr>
                <w:sz w:val="21"/>
              </w:rPr>
              <mc:AlternateContent>
                <mc:Choice Requires="wps">
                  <w:drawing>
                    <wp:anchor distT="0" distB="0" distL="114300" distR="114300" simplePos="0" relativeHeight="251667456" behindDoc="0" locked="0" layoutInCell="1" allowOverlap="1">
                      <wp:simplePos x="0" y="0"/>
                      <wp:positionH relativeFrom="column">
                        <wp:posOffset>4119880</wp:posOffset>
                      </wp:positionH>
                      <wp:positionV relativeFrom="paragraph">
                        <wp:posOffset>422275</wp:posOffset>
                      </wp:positionV>
                      <wp:extent cx="571500" cy="270510"/>
                      <wp:effectExtent l="4445" t="4445" r="14605" b="10795"/>
                      <wp:wrapNone/>
                      <wp:docPr id="15" name="文本框 15"/>
                      <wp:cNvGraphicFramePr/>
                      <a:graphic xmlns:a="http://schemas.openxmlformats.org/drawingml/2006/main">
                        <a:graphicData uri="http://schemas.microsoft.com/office/word/2010/wordprocessingShape">
                          <wps:wsp>
                            <wps:cNvSpPr txBox="1"/>
                            <wps:spPr>
                              <a:xfrm>
                                <a:off x="5650230" y="2183765"/>
                                <a:ext cx="571500" cy="27051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before="0" w:beforeLines="0" w:line="0" w:lineRule="atLeast"/>
                                    <w:ind w:firstLine="0" w:firstLineChars="0"/>
                                    <w:jc w:val="center"/>
                                  </w:pPr>
                                  <w:r>
                                    <w:rPr>
                                      <w:rFonts w:hint="eastAsia"/>
                                    </w:rPr>
                                    <w:t>冷库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4pt;margin-top:33.25pt;height:21.3pt;width:45pt;z-index:251667456;mso-width-relative:page;mso-height-relative:page;" filled="f" stroked="t" coordsize="21600,21600" o:gfxdata="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2&#10;jvev2QAAAAoBAAAPAAAAAAAAAAEAIAAAACIAAABkcnMvZG93bnJldi54bWxQSwECFAAUAAAACACH&#10;TuJAGD0UyFwCAACcBAAADgAAAAAAAAABACAAAAAoAQAAZHJzL2Uyb0RvYy54bWxQSwUGAAAAAAYA&#10;BgBZAQAA9gUAAAAA&#10;">
                      <v:fill on="f" focussize="0,0"/>
                      <v:stroke weight="0.5pt" color="#000000 [3213]" joinstyle="round"/>
                      <v:imagedata o:title=""/>
                      <o:lock v:ext="edit" aspectratio="f"/>
                      <v:textbox>
                        <w:txbxContent>
                          <w:p>
                            <w:pPr>
                              <w:spacing w:before="0" w:beforeLines="0" w:line="0" w:lineRule="atLeast"/>
                              <w:ind w:firstLine="0" w:firstLineChars="0"/>
                              <w:jc w:val="center"/>
                            </w:pPr>
                            <w:r>
                              <w:rPr>
                                <w:rFonts w:hint="eastAsia"/>
                              </w:rPr>
                              <w:t>冷库</w:t>
                            </w:r>
                          </w:p>
                        </w:txbxContent>
                      </v:textbox>
                    </v:shape>
                  </w:pict>
                </mc:Fallback>
              </mc:AlternateContent>
            </w:r>
            <w:r>
              <w:rPr>
                <w:b/>
                <w:kern w:val="28"/>
                <w:sz w:val="21"/>
                <w:szCs w:val="32"/>
              </w:rPr>
              <w:drawing>
                <wp:inline distT="0" distB="0" distL="0" distR="0">
                  <wp:extent cx="5000625" cy="3603625"/>
                  <wp:effectExtent l="0" t="0" r="9525" b="0"/>
                  <wp:docPr id="12" name="图片 12" descr="C:\Users\ADMINI~1\AppData\Local\Temp\WeChat Files\6d4c1ae1776e5c425c0d1dc3f028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6d4c1ae1776e5c425c0d1dc3f0281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25531" cy="3621573"/>
                          </a:xfrm>
                          <a:prstGeom prst="rect">
                            <a:avLst/>
                          </a:prstGeom>
                          <a:noFill/>
                          <a:ln>
                            <a:noFill/>
                          </a:ln>
                        </pic:spPr>
                      </pic:pic>
                    </a:graphicData>
                  </a:graphic>
                </wp:inline>
              </w:drawing>
            </w:r>
          </w:p>
          <w:p>
            <w:pPr>
              <w:spacing w:before="0" w:beforeLines="0"/>
              <w:ind w:firstLine="0" w:firstLineChars="0"/>
              <w:jc w:val="center"/>
              <w:rPr>
                <w:b/>
                <w:kern w:val="28"/>
                <w:sz w:val="21"/>
                <w:szCs w:val="32"/>
              </w:rPr>
            </w:pPr>
            <w:r>
              <w:rPr>
                <w:rFonts w:hint="eastAsia"/>
                <w:b/>
                <w:kern w:val="28"/>
                <w:sz w:val="21"/>
                <w:szCs w:val="32"/>
              </w:rPr>
              <w:t>图2-</w:t>
            </w:r>
            <w:r>
              <w:rPr>
                <w:b/>
                <w:kern w:val="28"/>
                <w:sz w:val="21"/>
                <w:szCs w:val="32"/>
              </w:rPr>
              <w:t>5</w:t>
            </w:r>
            <w:r>
              <w:rPr>
                <w:rFonts w:hint="eastAsia"/>
                <w:b/>
                <w:kern w:val="28"/>
                <w:sz w:val="21"/>
                <w:szCs w:val="32"/>
              </w:rPr>
              <w:t xml:space="preserve"> 屠宰场平面布置图</w:t>
            </w:r>
          </w:p>
          <w:p>
            <w:pPr>
              <w:widowControl/>
              <w:spacing w:before="120"/>
              <w:ind w:firstLine="482"/>
              <w:jc w:val="left"/>
              <w:rPr>
                <w:b/>
                <w:color w:val="000000"/>
              </w:rPr>
            </w:pPr>
            <w:r>
              <w:rPr>
                <w:b/>
                <w:color w:val="000000"/>
              </w:rPr>
              <w:t>3.2项目生产</w:t>
            </w:r>
            <w:r>
              <w:rPr>
                <w:rFonts w:hint="eastAsia"/>
                <w:b/>
                <w:color w:val="000000"/>
              </w:rPr>
              <w:t>规模及产品</w:t>
            </w:r>
            <w:r>
              <w:rPr>
                <w:b/>
                <w:color w:val="000000"/>
              </w:rPr>
              <w:t>方案</w:t>
            </w:r>
          </w:p>
          <w:p>
            <w:pPr>
              <w:widowControl/>
              <w:spacing w:before="120"/>
              <w:ind w:firstLine="480"/>
              <w:jc w:val="left"/>
              <w:rPr>
                <w:bCs/>
                <w:color w:val="000000"/>
              </w:rPr>
            </w:pPr>
            <w:r>
              <w:rPr>
                <w:bCs/>
                <w:color w:val="000000"/>
              </w:rPr>
              <w:t>本项目</w:t>
            </w:r>
            <w:r>
              <w:rPr>
                <w:rFonts w:hint="eastAsia"/>
                <w:bCs/>
                <w:color w:val="000000"/>
              </w:rPr>
              <w:t>建设牛、羊屠宰线各一条，屠宰规模详见下表2</w:t>
            </w:r>
            <w:r>
              <w:rPr>
                <w:bCs/>
                <w:color w:val="000000"/>
              </w:rPr>
              <w:t>-2。</w:t>
            </w:r>
          </w:p>
          <w:p>
            <w:pPr>
              <w:spacing w:before="120"/>
              <w:ind w:firstLine="0" w:firstLineChars="0"/>
              <w:jc w:val="center"/>
              <w:rPr>
                <w:bCs/>
                <w:color w:val="000000"/>
                <w:kern w:val="28"/>
                <w:sz w:val="21"/>
                <w:szCs w:val="32"/>
              </w:rPr>
            </w:pPr>
            <w:r>
              <w:rPr>
                <w:rFonts w:hint="eastAsia"/>
                <w:b/>
                <w:color w:val="000000"/>
                <w:kern w:val="28"/>
                <w:sz w:val="21"/>
                <w:szCs w:val="32"/>
              </w:rPr>
              <w:t>表</w:t>
            </w:r>
            <w:r>
              <w:rPr>
                <w:b/>
                <w:color w:val="000000"/>
                <w:kern w:val="28"/>
                <w:sz w:val="21"/>
                <w:szCs w:val="32"/>
              </w:rPr>
              <w:t xml:space="preserve">2-2 </w:t>
            </w:r>
            <w:r>
              <w:rPr>
                <w:rFonts w:hint="eastAsia"/>
                <w:b/>
                <w:color w:val="000000"/>
                <w:kern w:val="28"/>
                <w:sz w:val="21"/>
                <w:szCs w:val="32"/>
              </w:rPr>
              <w:t xml:space="preserve"> 本项目生产规模一览表</w:t>
            </w:r>
          </w:p>
          <w:tbl>
            <w:tblPr>
              <w:tblStyle w:val="22"/>
              <w:tblW w:w="41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3" w:type="dxa"/>
                  <w:vAlign w:val="center"/>
                </w:tcPr>
                <w:p>
                  <w:pPr>
                    <w:spacing w:before="0" w:beforeLines="0" w:line="240" w:lineRule="auto"/>
                    <w:ind w:firstLine="0" w:firstLineChars="0"/>
                    <w:jc w:val="center"/>
                    <w:rPr>
                      <w:b/>
                      <w:bCs/>
                      <w:sz w:val="21"/>
                      <w:szCs w:val="20"/>
                    </w:rPr>
                  </w:pPr>
                  <w:r>
                    <w:rPr>
                      <w:rFonts w:hint="eastAsia"/>
                      <w:b/>
                      <w:bCs/>
                      <w:sz w:val="21"/>
                      <w:szCs w:val="20"/>
                    </w:rPr>
                    <w:t>名称</w:t>
                  </w:r>
                </w:p>
              </w:tc>
              <w:tc>
                <w:tcPr>
                  <w:tcW w:w="4344" w:type="dxa"/>
                  <w:vAlign w:val="center"/>
                </w:tcPr>
                <w:p>
                  <w:pPr>
                    <w:spacing w:before="0" w:beforeLines="0" w:line="240" w:lineRule="auto"/>
                    <w:ind w:firstLine="0" w:firstLineChars="0"/>
                    <w:jc w:val="center"/>
                    <w:rPr>
                      <w:b/>
                      <w:bCs/>
                      <w:sz w:val="21"/>
                      <w:szCs w:val="20"/>
                    </w:rPr>
                  </w:pPr>
                  <w:r>
                    <w:rPr>
                      <w:rFonts w:hint="eastAsia"/>
                      <w:b/>
                      <w:bCs/>
                      <w:sz w:val="21"/>
                      <w:szCs w:val="20"/>
                    </w:rPr>
                    <w:t>屠宰规模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3" w:type="dxa"/>
                  <w:vAlign w:val="center"/>
                </w:tcPr>
                <w:p>
                  <w:pPr>
                    <w:spacing w:before="0" w:beforeLines="0" w:line="240" w:lineRule="auto"/>
                    <w:ind w:firstLine="0" w:firstLineChars="0"/>
                    <w:jc w:val="center"/>
                    <w:rPr>
                      <w:sz w:val="21"/>
                      <w:szCs w:val="20"/>
                    </w:rPr>
                  </w:pPr>
                  <w:r>
                    <w:rPr>
                      <w:rFonts w:hint="eastAsia"/>
                      <w:sz w:val="21"/>
                      <w:szCs w:val="20"/>
                    </w:rPr>
                    <w:t>牛屠宰线</w:t>
                  </w:r>
                </w:p>
              </w:tc>
              <w:tc>
                <w:tcPr>
                  <w:tcW w:w="4344" w:type="dxa"/>
                  <w:vAlign w:val="center"/>
                </w:tcPr>
                <w:p>
                  <w:pPr>
                    <w:spacing w:before="0" w:beforeLines="0" w:line="240" w:lineRule="auto"/>
                    <w:ind w:firstLine="0" w:firstLineChars="0"/>
                    <w:jc w:val="center"/>
                    <w:rPr>
                      <w:sz w:val="21"/>
                      <w:szCs w:val="20"/>
                    </w:rPr>
                  </w:pPr>
                  <w:r>
                    <w:rPr>
                      <w:rFonts w:hint="eastAsia"/>
                      <w:sz w:val="21"/>
                      <w:szCs w:val="20"/>
                    </w:rPr>
                    <w:t>1</w:t>
                  </w:r>
                  <w:r>
                    <w:rPr>
                      <w:sz w:val="21"/>
                      <w:szCs w:val="20"/>
                    </w:rPr>
                    <w:t>750</w:t>
                  </w:r>
                  <w:r>
                    <w:rPr>
                      <w:rFonts w:hint="eastAsia"/>
                      <w:sz w:val="21"/>
                      <w:szCs w:val="20"/>
                    </w:rPr>
                    <w:t>头/年（5头/天）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3" w:type="dxa"/>
                  <w:vAlign w:val="center"/>
                </w:tcPr>
                <w:p>
                  <w:pPr>
                    <w:spacing w:before="0" w:beforeLines="0" w:line="240" w:lineRule="auto"/>
                    <w:ind w:firstLine="0" w:firstLineChars="0"/>
                    <w:jc w:val="center"/>
                    <w:rPr>
                      <w:sz w:val="21"/>
                      <w:szCs w:val="20"/>
                    </w:rPr>
                  </w:pPr>
                  <w:r>
                    <w:rPr>
                      <w:rFonts w:hint="eastAsia"/>
                      <w:sz w:val="21"/>
                      <w:szCs w:val="20"/>
                    </w:rPr>
                    <w:t>羊屠宰线</w:t>
                  </w:r>
                </w:p>
              </w:tc>
              <w:tc>
                <w:tcPr>
                  <w:tcW w:w="4344" w:type="dxa"/>
                  <w:vAlign w:val="center"/>
                </w:tcPr>
                <w:p>
                  <w:pPr>
                    <w:spacing w:before="0" w:beforeLines="0" w:line="240" w:lineRule="auto"/>
                    <w:ind w:firstLine="0" w:firstLineChars="0"/>
                    <w:jc w:val="center"/>
                    <w:rPr>
                      <w:sz w:val="21"/>
                      <w:szCs w:val="20"/>
                    </w:rPr>
                  </w:pPr>
                  <w:r>
                    <w:rPr>
                      <w:rFonts w:hint="eastAsia"/>
                      <w:sz w:val="21"/>
                      <w:szCs w:val="20"/>
                    </w:rPr>
                    <w:t>5</w:t>
                  </w:r>
                  <w:r>
                    <w:rPr>
                      <w:sz w:val="21"/>
                      <w:szCs w:val="20"/>
                    </w:rPr>
                    <w:t>0750</w:t>
                  </w:r>
                  <w:r>
                    <w:rPr>
                      <w:rFonts w:hint="eastAsia"/>
                      <w:sz w:val="21"/>
                      <w:szCs w:val="20"/>
                    </w:rPr>
                    <w:t>只/年（</w:t>
                  </w:r>
                  <w:r>
                    <w:rPr>
                      <w:sz w:val="21"/>
                      <w:szCs w:val="20"/>
                    </w:rPr>
                    <w:t>145</w:t>
                  </w:r>
                  <w:r>
                    <w:rPr>
                      <w:rFonts w:hint="eastAsia"/>
                      <w:sz w:val="21"/>
                      <w:szCs w:val="20"/>
                    </w:rPr>
                    <w:t>只/天）</w:t>
                  </w:r>
                </w:p>
              </w:tc>
            </w:tr>
          </w:tbl>
          <w:p>
            <w:pPr>
              <w:spacing w:before="120"/>
              <w:ind w:firstLine="0" w:firstLineChars="0"/>
              <w:jc w:val="center"/>
              <w:rPr>
                <w:bCs/>
                <w:color w:val="000000"/>
                <w:kern w:val="28"/>
                <w:sz w:val="21"/>
                <w:szCs w:val="32"/>
              </w:rPr>
            </w:pPr>
            <w:r>
              <w:rPr>
                <w:rFonts w:hint="eastAsia"/>
                <w:b/>
                <w:color w:val="000000"/>
                <w:kern w:val="28"/>
                <w:sz w:val="21"/>
                <w:szCs w:val="32"/>
              </w:rPr>
              <w:t>表</w:t>
            </w:r>
            <w:r>
              <w:rPr>
                <w:b/>
                <w:color w:val="000000"/>
                <w:kern w:val="28"/>
                <w:sz w:val="21"/>
                <w:szCs w:val="32"/>
              </w:rPr>
              <w:t>2-3</w:t>
            </w:r>
            <w:r>
              <w:rPr>
                <w:rFonts w:hint="eastAsia"/>
                <w:b/>
                <w:color w:val="000000"/>
                <w:kern w:val="28"/>
                <w:sz w:val="21"/>
                <w:szCs w:val="32"/>
              </w:rPr>
              <w:t xml:space="preserve"> </w:t>
            </w:r>
            <w:r>
              <w:rPr>
                <w:b/>
                <w:color w:val="000000"/>
                <w:kern w:val="28"/>
                <w:sz w:val="21"/>
                <w:szCs w:val="32"/>
              </w:rPr>
              <w:t xml:space="preserve"> </w:t>
            </w:r>
            <w:r>
              <w:rPr>
                <w:rFonts w:hint="eastAsia"/>
                <w:b/>
                <w:color w:val="000000"/>
                <w:kern w:val="28"/>
                <w:sz w:val="21"/>
                <w:szCs w:val="32"/>
              </w:rPr>
              <w:t>本项目屠宰产品方案一览表</w:t>
            </w:r>
          </w:p>
          <w:tbl>
            <w:tblPr>
              <w:tblStyle w:val="22"/>
              <w:tblW w:w="40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75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b/>
                      <w:bCs/>
                      <w:sz w:val="21"/>
                      <w:szCs w:val="20"/>
                    </w:rPr>
                  </w:pPr>
                  <w:r>
                    <w:rPr>
                      <w:rFonts w:hint="eastAsia"/>
                      <w:b/>
                      <w:bCs/>
                      <w:sz w:val="21"/>
                      <w:szCs w:val="20"/>
                    </w:rPr>
                    <w:t>序号</w:t>
                  </w:r>
                </w:p>
              </w:tc>
              <w:tc>
                <w:tcPr>
                  <w:tcW w:w="2752" w:type="dxa"/>
                  <w:vAlign w:val="center"/>
                </w:tcPr>
                <w:p>
                  <w:pPr>
                    <w:spacing w:before="0" w:beforeLines="0" w:line="240" w:lineRule="auto"/>
                    <w:ind w:firstLine="0" w:firstLineChars="0"/>
                    <w:jc w:val="center"/>
                    <w:rPr>
                      <w:b/>
                      <w:bCs/>
                      <w:sz w:val="21"/>
                      <w:szCs w:val="20"/>
                    </w:rPr>
                  </w:pPr>
                  <w:r>
                    <w:rPr>
                      <w:rFonts w:hint="eastAsia"/>
                      <w:b/>
                      <w:bCs/>
                      <w:sz w:val="21"/>
                      <w:szCs w:val="20"/>
                    </w:rPr>
                    <w:t>名称</w:t>
                  </w:r>
                </w:p>
              </w:tc>
              <w:tc>
                <w:tcPr>
                  <w:tcW w:w="2126" w:type="dxa"/>
                  <w:vAlign w:val="center"/>
                </w:tcPr>
                <w:p>
                  <w:pPr>
                    <w:spacing w:before="0" w:beforeLines="0" w:line="240" w:lineRule="auto"/>
                    <w:ind w:firstLine="0" w:firstLineChars="0"/>
                    <w:jc w:val="center"/>
                    <w:rPr>
                      <w:b/>
                      <w:bCs/>
                      <w:sz w:val="21"/>
                      <w:szCs w:val="20"/>
                    </w:rPr>
                  </w:pPr>
                  <w:r>
                    <w:rPr>
                      <w:rFonts w:hint="eastAsia"/>
                      <w:b/>
                      <w:bCs/>
                      <w:sz w:val="21"/>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sz w:val="21"/>
                      <w:szCs w:val="20"/>
                    </w:rPr>
                  </w:pPr>
                  <w:r>
                    <w:rPr>
                      <w:sz w:val="21"/>
                      <w:szCs w:val="20"/>
                    </w:rPr>
                    <w:t>1</w:t>
                  </w:r>
                </w:p>
              </w:tc>
              <w:tc>
                <w:tcPr>
                  <w:tcW w:w="2752" w:type="dxa"/>
                  <w:vAlign w:val="center"/>
                </w:tcPr>
                <w:p>
                  <w:pPr>
                    <w:spacing w:before="0" w:beforeLines="0" w:line="240" w:lineRule="auto"/>
                    <w:ind w:firstLine="0" w:firstLineChars="0"/>
                    <w:jc w:val="center"/>
                    <w:rPr>
                      <w:sz w:val="21"/>
                      <w:szCs w:val="21"/>
                    </w:rPr>
                  </w:pPr>
                  <w:r>
                    <w:rPr>
                      <w:rFonts w:hint="eastAsia"/>
                      <w:sz w:val="21"/>
                      <w:szCs w:val="21"/>
                    </w:rPr>
                    <w:t>胴体牛肉</w:t>
                  </w:r>
                </w:p>
              </w:tc>
              <w:tc>
                <w:tcPr>
                  <w:tcW w:w="2126" w:type="dxa"/>
                  <w:vMerge w:val="restart"/>
                  <w:vAlign w:val="center"/>
                </w:tcPr>
                <w:p>
                  <w:pPr>
                    <w:spacing w:before="0" w:beforeLines="0" w:line="240" w:lineRule="auto"/>
                    <w:ind w:firstLine="0" w:firstLineChars="0"/>
                    <w:jc w:val="center"/>
                    <w:rPr>
                      <w:sz w:val="21"/>
                      <w:szCs w:val="20"/>
                    </w:rPr>
                  </w:pPr>
                  <w:r>
                    <w:rPr>
                      <w:rFonts w:hint="eastAsia"/>
                      <w:sz w:val="21"/>
                      <w:szCs w:val="20"/>
                    </w:rPr>
                    <w:t>主产品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sz w:val="21"/>
                      <w:szCs w:val="20"/>
                    </w:rPr>
                  </w:pPr>
                  <w:r>
                    <w:rPr>
                      <w:sz w:val="21"/>
                      <w:szCs w:val="20"/>
                    </w:rPr>
                    <w:t>2</w:t>
                  </w:r>
                </w:p>
              </w:tc>
              <w:tc>
                <w:tcPr>
                  <w:tcW w:w="2752" w:type="dxa"/>
                  <w:vAlign w:val="center"/>
                </w:tcPr>
                <w:p>
                  <w:pPr>
                    <w:spacing w:before="0" w:beforeLines="0" w:line="240" w:lineRule="auto"/>
                    <w:ind w:firstLine="0" w:firstLineChars="0"/>
                    <w:jc w:val="center"/>
                    <w:rPr>
                      <w:sz w:val="21"/>
                      <w:szCs w:val="21"/>
                    </w:rPr>
                  </w:pPr>
                  <w:r>
                    <w:rPr>
                      <w:rFonts w:hint="eastAsia"/>
                      <w:sz w:val="21"/>
                      <w:szCs w:val="21"/>
                    </w:rPr>
                    <w:t>胴体羊肉</w:t>
                  </w:r>
                </w:p>
              </w:tc>
              <w:tc>
                <w:tcPr>
                  <w:tcW w:w="2126" w:type="dxa"/>
                  <w:vMerge w:val="continue"/>
                  <w:vAlign w:val="center"/>
                </w:tcPr>
                <w:p>
                  <w:pPr>
                    <w:spacing w:before="0" w:beforeLines="0" w:line="240" w:lineRule="auto"/>
                    <w:ind w:firstLine="0" w:firstLineChars="0"/>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sz w:val="21"/>
                      <w:szCs w:val="20"/>
                    </w:rPr>
                  </w:pPr>
                  <w:r>
                    <w:rPr>
                      <w:sz w:val="21"/>
                      <w:szCs w:val="20"/>
                    </w:rPr>
                    <w:t>3</w:t>
                  </w:r>
                </w:p>
              </w:tc>
              <w:tc>
                <w:tcPr>
                  <w:tcW w:w="2752" w:type="dxa"/>
                  <w:vAlign w:val="center"/>
                </w:tcPr>
                <w:p>
                  <w:pPr>
                    <w:spacing w:before="0" w:beforeLines="0" w:line="240" w:lineRule="auto"/>
                    <w:ind w:firstLine="0" w:firstLineChars="0"/>
                    <w:jc w:val="center"/>
                    <w:rPr>
                      <w:sz w:val="21"/>
                      <w:szCs w:val="21"/>
                    </w:rPr>
                  </w:pPr>
                  <w:r>
                    <w:rPr>
                      <w:rFonts w:hint="eastAsia"/>
                      <w:sz w:val="21"/>
                      <w:szCs w:val="21"/>
                    </w:rPr>
                    <w:t>头、蹄、尾</w:t>
                  </w:r>
                </w:p>
              </w:tc>
              <w:tc>
                <w:tcPr>
                  <w:tcW w:w="2126" w:type="dxa"/>
                  <w:vMerge w:val="restart"/>
                  <w:vAlign w:val="center"/>
                </w:tcPr>
                <w:p>
                  <w:pPr>
                    <w:spacing w:before="120" w:line="240" w:lineRule="auto"/>
                    <w:ind w:firstLine="420"/>
                    <w:jc w:val="center"/>
                    <w:rPr>
                      <w:sz w:val="21"/>
                      <w:szCs w:val="20"/>
                    </w:rPr>
                  </w:pPr>
                  <w:r>
                    <w:rPr>
                      <w:rFonts w:hint="eastAsia"/>
                      <w:sz w:val="21"/>
                      <w:szCs w:val="20"/>
                    </w:rPr>
                    <w:t>副产品，分类外售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sz w:val="21"/>
                      <w:szCs w:val="20"/>
                    </w:rPr>
                  </w:pPr>
                  <w:r>
                    <w:rPr>
                      <w:sz w:val="21"/>
                      <w:szCs w:val="20"/>
                    </w:rPr>
                    <w:t>4</w:t>
                  </w:r>
                </w:p>
              </w:tc>
              <w:tc>
                <w:tcPr>
                  <w:tcW w:w="2752" w:type="dxa"/>
                  <w:vAlign w:val="center"/>
                </w:tcPr>
                <w:p>
                  <w:pPr>
                    <w:spacing w:before="0" w:beforeLines="0" w:line="240" w:lineRule="auto"/>
                    <w:ind w:firstLine="0" w:firstLineChars="0"/>
                    <w:jc w:val="center"/>
                    <w:rPr>
                      <w:sz w:val="21"/>
                      <w:szCs w:val="21"/>
                    </w:rPr>
                  </w:pPr>
                  <w:r>
                    <w:rPr>
                      <w:rFonts w:hint="eastAsia"/>
                      <w:sz w:val="21"/>
                      <w:szCs w:val="21"/>
                    </w:rPr>
                    <w:t>牛血、羊血</w:t>
                  </w:r>
                </w:p>
              </w:tc>
              <w:tc>
                <w:tcPr>
                  <w:tcW w:w="2126" w:type="dxa"/>
                  <w:vMerge w:val="continue"/>
                  <w:vAlign w:val="center"/>
                </w:tcPr>
                <w:p>
                  <w:pPr>
                    <w:spacing w:before="0" w:beforeLines="0" w:line="240" w:lineRule="auto"/>
                    <w:ind w:firstLine="0" w:firstLineChars="0"/>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sz w:val="21"/>
                      <w:szCs w:val="20"/>
                    </w:rPr>
                  </w:pPr>
                  <w:r>
                    <w:rPr>
                      <w:sz w:val="21"/>
                      <w:szCs w:val="20"/>
                    </w:rPr>
                    <w:t>5</w:t>
                  </w:r>
                </w:p>
              </w:tc>
              <w:tc>
                <w:tcPr>
                  <w:tcW w:w="2752" w:type="dxa"/>
                  <w:vAlign w:val="center"/>
                </w:tcPr>
                <w:p>
                  <w:pPr>
                    <w:spacing w:before="0" w:beforeLines="0" w:line="240" w:lineRule="auto"/>
                    <w:ind w:firstLine="0" w:firstLineChars="0"/>
                    <w:jc w:val="center"/>
                    <w:rPr>
                      <w:sz w:val="21"/>
                      <w:szCs w:val="21"/>
                    </w:rPr>
                  </w:pPr>
                  <w:r>
                    <w:rPr>
                      <w:rFonts w:hint="eastAsia"/>
                      <w:sz w:val="21"/>
                      <w:szCs w:val="21"/>
                    </w:rPr>
                    <w:t>白内脏</w:t>
                  </w:r>
                </w:p>
              </w:tc>
              <w:tc>
                <w:tcPr>
                  <w:tcW w:w="2126" w:type="dxa"/>
                  <w:vMerge w:val="continue"/>
                  <w:vAlign w:val="center"/>
                </w:tcPr>
                <w:p>
                  <w:pPr>
                    <w:spacing w:before="0" w:beforeLines="0" w:line="240" w:lineRule="auto"/>
                    <w:ind w:firstLine="0" w:firstLineChars="0"/>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sz w:val="21"/>
                      <w:szCs w:val="20"/>
                    </w:rPr>
                  </w:pPr>
                  <w:r>
                    <w:rPr>
                      <w:rFonts w:hint="eastAsia"/>
                      <w:sz w:val="21"/>
                      <w:szCs w:val="20"/>
                    </w:rPr>
                    <w:t>6</w:t>
                  </w:r>
                </w:p>
              </w:tc>
              <w:tc>
                <w:tcPr>
                  <w:tcW w:w="2752" w:type="dxa"/>
                  <w:vAlign w:val="center"/>
                </w:tcPr>
                <w:p>
                  <w:pPr>
                    <w:spacing w:before="0" w:beforeLines="0" w:line="240" w:lineRule="auto"/>
                    <w:ind w:firstLine="0" w:firstLineChars="0"/>
                    <w:jc w:val="center"/>
                    <w:rPr>
                      <w:sz w:val="21"/>
                      <w:szCs w:val="21"/>
                    </w:rPr>
                  </w:pPr>
                  <w:r>
                    <w:rPr>
                      <w:rFonts w:hint="eastAsia"/>
                      <w:sz w:val="21"/>
                      <w:szCs w:val="21"/>
                    </w:rPr>
                    <w:t>红内脏</w:t>
                  </w:r>
                </w:p>
              </w:tc>
              <w:tc>
                <w:tcPr>
                  <w:tcW w:w="2126" w:type="dxa"/>
                  <w:vMerge w:val="continue"/>
                  <w:vAlign w:val="center"/>
                </w:tcPr>
                <w:p>
                  <w:pPr>
                    <w:spacing w:before="0" w:beforeLines="0" w:line="240" w:lineRule="auto"/>
                    <w:ind w:firstLine="0" w:firstLineChars="0"/>
                    <w:jc w:val="center"/>
                    <w:rPr>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1" w:type="dxa"/>
                  <w:vAlign w:val="center"/>
                </w:tcPr>
                <w:p>
                  <w:pPr>
                    <w:spacing w:before="0" w:beforeLines="0" w:line="240" w:lineRule="auto"/>
                    <w:ind w:firstLine="0" w:firstLineChars="0"/>
                    <w:jc w:val="center"/>
                    <w:rPr>
                      <w:sz w:val="21"/>
                      <w:szCs w:val="20"/>
                    </w:rPr>
                  </w:pPr>
                  <w:r>
                    <w:rPr>
                      <w:rFonts w:hint="eastAsia"/>
                      <w:sz w:val="21"/>
                      <w:szCs w:val="20"/>
                    </w:rPr>
                    <w:t>7</w:t>
                  </w:r>
                </w:p>
              </w:tc>
              <w:tc>
                <w:tcPr>
                  <w:tcW w:w="2752" w:type="dxa"/>
                  <w:vAlign w:val="center"/>
                </w:tcPr>
                <w:p>
                  <w:pPr>
                    <w:spacing w:before="0" w:beforeLines="0" w:line="240" w:lineRule="auto"/>
                    <w:ind w:firstLine="0" w:firstLineChars="0"/>
                    <w:jc w:val="center"/>
                    <w:rPr>
                      <w:sz w:val="21"/>
                      <w:szCs w:val="21"/>
                    </w:rPr>
                  </w:pPr>
                  <w:r>
                    <w:rPr>
                      <w:rFonts w:hint="eastAsia"/>
                      <w:sz w:val="21"/>
                      <w:szCs w:val="21"/>
                    </w:rPr>
                    <w:t>牛皮、羊皮</w:t>
                  </w:r>
                </w:p>
              </w:tc>
              <w:tc>
                <w:tcPr>
                  <w:tcW w:w="2126" w:type="dxa"/>
                  <w:vMerge w:val="continue"/>
                  <w:vAlign w:val="center"/>
                </w:tcPr>
                <w:p>
                  <w:pPr>
                    <w:spacing w:before="0" w:beforeLines="0" w:line="240" w:lineRule="auto"/>
                    <w:ind w:firstLine="0" w:firstLineChars="0"/>
                    <w:jc w:val="center"/>
                    <w:rPr>
                      <w:sz w:val="21"/>
                      <w:szCs w:val="20"/>
                    </w:rPr>
                  </w:pPr>
                </w:p>
              </w:tc>
            </w:tr>
          </w:tbl>
          <w:p>
            <w:pPr>
              <w:widowControl/>
              <w:spacing w:before="240" w:beforeLines="100"/>
              <w:ind w:firstLine="482"/>
              <w:jc w:val="left"/>
              <w:rPr>
                <w:b/>
                <w:color w:val="000000"/>
              </w:rPr>
            </w:pPr>
            <w:r>
              <w:rPr>
                <w:b/>
                <w:color w:val="000000"/>
              </w:rPr>
              <w:t>3.3项目主要生产设备</w:t>
            </w:r>
          </w:p>
          <w:p>
            <w:pPr>
              <w:pStyle w:val="17"/>
              <w:spacing w:before="120" w:line="360" w:lineRule="auto"/>
              <w:ind w:firstLine="480" w:firstLineChars="200"/>
              <w:jc w:val="both"/>
              <w:rPr>
                <w:sz w:val="24"/>
                <w:szCs w:val="40"/>
              </w:rPr>
            </w:pPr>
            <w:bookmarkStart w:id="18" w:name="_Hlk95212495"/>
            <w:r>
              <w:rPr>
                <w:sz w:val="24"/>
                <w:szCs w:val="40"/>
              </w:rPr>
              <w:t>本项目主要设备见下表：</w:t>
            </w:r>
          </w:p>
          <w:p>
            <w:pPr>
              <w:adjustRightInd w:val="0"/>
              <w:snapToGrid w:val="0"/>
              <w:spacing w:before="0" w:beforeLines="0"/>
              <w:ind w:firstLine="0" w:firstLineChars="0"/>
              <w:jc w:val="center"/>
              <w:rPr>
                <w:b/>
                <w:bCs/>
                <w:kern w:val="2"/>
                <w:sz w:val="21"/>
                <w:szCs w:val="21"/>
              </w:rPr>
            </w:pPr>
            <w:bookmarkStart w:id="19" w:name="_Hlk87868672"/>
            <w:r>
              <w:rPr>
                <w:b/>
                <w:bCs/>
                <w:kern w:val="2"/>
                <w:sz w:val="21"/>
                <w:szCs w:val="21"/>
              </w:rPr>
              <w:t>表2-4  本项目主要生产设备一览表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35"/>
              <w:gridCol w:w="1276"/>
              <w:gridCol w:w="141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b/>
                      <w:bCs/>
                      <w:kern w:val="2"/>
                      <w:sz w:val="21"/>
                      <w:szCs w:val="21"/>
                    </w:rPr>
                  </w:pPr>
                  <w:r>
                    <w:rPr>
                      <w:rFonts w:hint="eastAsia"/>
                      <w:b/>
                      <w:bCs/>
                      <w:kern w:val="2"/>
                      <w:sz w:val="21"/>
                      <w:szCs w:val="21"/>
                    </w:rPr>
                    <w:t>序号</w:t>
                  </w:r>
                </w:p>
              </w:tc>
              <w:tc>
                <w:tcPr>
                  <w:tcW w:w="1735" w:type="dxa"/>
                  <w:vAlign w:val="center"/>
                </w:tcPr>
                <w:p>
                  <w:pPr>
                    <w:adjustRightInd w:val="0"/>
                    <w:snapToGrid w:val="0"/>
                    <w:spacing w:before="0" w:beforeLines="0" w:line="240" w:lineRule="auto"/>
                    <w:ind w:firstLine="0" w:firstLineChars="0"/>
                    <w:jc w:val="center"/>
                    <w:rPr>
                      <w:b/>
                      <w:bCs/>
                      <w:kern w:val="2"/>
                      <w:sz w:val="21"/>
                      <w:szCs w:val="21"/>
                    </w:rPr>
                  </w:pPr>
                  <w:r>
                    <w:rPr>
                      <w:rFonts w:hint="eastAsia"/>
                      <w:b/>
                      <w:bCs/>
                      <w:kern w:val="2"/>
                      <w:sz w:val="21"/>
                      <w:szCs w:val="21"/>
                    </w:rPr>
                    <w:t>名称</w:t>
                  </w:r>
                </w:p>
              </w:tc>
              <w:tc>
                <w:tcPr>
                  <w:tcW w:w="1276" w:type="dxa"/>
                  <w:vAlign w:val="center"/>
                </w:tcPr>
                <w:p>
                  <w:pPr>
                    <w:adjustRightInd w:val="0"/>
                    <w:snapToGrid w:val="0"/>
                    <w:spacing w:before="0" w:beforeLines="0" w:line="240" w:lineRule="auto"/>
                    <w:ind w:firstLine="0" w:firstLineChars="0"/>
                    <w:jc w:val="center"/>
                    <w:rPr>
                      <w:b/>
                      <w:bCs/>
                      <w:kern w:val="2"/>
                      <w:sz w:val="21"/>
                      <w:szCs w:val="21"/>
                    </w:rPr>
                  </w:pPr>
                  <w:r>
                    <w:rPr>
                      <w:rFonts w:hint="eastAsia"/>
                      <w:b/>
                      <w:bCs/>
                      <w:kern w:val="2"/>
                      <w:sz w:val="21"/>
                      <w:szCs w:val="21"/>
                    </w:rPr>
                    <w:t>单位</w:t>
                  </w:r>
                </w:p>
              </w:tc>
              <w:tc>
                <w:tcPr>
                  <w:tcW w:w="1417" w:type="dxa"/>
                  <w:vAlign w:val="center"/>
                </w:tcPr>
                <w:p>
                  <w:pPr>
                    <w:adjustRightInd w:val="0"/>
                    <w:snapToGrid w:val="0"/>
                    <w:spacing w:before="0" w:beforeLines="0" w:line="240" w:lineRule="auto"/>
                    <w:ind w:firstLine="0" w:firstLineChars="0"/>
                    <w:jc w:val="center"/>
                    <w:rPr>
                      <w:b/>
                      <w:bCs/>
                      <w:kern w:val="2"/>
                      <w:sz w:val="21"/>
                      <w:szCs w:val="21"/>
                    </w:rPr>
                  </w:pPr>
                  <w:r>
                    <w:rPr>
                      <w:rFonts w:hint="eastAsia"/>
                      <w:b/>
                      <w:bCs/>
                      <w:kern w:val="2"/>
                      <w:sz w:val="21"/>
                      <w:szCs w:val="21"/>
                    </w:rPr>
                    <w:t>数量</w:t>
                  </w:r>
                </w:p>
              </w:tc>
              <w:tc>
                <w:tcPr>
                  <w:tcW w:w="2291" w:type="dxa"/>
                  <w:vAlign w:val="center"/>
                </w:tcPr>
                <w:p>
                  <w:pPr>
                    <w:adjustRightInd w:val="0"/>
                    <w:snapToGrid w:val="0"/>
                    <w:spacing w:before="0" w:beforeLines="0" w:line="240" w:lineRule="auto"/>
                    <w:ind w:firstLine="0" w:firstLineChars="0"/>
                    <w:jc w:val="center"/>
                    <w:rPr>
                      <w:b/>
                      <w:bCs/>
                      <w:kern w:val="2"/>
                      <w:sz w:val="21"/>
                      <w:szCs w:val="21"/>
                    </w:rPr>
                  </w:pPr>
                  <w:r>
                    <w:rPr>
                      <w:rFonts w:hint="eastAsia"/>
                      <w:b/>
                      <w:bCs/>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0" w:type="dxa"/>
                  <w:gridSpan w:val="5"/>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一、羊屠宰设备单元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p>
              </w:tc>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放血自动线</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米</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50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含, 角轮, 吊脚轮, 可拆链条, 弯轨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驱动装置</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台</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N=3KW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3</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涨紧装置</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台</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含伸缩轨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4</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自动卸羊器</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台</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2</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气动控制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5</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羊烫毛池</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个</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2</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304#不锈钢,厚2.5mm, 长3000mm宽1800mm双层保温含排水阀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6</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羊清水池</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个</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2</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304#不锈钢,厚2.5mm, 长3000mm宽1800mm含排水阀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7</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提升机</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台</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2</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N=2.2KW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8</w:t>
                  </w:r>
                </w:p>
              </w:tc>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手推轨道线</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米</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150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含双槽钢对拼龙门架, 道叉, 弯轨, 4*4角钢,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9</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电控箱</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个</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不锈钢防水箱, 德力西电器元件,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0</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羊滑轮叉档</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套</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100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滑轮、挂钩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1</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羊扣脚链</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根</w:t>
                  </w:r>
                </w:p>
              </w:tc>
              <w:tc>
                <w:tcPr>
                  <w:tcW w:w="1417"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30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0" w:type="dxa"/>
                  <w:gridSpan w:val="5"/>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二、牛屠宰设备单元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p>
              </w:tc>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牛放血自动线</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米</w:t>
                  </w:r>
                </w:p>
              </w:tc>
              <w:tc>
                <w:tcPr>
                  <w:tcW w:w="141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60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含, 角轮, 吊脚轮, 可拆链条, 弯轨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驱动装置</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台</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N=3KW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3</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涨紧装置</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台</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含伸缩轨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4</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吊挂站台</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个</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网格踏板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5</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吊挂葫芦</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台</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w:t>
                  </w:r>
                  <w:r>
                    <w:rPr>
                      <w:kern w:val="2"/>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6</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扣脚链</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根</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镀锌套筒式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7</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操作站台</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套</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网格踏板 L=16米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8</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扯皮机</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台</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N=7.5KW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9</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单柱升降台</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台</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2</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气动控制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0</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内脏滑槽</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个</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全不锈钢制做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11</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换轨站台</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张</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机架镀锌，网格踏板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2</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换轨葫芦</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台</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3</w:t>
                  </w:r>
                </w:p>
              </w:tc>
              <w:tc>
                <w:tcPr>
                  <w:tcW w:w="1735"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rFonts w:hint="eastAsia"/>
                      <w:color w:val="000000"/>
                      <w:sz w:val="21"/>
                      <w:szCs w:val="21"/>
                    </w:rPr>
                    <w:t>手推线</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米</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90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含吊架、道岔、弯轨、角钢轨道等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4</w:t>
                  </w:r>
                </w:p>
              </w:tc>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牛用滑轮挂钩</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吨</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30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镀锌滑轮，不锈钢挂钩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5</w:t>
                  </w:r>
                </w:p>
              </w:tc>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架设钢梁</w:t>
                  </w:r>
                </w:p>
              </w:tc>
              <w:tc>
                <w:tcPr>
                  <w:tcW w:w="1276" w:type="dxa"/>
                  <w:tcBorders>
                    <w:top w:val="nil"/>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台</w:t>
                  </w:r>
                </w:p>
              </w:tc>
              <w:tc>
                <w:tcPr>
                  <w:tcW w:w="1417" w:type="dxa"/>
                  <w:tcBorders>
                    <w:top w:val="nil"/>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1</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6</w:t>
                  </w:r>
                </w:p>
              </w:tc>
              <w:tc>
                <w:tcPr>
                  <w:tcW w:w="173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18"/>
                      <w:szCs w:val="18"/>
                    </w:rPr>
                  </w:pPr>
                  <w:r>
                    <w:rPr>
                      <w:rFonts w:hint="eastAsia"/>
                      <w:color w:val="000000"/>
                      <w:sz w:val="21"/>
                      <w:szCs w:val="21"/>
                    </w:rPr>
                    <w:t>控制柜</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米</w:t>
                  </w:r>
                </w:p>
              </w:tc>
              <w:tc>
                <w:tcPr>
                  <w:tcW w:w="1417"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kern w:val="2"/>
                      <w:sz w:val="21"/>
                      <w:szCs w:val="21"/>
                    </w:rPr>
                  </w:pPr>
                  <w:r>
                    <w:rPr>
                      <w:color w:val="000000"/>
                      <w:sz w:val="21"/>
                      <w:szCs w:val="21"/>
                    </w:rPr>
                    <w:t>60</w:t>
                  </w:r>
                </w:p>
              </w:tc>
              <w:tc>
                <w:tcPr>
                  <w:tcW w:w="2291"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不锈钢防水箱, 德力西电器元件,</w:t>
                  </w:r>
                </w:p>
              </w:tc>
            </w:tr>
            <w:bookmarkEnd w:id="18"/>
            <w:bookmarkEnd w:id="19"/>
          </w:tbl>
          <w:p>
            <w:pPr>
              <w:widowControl/>
              <w:spacing w:before="240" w:beforeLines="100"/>
              <w:ind w:firstLine="482"/>
              <w:rPr>
                <w:b/>
                <w:color w:val="000000"/>
              </w:rPr>
            </w:pPr>
            <w:r>
              <w:rPr>
                <w:b/>
                <w:color w:val="000000"/>
              </w:rPr>
              <w:t>3.4项目原辅材料及理化性质</w:t>
            </w:r>
          </w:p>
          <w:p>
            <w:pPr>
              <w:spacing w:before="120"/>
              <w:ind w:firstLine="480"/>
            </w:pPr>
            <w:r>
              <w:t>本项目原辅材料使用情况详见下表2-5。</w:t>
            </w:r>
          </w:p>
          <w:p>
            <w:pPr>
              <w:spacing w:before="120"/>
              <w:ind w:firstLine="0" w:firstLineChars="0"/>
              <w:jc w:val="center"/>
              <w:rPr>
                <w:b/>
                <w:kern w:val="28"/>
                <w:sz w:val="21"/>
                <w:szCs w:val="32"/>
              </w:rPr>
            </w:pPr>
            <w:bookmarkStart w:id="20" w:name="_Hlk102723948"/>
            <w:bookmarkStart w:id="21" w:name="_Hlk106355263"/>
            <w:r>
              <w:rPr>
                <w:b/>
                <w:kern w:val="28"/>
                <w:sz w:val="21"/>
                <w:szCs w:val="32"/>
              </w:rPr>
              <w:t>表2-5  项目原辅材料用量一览表</w:t>
            </w:r>
            <w:bookmarkEnd w:id="20"/>
          </w:p>
          <w:tbl>
            <w:tblPr>
              <w:tblStyle w:val="22"/>
              <w:tblW w:w="6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5"/>
              <w:gridCol w:w="1934"/>
              <w:gridCol w:w="1562"/>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8" w:hRule="exact"/>
                <w:jc w:val="center"/>
              </w:trPr>
              <w:tc>
                <w:tcPr>
                  <w:tcW w:w="1105" w:type="dxa"/>
                  <w:vAlign w:val="center"/>
                </w:tcPr>
                <w:p>
                  <w:pPr>
                    <w:spacing w:before="0" w:beforeLines="0" w:line="240" w:lineRule="auto"/>
                    <w:ind w:firstLine="0" w:firstLineChars="0"/>
                    <w:jc w:val="center"/>
                    <w:rPr>
                      <w:b/>
                      <w:bCs/>
                      <w:sz w:val="21"/>
                      <w:szCs w:val="20"/>
                    </w:rPr>
                  </w:pPr>
                  <w:r>
                    <w:rPr>
                      <w:rFonts w:hint="eastAsia"/>
                      <w:b/>
                      <w:bCs/>
                      <w:sz w:val="21"/>
                      <w:szCs w:val="20"/>
                    </w:rPr>
                    <w:t>序号</w:t>
                  </w:r>
                </w:p>
              </w:tc>
              <w:tc>
                <w:tcPr>
                  <w:tcW w:w="1934" w:type="dxa"/>
                  <w:vAlign w:val="center"/>
                </w:tcPr>
                <w:p>
                  <w:pPr>
                    <w:spacing w:before="0" w:beforeLines="0" w:line="240" w:lineRule="auto"/>
                    <w:ind w:firstLine="0" w:firstLineChars="0"/>
                    <w:jc w:val="center"/>
                    <w:rPr>
                      <w:b/>
                      <w:bCs/>
                      <w:sz w:val="21"/>
                      <w:szCs w:val="20"/>
                    </w:rPr>
                  </w:pPr>
                  <w:r>
                    <w:rPr>
                      <w:b/>
                      <w:bCs/>
                      <w:sz w:val="21"/>
                      <w:szCs w:val="20"/>
                    </w:rPr>
                    <w:t>名称</w:t>
                  </w:r>
                </w:p>
              </w:tc>
              <w:tc>
                <w:tcPr>
                  <w:tcW w:w="1562" w:type="dxa"/>
                  <w:vAlign w:val="center"/>
                </w:tcPr>
                <w:p>
                  <w:pPr>
                    <w:spacing w:before="0" w:beforeLines="0" w:line="240" w:lineRule="auto"/>
                    <w:ind w:firstLine="0" w:firstLineChars="0"/>
                    <w:jc w:val="center"/>
                    <w:rPr>
                      <w:b/>
                      <w:bCs/>
                      <w:sz w:val="21"/>
                      <w:szCs w:val="20"/>
                    </w:rPr>
                  </w:pPr>
                  <w:r>
                    <w:rPr>
                      <w:b/>
                      <w:bCs/>
                      <w:sz w:val="21"/>
                      <w:szCs w:val="20"/>
                    </w:rPr>
                    <w:t>年用量</w:t>
                  </w:r>
                </w:p>
              </w:tc>
              <w:tc>
                <w:tcPr>
                  <w:tcW w:w="2174" w:type="dxa"/>
                  <w:vAlign w:val="center"/>
                </w:tcPr>
                <w:p>
                  <w:pPr>
                    <w:spacing w:before="0" w:beforeLines="0" w:line="240" w:lineRule="auto"/>
                    <w:ind w:firstLine="0" w:firstLineChars="0"/>
                    <w:jc w:val="center"/>
                    <w:rPr>
                      <w:b/>
                      <w:bCs/>
                      <w:sz w:val="21"/>
                      <w:szCs w:val="20"/>
                    </w:rPr>
                  </w:pPr>
                  <w:r>
                    <w:rPr>
                      <w:rFonts w:hint="eastAsia"/>
                      <w:b/>
                      <w:bCs/>
                      <w:sz w:val="21"/>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0" w:hRule="exact"/>
                <w:jc w:val="center"/>
              </w:trPr>
              <w:tc>
                <w:tcPr>
                  <w:tcW w:w="1105" w:type="dxa"/>
                  <w:vAlign w:val="center"/>
                </w:tcPr>
                <w:p>
                  <w:pPr>
                    <w:spacing w:before="0" w:beforeLines="0" w:line="240" w:lineRule="auto"/>
                    <w:ind w:firstLine="0" w:firstLineChars="0"/>
                    <w:jc w:val="center"/>
                    <w:rPr>
                      <w:sz w:val="21"/>
                      <w:szCs w:val="20"/>
                    </w:rPr>
                  </w:pPr>
                  <w:r>
                    <w:rPr>
                      <w:rFonts w:hint="eastAsia"/>
                      <w:sz w:val="21"/>
                      <w:szCs w:val="20"/>
                    </w:rPr>
                    <w:t>1</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肉牛</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1750头</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本地购入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exact"/>
                <w:jc w:val="center"/>
              </w:trPr>
              <w:tc>
                <w:tcPr>
                  <w:tcW w:w="1105" w:type="dxa"/>
                  <w:vAlign w:val="center"/>
                </w:tcPr>
                <w:p>
                  <w:pPr>
                    <w:spacing w:before="0" w:beforeLines="0" w:line="240" w:lineRule="auto"/>
                    <w:ind w:firstLine="0" w:firstLineChars="0"/>
                    <w:jc w:val="center"/>
                    <w:rPr>
                      <w:sz w:val="21"/>
                      <w:szCs w:val="20"/>
                    </w:rPr>
                  </w:pPr>
                  <w:r>
                    <w:rPr>
                      <w:rFonts w:hint="eastAsia"/>
                      <w:sz w:val="21"/>
                      <w:szCs w:val="20"/>
                    </w:rPr>
                    <w:t>2</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羊</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50750只</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部分本地购入，部分来源于生态养殖基地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7" w:hRule="exact"/>
                <w:jc w:val="center"/>
              </w:trPr>
              <w:tc>
                <w:tcPr>
                  <w:tcW w:w="1105" w:type="dxa"/>
                  <w:vAlign w:val="center"/>
                </w:tcPr>
                <w:p>
                  <w:pPr>
                    <w:spacing w:before="0" w:beforeLines="0" w:line="240" w:lineRule="auto"/>
                    <w:ind w:firstLine="0" w:firstLineChars="0"/>
                    <w:jc w:val="center"/>
                    <w:rPr>
                      <w:sz w:val="21"/>
                      <w:szCs w:val="20"/>
                    </w:rPr>
                  </w:pPr>
                  <w:r>
                    <w:rPr>
                      <w:rFonts w:hint="eastAsia"/>
                      <w:sz w:val="21"/>
                      <w:szCs w:val="20"/>
                    </w:rPr>
                    <w:t>3</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消毒剂</w:t>
                  </w:r>
                </w:p>
              </w:tc>
              <w:tc>
                <w:tcPr>
                  <w:tcW w:w="1562" w:type="dxa"/>
                  <w:shd w:val="clear" w:color="auto" w:fill="auto"/>
                  <w:vAlign w:val="center"/>
                </w:tcPr>
                <w:p>
                  <w:pPr>
                    <w:spacing w:before="0" w:beforeLines="0" w:line="240" w:lineRule="auto"/>
                    <w:ind w:firstLine="0" w:firstLineChars="0"/>
                    <w:jc w:val="center"/>
                    <w:rPr>
                      <w:sz w:val="21"/>
                      <w:szCs w:val="20"/>
                    </w:rPr>
                  </w:pPr>
                  <w:r>
                    <w:rPr>
                      <w:sz w:val="21"/>
                      <w:szCs w:val="20"/>
                    </w:rPr>
                    <w:t>1</w:t>
                  </w:r>
                  <w:r>
                    <w:rPr>
                      <w:rFonts w:hint="eastAsia"/>
                      <w:sz w:val="21"/>
                      <w:szCs w:val="20"/>
                    </w:rPr>
                    <w:t>t</w:t>
                  </w:r>
                  <w:r>
                    <w:rPr>
                      <w:sz w:val="21"/>
                      <w:szCs w:val="20"/>
                    </w:rPr>
                    <w:t>/a</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外购，用于厂区消毒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2" w:hRule="exact"/>
                <w:jc w:val="center"/>
              </w:trPr>
              <w:tc>
                <w:tcPr>
                  <w:tcW w:w="1105" w:type="dxa"/>
                  <w:vAlign w:val="center"/>
                </w:tcPr>
                <w:p>
                  <w:pPr>
                    <w:spacing w:before="0" w:beforeLines="0" w:line="240" w:lineRule="auto"/>
                    <w:ind w:firstLine="0" w:firstLineChars="0"/>
                    <w:jc w:val="center"/>
                    <w:rPr>
                      <w:sz w:val="21"/>
                      <w:szCs w:val="20"/>
                    </w:rPr>
                  </w:pPr>
                  <w:r>
                    <w:rPr>
                      <w:rFonts w:hint="eastAsia"/>
                      <w:sz w:val="21"/>
                      <w:szCs w:val="20"/>
                    </w:rPr>
                    <w:t>4</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盐酸</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3 t</w:t>
                  </w:r>
                  <w:r>
                    <w:rPr>
                      <w:sz w:val="21"/>
                      <w:szCs w:val="20"/>
                    </w:rPr>
                    <w:t>/a</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外购，用于污水处理站制备消毒剂二氧化氯，二氧化氯现制现用，最大存储0.2吨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0" w:hRule="exact"/>
                <w:jc w:val="center"/>
              </w:trPr>
              <w:tc>
                <w:tcPr>
                  <w:tcW w:w="1105" w:type="dxa"/>
                  <w:vAlign w:val="center"/>
                </w:tcPr>
                <w:p>
                  <w:pPr>
                    <w:spacing w:before="0" w:beforeLines="0" w:line="240" w:lineRule="auto"/>
                    <w:ind w:firstLine="0" w:firstLineChars="0"/>
                    <w:jc w:val="center"/>
                    <w:rPr>
                      <w:sz w:val="21"/>
                      <w:szCs w:val="20"/>
                    </w:rPr>
                  </w:pPr>
                  <w:r>
                    <w:rPr>
                      <w:rFonts w:hint="eastAsia"/>
                      <w:sz w:val="21"/>
                      <w:szCs w:val="20"/>
                    </w:rPr>
                    <w:t>5</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氯酸纳</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1</w:t>
                  </w:r>
                  <w:r>
                    <w:rPr>
                      <w:sz w:val="21"/>
                      <w:szCs w:val="20"/>
                    </w:rPr>
                    <w:t>.4</w:t>
                  </w:r>
                  <w:r>
                    <w:rPr>
                      <w:rFonts w:hint="eastAsia"/>
                      <w:sz w:val="21"/>
                      <w:szCs w:val="20"/>
                    </w:rPr>
                    <w:t xml:space="preserve"> t</w:t>
                  </w:r>
                  <w:r>
                    <w:rPr>
                      <w:sz w:val="21"/>
                      <w:szCs w:val="20"/>
                    </w:rPr>
                    <w:t>/a</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外购，用于污水处理站制备消毒剂二氧化氯，二氧化氯现制现用，最大存储0.1吨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7" w:hRule="exact"/>
                <w:jc w:val="center"/>
              </w:trPr>
              <w:tc>
                <w:tcPr>
                  <w:tcW w:w="1105" w:type="dxa"/>
                  <w:vAlign w:val="center"/>
                </w:tcPr>
                <w:p>
                  <w:pPr>
                    <w:spacing w:before="0" w:beforeLines="0" w:line="240" w:lineRule="auto"/>
                    <w:ind w:firstLine="0" w:firstLineChars="0"/>
                    <w:jc w:val="center"/>
                    <w:rPr>
                      <w:sz w:val="21"/>
                      <w:szCs w:val="20"/>
                    </w:rPr>
                  </w:pPr>
                  <w:r>
                    <w:rPr>
                      <w:rFonts w:hint="eastAsia"/>
                      <w:sz w:val="21"/>
                      <w:szCs w:val="20"/>
                    </w:rPr>
                    <w:t>6</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N</w:t>
                  </w:r>
                  <w:r>
                    <w:rPr>
                      <w:sz w:val="21"/>
                      <w:szCs w:val="20"/>
                    </w:rPr>
                    <w:t>aOH</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0</w:t>
                  </w:r>
                  <w:r>
                    <w:rPr>
                      <w:sz w:val="21"/>
                      <w:szCs w:val="20"/>
                    </w:rPr>
                    <w:t>.6</w:t>
                  </w:r>
                  <w:r>
                    <w:rPr>
                      <w:rFonts w:hint="eastAsia"/>
                      <w:sz w:val="21"/>
                      <w:szCs w:val="20"/>
                    </w:rPr>
                    <w:t>吨</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最大存储量0</w:t>
                  </w:r>
                  <w:r>
                    <w:rPr>
                      <w:sz w:val="21"/>
                      <w:szCs w:val="20"/>
                    </w:rPr>
                    <w:t>.1</w:t>
                  </w:r>
                  <w:r>
                    <w:rPr>
                      <w:rFonts w:hint="eastAsia"/>
                      <w:sz w:val="21"/>
                      <w:szCs w:val="20"/>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9" w:hRule="exact"/>
                <w:jc w:val="center"/>
              </w:trPr>
              <w:tc>
                <w:tcPr>
                  <w:tcW w:w="1105" w:type="dxa"/>
                  <w:vAlign w:val="center"/>
                </w:tcPr>
                <w:p>
                  <w:pPr>
                    <w:spacing w:before="0" w:beforeLines="0" w:line="240" w:lineRule="auto"/>
                    <w:ind w:firstLine="0" w:firstLineChars="0"/>
                    <w:jc w:val="center"/>
                    <w:rPr>
                      <w:sz w:val="21"/>
                      <w:szCs w:val="20"/>
                    </w:rPr>
                  </w:pPr>
                  <w:r>
                    <w:rPr>
                      <w:sz w:val="21"/>
                      <w:szCs w:val="20"/>
                    </w:rPr>
                    <w:t>7</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制冷剂（R</w:t>
                  </w:r>
                  <w:r>
                    <w:rPr>
                      <w:sz w:val="21"/>
                      <w:szCs w:val="20"/>
                    </w:rPr>
                    <w:t>410</w:t>
                  </w:r>
                  <w:r>
                    <w:rPr>
                      <w:rFonts w:hint="eastAsia"/>
                      <w:sz w:val="21"/>
                      <w:szCs w:val="20"/>
                    </w:rPr>
                    <w:t>A）</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0</w:t>
                  </w:r>
                  <w:r>
                    <w:rPr>
                      <w:sz w:val="21"/>
                      <w:szCs w:val="20"/>
                    </w:rPr>
                    <w:t>.2t/a</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制冷剂R</w:t>
                  </w:r>
                  <w:r>
                    <w:rPr>
                      <w:sz w:val="21"/>
                      <w:szCs w:val="20"/>
                    </w:rPr>
                    <w:t>410</w:t>
                  </w:r>
                  <w:r>
                    <w:rPr>
                      <w:rFonts w:hint="eastAsia"/>
                      <w:sz w:val="21"/>
                      <w:szCs w:val="20"/>
                    </w:rPr>
                    <w:t>A是环保型制冷剂，需要由厂家派专人进行更换，不在厂内暂存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exact"/>
                <w:jc w:val="center"/>
              </w:trPr>
              <w:tc>
                <w:tcPr>
                  <w:tcW w:w="1105" w:type="dxa"/>
                  <w:vAlign w:val="center"/>
                </w:tcPr>
                <w:p>
                  <w:pPr>
                    <w:spacing w:before="0" w:beforeLines="0" w:line="240" w:lineRule="auto"/>
                    <w:ind w:firstLine="0" w:firstLineChars="0"/>
                    <w:jc w:val="center"/>
                    <w:rPr>
                      <w:sz w:val="21"/>
                      <w:szCs w:val="20"/>
                    </w:rPr>
                  </w:pPr>
                  <w:r>
                    <w:rPr>
                      <w:sz w:val="21"/>
                      <w:szCs w:val="20"/>
                    </w:rPr>
                    <w:t>8</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除臭剂</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1t</w:t>
                  </w:r>
                  <w:r>
                    <w:rPr>
                      <w:sz w:val="21"/>
                      <w:szCs w:val="20"/>
                    </w:rPr>
                    <w:t>/a</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exact"/>
                <w:jc w:val="center"/>
              </w:trPr>
              <w:tc>
                <w:tcPr>
                  <w:tcW w:w="1105" w:type="dxa"/>
                  <w:vAlign w:val="center"/>
                </w:tcPr>
                <w:p>
                  <w:pPr>
                    <w:spacing w:before="0" w:beforeLines="0" w:line="240" w:lineRule="auto"/>
                    <w:ind w:firstLine="0" w:firstLineChars="0"/>
                    <w:jc w:val="center"/>
                    <w:rPr>
                      <w:sz w:val="21"/>
                      <w:szCs w:val="20"/>
                    </w:rPr>
                  </w:pPr>
                  <w:r>
                    <w:rPr>
                      <w:sz w:val="21"/>
                      <w:szCs w:val="20"/>
                    </w:rPr>
                    <w:t>9</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水</w:t>
                  </w:r>
                </w:p>
              </w:tc>
              <w:tc>
                <w:tcPr>
                  <w:tcW w:w="1562" w:type="dxa"/>
                  <w:shd w:val="clear" w:color="auto" w:fill="auto"/>
                  <w:vAlign w:val="center"/>
                </w:tcPr>
                <w:p>
                  <w:pPr>
                    <w:spacing w:before="0" w:beforeLines="0" w:line="240" w:lineRule="auto"/>
                    <w:ind w:firstLine="0" w:firstLineChars="0"/>
                    <w:jc w:val="center"/>
                    <w:rPr>
                      <w:sz w:val="21"/>
                      <w:szCs w:val="20"/>
                    </w:rPr>
                  </w:pPr>
                  <w:r>
                    <w:rPr>
                      <w:rFonts w:hint="eastAsia"/>
                      <w:sz w:val="21"/>
                      <w:szCs w:val="20"/>
                    </w:rPr>
                    <w:t>23990.5</w:t>
                  </w:r>
                  <w:r>
                    <w:rPr>
                      <w:sz w:val="21"/>
                      <w:szCs w:val="20"/>
                    </w:rPr>
                    <w:t>m</w:t>
                  </w:r>
                  <w:r>
                    <w:rPr>
                      <w:sz w:val="21"/>
                      <w:szCs w:val="20"/>
                      <w:vertAlign w:val="superscript"/>
                    </w:rPr>
                    <w:t>3</w:t>
                  </w:r>
                  <w:r>
                    <w:rPr>
                      <w:sz w:val="21"/>
                      <w:szCs w:val="20"/>
                    </w:rPr>
                    <w:t>/a</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市政供水管网供给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exact"/>
                <w:jc w:val="center"/>
              </w:trPr>
              <w:tc>
                <w:tcPr>
                  <w:tcW w:w="1105" w:type="dxa"/>
                  <w:vAlign w:val="center"/>
                </w:tcPr>
                <w:p>
                  <w:pPr>
                    <w:spacing w:before="0" w:beforeLines="0" w:line="240" w:lineRule="auto"/>
                    <w:ind w:firstLine="0" w:firstLineChars="0"/>
                    <w:jc w:val="center"/>
                    <w:rPr>
                      <w:sz w:val="21"/>
                      <w:szCs w:val="20"/>
                    </w:rPr>
                  </w:pPr>
                  <w:r>
                    <w:rPr>
                      <w:sz w:val="21"/>
                      <w:szCs w:val="20"/>
                    </w:rPr>
                    <w:t>10</w:t>
                  </w:r>
                </w:p>
              </w:tc>
              <w:tc>
                <w:tcPr>
                  <w:tcW w:w="1934" w:type="dxa"/>
                  <w:vAlign w:val="center"/>
                </w:tcPr>
                <w:p>
                  <w:pPr>
                    <w:spacing w:before="0" w:beforeLines="0" w:line="240" w:lineRule="auto"/>
                    <w:ind w:firstLine="0" w:firstLineChars="0"/>
                    <w:jc w:val="center"/>
                    <w:rPr>
                      <w:sz w:val="21"/>
                      <w:szCs w:val="20"/>
                    </w:rPr>
                  </w:pPr>
                  <w:r>
                    <w:rPr>
                      <w:rFonts w:hint="eastAsia"/>
                      <w:sz w:val="21"/>
                      <w:szCs w:val="20"/>
                    </w:rPr>
                    <w:t>电</w:t>
                  </w:r>
                </w:p>
              </w:tc>
              <w:tc>
                <w:tcPr>
                  <w:tcW w:w="1562" w:type="dxa"/>
                  <w:shd w:val="clear" w:color="auto" w:fill="auto"/>
                  <w:vAlign w:val="center"/>
                </w:tcPr>
                <w:p>
                  <w:pPr>
                    <w:spacing w:before="0" w:beforeLines="0" w:line="240" w:lineRule="auto"/>
                    <w:ind w:firstLine="0" w:firstLineChars="0"/>
                    <w:jc w:val="center"/>
                    <w:rPr>
                      <w:sz w:val="21"/>
                      <w:szCs w:val="20"/>
                    </w:rPr>
                  </w:pPr>
                  <w:r>
                    <w:rPr>
                      <w:sz w:val="21"/>
                      <w:szCs w:val="20"/>
                    </w:rPr>
                    <w:t>200000KWh/a</w:t>
                  </w:r>
                </w:p>
              </w:tc>
              <w:tc>
                <w:tcPr>
                  <w:tcW w:w="2174" w:type="dxa"/>
                  <w:vAlign w:val="center"/>
                </w:tcPr>
                <w:p>
                  <w:pPr>
                    <w:spacing w:before="0" w:beforeLines="0" w:line="240" w:lineRule="auto"/>
                    <w:ind w:firstLine="0" w:firstLineChars="0"/>
                    <w:jc w:val="center"/>
                    <w:rPr>
                      <w:sz w:val="21"/>
                      <w:szCs w:val="20"/>
                    </w:rPr>
                  </w:pPr>
                  <w:r>
                    <w:rPr>
                      <w:rFonts w:hint="eastAsia"/>
                      <w:sz w:val="21"/>
                      <w:szCs w:val="20"/>
                    </w:rPr>
                    <w:t>市政电网供给</w:t>
                  </w:r>
                </w:p>
              </w:tc>
            </w:tr>
            <w:bookmarkEnd w:id="21"/>
          </w:tbl>
          <w:p>
            <w:pPr>
              <w:adjustRightInd w:val="0"/>
              <w:snapToGrid w:val="0"/>
              <w:spacing w:before="240" w:beforeLines="100"/>
              <w:ind w:firstLine="480"/>
              <w:jc w:val="left"/>
              <w:rPr>
                <w:bCs/>
                <w:color w:val="000000"/>
              </w:rPr>
            </w:pPr>
            <w:r>
              <w:rPr>
                <w:bCs/>
                <w:color w:val="000000"/>
              </w:rPr>
              <w:t>主要原辅材料特性如下：</w:t>
            </w:r>
          </w:p>
          <w:p>
            <w:pPr>
              <w:pStyle w:val="6"/>
              <w:spacing w:before="240" w:beforeLines="100" w:line="360" w:lineRule="auto"/>
              <w:ind w:firstLine="480" w:firstLineChars="200"/>
              <w:rPr>
                <w:bCs/>
                <w:color w:val="000000"/>
                <w:sz w:val="24"/>
                <w:szCs w:val="24"/>
              </w:rPr>
            </w:pPr>
            <w:r>
              <w:rPr>
                <w:rFonts w:hint="eastAsia"/>
                <w:bCs/>
                <w:color w:val="000000"/>
                <w:sz w:val="24"/>
                <w:szCs w:val="24"/>
              </w:rPr>
              <w:t>本项目生产污水消毒采用二氧化氯（</w:t>
            </w:r>
            <w:r>
              <w:rPr>
                <w:bCs/>
                <w:color w:val="000000"/>
                <w:sz w:val="24"/>
                <w:szCs w:val="24"/>
              </w:rPr>
              <w:t>ClO2</w:t>
            </w:r>
            <w:r>
              <w:rPr>
                <w:rFonts w:hint="eastAsia"/>
                <w:bCs/>
                <w:color w:val="000000"/>
                <w:sz w:val="24"/>
                <w:szCs w:val="24"/>
              </w:rPr>
              <w:t>）做消毒剂，以氯酸钠与盐酸作为原料，项目配置一台二氧化氯发生器，使用氯酸钠（含量≥</w:t>
            </w:r>
            <w:r>
              <w:rPr>
                <w:bCs/>
                <w:color w:val="000000"/>
                <w:sz w:val="24"/>
                <w:szCs w:val="24"/>
              </w:rPr>
              <w:t>99%</w:t>
            </w:r>
            <w:r>
              <w:rPr>
                <w:rFonts w:hint="eastAsia"/>
                <w:bCs/>
                <w:color w:val="000000"/>
                <w:sz w:val="24"/>
                <w:szCs w:val="24"/>
              </w:rPr>
              <w:t>）、盐酸（浓度≥</w:t>
            </w:r>
            <w:r>
              <w:rPr>
                <w:bCs/>
                <w:color w:val="000000"/>
                <w:sz w:val="24"/>
                <w:szCs w:val="24"/>
              </w:rPr>
              <w:t>31%</w:t>
            </w:r>
            <w:r>
              <w:rPr>
                <w:rFonts w:hint="eastAsia"/>
                <w:bCs/>
                <w:color w:val="000000"/>
                <w:sz w:val="24"/>
                <w:szCs w:val="24"/>
              </w:rPr>
              <w:t>）为原料制备二氧化氯。</w:t>
            </w:r>
          </w:p>
          <w:p>
            <w:pPr>
              <w:pStyle w:val="6"/>
              <w:spacing w:before="120" w:beforeLines="50" w:line="360" w:lineRule="auto"/>
              <w:ind w:firstLine="480" w:firstLineChars="200"/>
              <w:rPr>
                <w:bCs/>
                <w:color w:val="000000"/>
                <w:sz w:val="24"/>
                <w:szCs w:val="24"/>
              </w:rPr>
            </w:pPr>
            <w:r>
              <w:rPr>
                <w:rFonts w:hint="eastAsia"/>
                <w:bCs/>
                <w:color w:val="000000"/>
                <w:sz w:val="24"/>
                <w:szCs w:val="24"/>
              </w:rPr>
              <w:t>氯酸钠通常为白色或微黄色等轴晶体，味咸而凉，易溶于水、微溶于乙醇。在酸性溶液中有强氧化作用，</w:t>
            </w:r>
            <w:r>
              <w:rPr>
                <w:bCs/>
                <w:color w:val="000000"/>
                <w:sz w:val="24"/>
                <w:szCs w:val="24"/>
              </w:rPr>
              <w:t>300</w:t>
            </w:r>
            <w:r>
              <w:rPr>
                <w:rFonts w:hint="eastAsia"/>
                <w:bCs/>
                <w:color w:val="000000"/>
                <w:sz w:val="24"/>
                <w:szCs w:val="24"/>
              </w:rPr>
              <w:t>℃以上分解出氧气。氯酸钠不稳定，与磷、硫及有机物混合受撞击时易发生燃烧和爆炸，易吸潮结块。工业上主要用于制造二氧化氯、亚氯酸钠、高氯酸盐及其它氯酸盐。</w:t>
            </w:r>
          </w:p>
          <w:p>
            <w:pPr>
              <w:pStyle w:val="6"/>
              <w:spacing w:before="120" w:beforeLines="50" w:line="360" w:lineRule="auto"/>
              <w:ind w:firstLine="480" w:firstLineChars="200"/>
              <w:rPr>
                <w:bCs/>
                <w:color w:val="000000"/>
                <w:sz w:val="24"/>
                <w:szCs w:val="24"/>
              </w:rPr>
            </w:pPr>
            <w:r>
              <w:rPr>
                <w:rFonts w:hint="eastAsia"/>
                <w:bCs/>
                <w:color w:val="000000"/>
                <w:sz w:val="24"/>
                <w:szCs w:val="24"/>
              </w:rPr>
              <w:t>盐酸为氯化氢的水溶液，浓盐酸约</w:t>
            </w:r>
            <w:r>
              <w:rPr>
                <w:bCs/>
                <w:color w:val="000000"/>
                <w:sz w:val="24"/>
                <w:szCs w:val="24"/>
              </w:rPr>
              <w:t>36</w:t>
            </w:r>
            <w:r>
              <w:rPr>
                <w:rFonts w:hint="eastAsia"/>
                <w:bCs/>
                <w:color w:val="000000"/>
                <w:sz w:val="24"/>
                <w:szCs w:val="24"/>
              </w:rPr>
              <w:t>％，为无色透明的一元强酸，呈无色或略显黄色液体，有腐蚀性和挥发性，具有刺激性气味。</w:t>
            </w:r>
          </w:p>
          <w:p>
            <w:pPr>
              <w:pStyle w:val="6"/>
              <w:spacing w:before="120" w:beforeLines="50" w:line="360" w:lineRule="auto"/>
              <w:ind w:firstLine="480" w:firstLineChars="200"/>
              <w:rPr>
                <w:rFonts w:cs="宋体"/>
                <w:sz w:val="24"/>
              </w:rPr>
            </w:pPr>
            <w:r>
              <w:rPr>
                <w:rFonts w:hint="eastAsia"/>
                <w:bCs/>
                <w:color w:val="000000"/>
                <w:sz w:val="24"/>
                <w:szCs w:val="24"/>
              </w:rPr>
              <w:t>本项目二氧化氯现制现用，不设存储设施。项目设置</w:t>
            </w:r>
            <w:r>
              <w:rPr>
                <w:bCs/>
                <w:color w:val="000000"/>
                <w:sz w:val="24"/>
                <w:szCs w:val="24"/>
              </w:rPr>
              <w:t>1</w:t>
            </w:r>
            <w:r>
              <w:rPr>
                <w:rFonts w:hint="eastAsia"/>
                <w:bCs/>
                <w:color w:val="000000"/>
                <w:sz w:val="24"/>
                <w:szCs w:val="24"/>
              </w:rPr>
              <w:t>套消毒剂自动加药控制系统，</w:t>
            </w:r>
            <w:r>
              <w:rPr>
                <w:bCs/>
                <w:color w:val="000000"/>
                <w:sz w:val="24"/>
                <w:szCs w:val="24"/>
              </w:rPr>
              <w:t>1</w:t>
            </w:r>
            <w:r>
              <w:rPr>
                <w:rFonts w:hint="eastAsia"/>
                <w:bCs/>
                <w:color w:val="000000"/>
                <w:sz w:val="24"/>
                <w:szCs w:val="24"/>
              </w:rPr>
              <w:t>台二氧化氯发生器，</w:t>
            </w:r>
            <w:r>
              <w:rPr>
                <w:bCs/>
                <w:color w:val="000000"/>
                <w:sz w:val="24"/>
                <w:szCs w:val="24"/>
              </w:rPr>
              <w:t>1</w:t>
            </w:r>
            <w:r>
              <w:rPr>
                <w:rFonts w:hint="eastAsia"/>
                <w:bCs/>
                <w:color w:val="000000"/>
                <w:sz w:val="24"/>
                <w:szCs w:val="24"/>
              </w:rPr>
              <w:t>台加药设备定量向废水中加入二氧化氯。制备二氧化氯反应方程式为</w:t>
            </w:r>
            <w:r>
              <w:rPr>
                <w:bCs/>
                <w:color w:val="000000"/>
                <w:sz w:val="24"/>
                <w:szCs w:val="24"/>
              </w:rPr>
              <w:t xml:space="preserve">: </w:t>
            </w:r>
            <w:r>
              <w:rPr>
                <w:rFonts w:hint="eastAsia" w:cs="宋体"/>
                <w:sz w:val="24"/>
              </w:rPr>
              <w:t>2NaClO</w:t>
            </w:r>
            <w:r>
              <w:rPr>
                <w:rFonts w:hint="eastAsia" w:cs="宋体"/>
                <w:sz w:val="24"/>
                <w:vertAlign w:val="subscript"/>
              </w:rPr>
              <w:t>3</w:t>
            </w:r>
            <w:r>
              <w:rPr>
                <w:rFonts w:hint="eastAsia" w:cs="宋体"/>
                <w:sz w:val="24"/>
              </w:rPr>
              <w:t>+4HCl(浓)=2NaCl+Cl</w:t>
            </w:r>
            <w:r>
              <w:rPr>
                <w:rFonts w:hint="eastAsia" w:cs="宋体"/>
                <w:sz w:val="24"/>
                <w:vertAlign w:val="subscript"/>
              </w:rPr>
              <w:t>2</w:t>
            </w:r>
            <w:r>
              <w:rPr>
                <w:rFonts w:hint="eastAsia" w:cs="宋体"/>
                <w:sz w:val="24"/>
              </w:rPr>
              <w:t>↑+2C1O</w:t>
            </w:r>
            <w:r>
              <w:rPr>
                <w:rFonts w:hint="eastAsia" w:cs="宋体"/>
                <w:sz w:val="24"/>
                <w:vertAlign w:val="subscript"/>
              </w:rPr>
              <w:t>2</w:t>
            </w:r>
            <w:r>
              <w:rPr>
                <w:rFonts w:hint="eastAsia" w:cs="宋体"/>
                <w:sz w:val="24"/>
              </w:rPr>
              <w:t>↑+2H</w:t>
            </w:r>
            <w:r>
              <w:rPr>
                <w:rFonts w:hint="eastAsia" w:cs="宋体"/>
                <w:sz w:val="24"/>
                <w:vertAlign w:val="subscript"/>
              </w:rPr>
              <w:t>2</w:t>
            </w:r>
            <w:r>
              <w:rPr>
                <w:rFonts w:hint="eastAsia" w:cs="宋体"/>
                <w:sz w:val="24"/>
              </w:rPr>
              <w:t>O。</w:t>
            </w:r>
          </w:p>
          <w:p>
            <w:pPr>
              <w:adjustRightInd w:val="0"/>
              <w:snapToGrid w:val="0"/>
              <w:spacing w:before="120"/>
              <w:ind w:firstLine="480"/>
              <w:rPr>
                <w:bCs/>
                <w:color w:val="000000"/>
              </w:rPr>
            </w:pPr>
            <w:r>
              <w:rPr>
                <w:rFonts w:hint="eastAsia"/>
                <w:bCs/>
                <w:color w:val="000000"/>
              </w:rPr>
              <w:t>制冷剂R</w:t>
            </w:r>
            <w:r>
              <w:rPr>
                <w:bCs/>
                <w:color w:val="000000"/>
              </w:rPr>
              <w:t>410</w:t>
            </w:r>
            <w:r>
              <w:rPr>
                <w:rFonts w:hint="eastAsia"/>
                <w:bCs/>
                <w:color w:val="000000"/>
              </w:rPr>
              <w:t>A：R</w:t>
            </w:r>
            <w:r>
              <w:rPr>
                <w:bCs/>
                <w:color w:val="000000"/>
              </w:rPr>
              <w:t>410</w:t>
            </w:r>
            <w:r>
              <w:rPr>
                <w:rFonts w:hint="eastAsia"/>
                <w:bCs/>
                <w:color w:val="000000"/>
              </w:rPr>
              <w:t>A，是一种环保型混合制冷剂，它是由5</w:t>
            </w:r>
            <w:r>
              <w:rPr>
                <w:bCs/>
                <w:color w:val="000000"/>
              </w:rPr>
              <w:t>0</w:t>
            </w:r>
            <w:r>
              <w:rPr>
                <w:rFonts w:hint="eastAsia"/>
                <w:bCs/>
                <w:color w:val="000000"/>
              </w:rPr>
              <w:t>%R</w:t>
            </w:r>
            <w:r>
              <w:rPr>
                <w:bCs/>
                <w:color w:val="000000"/>
              </w:rPr>
              <w:t>32</w:t>
            </w:r>
            <w:r>
              <w:rPr>
                <w:rFonts w:hint="eastAsia"/>
                <w:bCs/>
                <w:color w:val="000000"/>
              </w:rPr>
              <w:t>（二氟甲烷）和5</w:t>
            </w:r>
            <w:r>
              <w:rPr>
                <w:bCs/>
                <w:color w:val="000000"/>
              </w:rPr>
              <w:t>0</w:t>
            </w:r>
            <w:r>
              <w:rPr>
                <w:rFonts w:hint="eastAsia"/>
                <w:bCs/>
                <w:color w:val="000000"/>
              </w:rPr>
              <w:t>%R</w:t>
            </w:r>
            <w:r>
              <w:rPr>
                <w:bCs/>
                <w:color w:val="000000"/>
              </w:rPr>
              <w:t>125</w:t>
            </w:r>
            <w:r>
              <w:rPr>
                <w:rFonts w:hint="eastAsia"/>
                <w:bCs/>
                <w:color w:val="000000"/>
              </w:rPr>
              <w:t>（五氟乙烷）组成的混合物，其优点在于可以根据具体的使用要求，对各种性质，如易燃性、容量、排气温度和效能加以考虑，属于R</w:t>
            </w:r>
            <w:r>
              <w:rPr>
                <w:bCs/>
                <w:color w:val="000000"/>
              </w:rPr>
              <w:t>22</w:t>
            </w:r>
            <w:r>
              <w:rPr>
                <w:rFonts w:hint="eastAsia"/>
                <w:bCs/>
                <w:color w:val="000000"/>
              </w:rPr>
              <w:t>的环保替代品。R</w:t>
            </w:r>
            <w:r>
              <w:rPr>
                <w:bCs/>
                <w:color w:val="000000"/>
              </w:rPr>
              <w:t>410</w:t>
            </w:r>
            <w:r>
              <w:rPr>
                <w:rFonts w:hint="eastAsia"/>
                <w:bCs/>
                <w:color w:val="000000"/>
              </w:rPr>
              <w:t>A外观无色，不浑浊，易挥发，沸点-</w:t>
            </w:r>
            <w:r>
              <w:rPr>
                <w:bCs/>
                <w:color w:val="000000"/>
              </w:rPr>
              <w:t>51.6</w:t>
            </w:r>
            <w:r>
              <w:rPr>
                <w:rFonts w:hint="eastAsia"/>
                <w:bCs/>
                <w:color w:val="000000"/>
                <w:vertAlign w:val="superscript"/>
              </w:rPr>
              <w:t>。</w:t>
            </w:r>
            <w:r>
              <w:rPr>
                <w:rFonts w:hint="eastAsia"/>
                <w:bCs/>
                <w:color w:val="000000"/>
              </w:rPr>
              <w:t>C，凝固点-</w:t>
            </w:r>
            <w:r>
              <w:rPr>
                <w:bCs/>
                <w:color w:val="000000"/>
              </w:rPr>
              <w:t>155</w:t>
            </w:r>
            <w:r>
              <w:rPr>
                <w:rFonts w:hint="eastAsia"/>
                <w:bCs/>
                <w:color w:val="000000"/>
                <w:vertAlign w:val="superscript"/>
              </w:rPr>
              <w:t>。</w:t>
            </w:r>
            <w:r>
              <w:rPr>
                <w:rFonts w:hint="eastAsia"/>
                <w:bCs/>
                <w:color w:val="000000"/>
              </w:rPr>
              <w:t>C，不属于破坏臭氧层物质清单。</w:t>
            </w:r>
          </w:p>
          <w:p>
            <w:pPr>
              <w:adjustRightInd w:val="0"/>
              <w:snapToGrid w:val="0"/>
              <w:spacing w:before="120"/>
              <w:ind w:firstLine="480"/>
              <w:rPr>
                <w:bCs/>
                <w:color w:val="000000"/>
              </w:rPr>
            </w:pPr>
            <w:r>
              <w:rPr>
                <w:rFonts w:hint="eastAsia"/>
                <w:bCs/>
                <w:color w:val="000000"/>
              </w:rPr>
              <w:t>消毒剂：使用二氯异氰尿酸钠消毒剂，常温下为白色粉末状晶体或颗粒，</w:t>
            </w:r>
          </w:p>
          <w:p>
            <w:pPr>
              <w:adjustRightInd w:val="0"/>
              <w:snapToGrid w:val="0"/>
              <w:spacing w:before="120"/>
              <w:ind w:firstLine="0" w:firstLineChars="0"/>
              <w:rPr>
                <w:bCs/>
                <w:color w:val="000000"/>
              </w:rPr>
            </w:pPr>
            <w:r>
              <w:rPr>
                <w:rFonts w:hint="eastAsia"/>
                <w:bCs/>
                <w:color w:val="000000"/>
              </w:rPr>
              <w:t>有氯气味。其分子式为C</w:t>
            </w:r>
            <w:r>
              <w:rPr>
                <w:rFonts w:hint="eastAsia"/>
                <w:bCs/>
                <w:color w:val="000000"/>
                <w:vertAlign w:val="subscript"/>
              </w:rPr>
              <w:t>3</w:t>
            </w:r>
            <w:r>
              <w:rPr>
                <w:rFonts w:hint="eastAsia"/>
                <w:bCs/>
                <w:color w:val="000000"/>
              </w:rPr>
              <w:t>C</w:t>
            </w:r>
            <w:r>
              <w:rPr>
                <w:rFonts w:hint="eastAsia"/>
                <w:bCs/>
                <w:color w:val="000000"/>
                <w:vertAlign w:val="subscript"/>
              </w:rPr>
              <w:t>l2</w:t>
            </w:r>
            <w:r>
              <w:rPr>
                <w:rFonts w:hint="eastAsia"/>
                <w:bCs/>
                <w:color w:val="000000"/>
              </w:rPr>
              <w:t>N</w:t>
            </w:r>
            <w:r>
              <w:rPr>
                <w:rFonts w:hint="eastAsia"/>
                <w:bCs/>
                <w:color w:val="000000"/>
                <w:vertAlign w:val="subscript"/>
              </w:rPr>
              <w:t>3</w:t>
            </w:r>
            <w:r>
              <w:rPr>
                <w:rFonts w:hint="eastAsia"/>
                <w:bCs/>
                <w:color w:val="000000"/>
              </w:rPr>
              <w:t>NaO</w:t>
            </w:r>
            <w:r>
              <w:rPr>
                <w:rFonts w:hint="eastAsia"/>
                <w:bCs/>
                <w:color w:val="000000"/>
                <w:vertAlign w:val="subscript"/>
              </w:rPr>
              <w:t>3</w:t>
            </w:r>
            <w:r>
              <w:rPr>
                <w:rFonts w:hint="eastAsia"/>
                <w:bCs/>
                <w:color w:val="000000"/>
              </w:rPr>
              <w:t>，分子量为219.95。是一种常用的消毒剂，具有很强的氧化性，对各种致病性微生物如病毒、细菌芽孢、真菌等有很强的杀生作用，是一种适用范围广，高效的杀菌剂。食品加工业主要用作于容器、管道、工具、场地等加工工艺过程设备的消毒灭菌。使用C</w:t>
            </w:r>
            <w:r>
              <w:rPr>
                <w:rFonts w:hint="eastAsia"/>
                <w:bCs/>
                <w:color w:val="000000"/>
                <w:vertAlign w:val="subscript"/>
              </w:rPr>
              <w:t>3</w:t>
            </w:r>
            <w:r>
              <w:rPr>
                <w:rFonts w:hint="eastAsia"/>
                <w:bCs/>
                <w:color w:val="000000"/>
              </w:rPr>
              <w:t>C</w:t>
            </w:r>
            <w:r>
              <w:rPr>
                <w:rFonts w:hint="eastAsia"/>
                <w:bCs/>
                <w:color w:val="000000"/>
                <w:vertAlign w:val="subscript"/>
              </w:rPr>
              <w:t>l2</w:t>
            </w:r>
            <w:r>
              <w:rPr>
                <w:rFonts w:hint="eastAsia"/>
                <w:bCs/>
                <w:color w:val="000000"/>
              </w:rPr>
              <w:t>N</w:t>
            </w:r>
            <w:r>
              <w:rPr>
                <w:rFonts w:hint="eastAsia"/>
                <w:bCs/>
                <w:color w:val="000000"/>
                <w:vertAlign w:val="subscript"/>
              </w:rPr>
              <w:t>3</w:t>
            </w:r>
            <w:r>
              <w:rPr>
                <w:rFonts w:hint="eastAsia"/>
                <w:bCs/>
                <w:color w:val="000000"/>
              </w:rPr>
              <w:t xml:space="preserve"> NaO</w:t>
            </w:r>
            <w:r>
              <w:rPr>
                <w:rFonts w:hint="eastAsia"/>
                <w:bCs/>
                <w:color w:val="000000"/>
                <w:vertAlign w:val="subscript"/>
              </w:rPr>
              <w:t>3</w:t>
            </w:r>
            <w:r>
              <w:rPr>
                <w:rFonts w:hint="eastAsia"/>
                <w:bCs/>
                <w:color w:val="000000"/>
              </w:rPr>
              <w:t>可以保持食品加工设备的卫生并消除由蛋白质引起的污渍、霉斑、异味等，保持餐具的光泽，防止疾病的传染。</w:t>
            </w:r>
          </w:p>
          <w:p>
            <w:pPr>
              <w:adjustRightInd w:val="0"/>
              <w:snapToGrid w:val="0"/>
              <w:spacing w:before="120"/>
              <w:ind w:firstLine="480"/>
              <w:rPr>
                <w:bCs/>
                <w:color w:val="000000"/>
              </w:rPr>
            </w:pPr>
            <w:r>
              <w:rPr>
                <w:rFonts w:hint="eastAsia"/>
                <w:bCs/>
                <w:color w:val="000000"/>
              </w:rPr>
              <w:t>生物除臭剂：生物除臭剂采用微生态工程技术，由经过严格筛选的多种有益微生物经复合发酵而成的微生物制剂，能有效去除硫化氢、氨气等恶臭气体，除臭率和抑蝇率达8</w:t>
            </w:r>
            <w:r>
              <w:rPr>
                <w:bCs/>
                <w:color w:val="000000"/>
              </w:rPr>
              <w:t>0%</w:t>
            </w:r>
            <w:r>
              <w:rPr>
                <w:rFonts w:hint="eastAsia"/>
                <w:bCs/>
                <w:color w:val="000000"/>
              </w:rPr>
              <w:t xml:space="preserve">以上。 </w:t>
            </w:r>
          </w:p>
          <w:p>
            <w:pPr>
              <w:adjustRightInd w:val="0"/>
              <w:snapToGrid w:val="0"/>
              <w:spacing w:before="120"/>
              <w:ind w:firstLine="482"/>
              <w:rPr>
                <w:b/>
                <w:color w:val="000000"/>
              </w:rPr>
            </w:pPr>
            <w:r>
              <w:rPr>
                <w:b/>
                <w:color w:val="000000"/>
              </w:rPr>
              <w:t>4、劳动定员及生产制度</w:t>
            </w:r>
          </w:p>
          <w:p>
            <w:pPr>
              <w:spacing w:before="120"/>
              <w:ind w:firstLine="480"/>
              <w:rPr>
                <w:color w:val="000000"/>
              </w:rPr>
            </w:pPr>
            <w:r>
              <w:t>本</w:t>
            </w:r>
            <w:r>
              <w:rPr>
                <w:color w:val="000000"/>
              </w:rPr>
              <w:t>项目异地扩建厂区劳动定员20人，单班制，每班8小时。</w:t>
            </w:r>
            <w:r>
              <w:rPr>
                <w:rFonts w:hint="eastAsia"/>
                <w:color w:val="000000"/>
              </w:rPr>
              <w:t>待宰栏运行时间为2</w:t>
            </w:r>
            <w:r>
              <w:rPr>
                <w:color w:val="000000"/>
              </w:rPr>
              <w:t>4</w:t>
            </w:r>
            <w:r>
              <w:rPr>
                <w:rFonts w:hint="eastAsia"/>
                <w:color w:val="000000"/>
              </w:rPr>
              <w:t>小时，年工作3</w:t>
            </w:r>
            <w:r>
              <w:rPr>
                <w:color w:val="000000"/>
              </w:rPr>
              <w:t>50</w:t>
            </w:r>
            <w:r>
              <w:rPr>
                <w:rFonts w:hint="eastAsia"/>
                <w:color w:val="000000"/>
              </w:rPr>
              <w:t>天。</w:t>
            </w:r>
          </w:p>
          <w:p>
            <w:pPr>
              <w:adjustRightInd w:val="0"/>
              <w:snapToGrid w:val="0"/>
              <w:spacing w:before="120"/>
              <w:ind w:firstLine="482"/>
              <w:rPr>
                <w:b/>
                <w:color w:val="000000"/>
              </w:rPr>
            </w:pPr>
            <w:r>
              <w:rPr>
                <w:b/>
                <w:color w:val="000000"/>
              </w:rPr>
              <w:t xml:space="preserve">5、公用工程  </w:t>
            </w:r>
          </w:p>
          <w:p>
            <w:pPr>
              <w:adjustRightInd w:val="0"/>
              <w:snapToGrid w:val="0"/>
              <w:spacing w:before="120"/>
              <w:ind w:firstLine="480"/>
              <w:rPr>
                <w:bCs/>
                <w:color w:val="000000"/>
              </w:rPr>
            </w:pPr>
            <w:r>
              <w:rPr>
                <w:bCs/>
                <w:color w:val="000000"/>
              </w:rPr>
              <w:t>（1）供电</w:t>
            </w:r>
          </w:p>
          <w:p>
            <w:pPr>
              <w:pStyle w:val="11"/>
              <w:spacing w:before="120" w:after="0" w:line="360" w:lineRule="auto"/>
              <w:ind w:right="0" w:firstLine="480"/>
              <w:rPr>
                <w:bCs/>
                <w:sz w:val="24"/>
              </w:rPr>
            </w:pPr>
            <w:r>
              <w:rPr>
                <w:rFonts w:hint="eastAsia"/>
                <w:bCs/>
                <w:color w:val="000000"/>
                <w:sz w:val="24"/>
              </w:rPr>
              <w:t>本</w:t>
            </w:r>
            <w:r>
              <w:rPr>
                <w:bCs/>
                <w:color w:val="000000"/>
                <w:sz w:val="24"/>
              </w:rPr>
              <w:t>项目用电由</w:t>
            </w:r>
            <w:r>
              <w:rPr>
                <w:rFonts w:hint="eastAsia"/>
                <w:bCs/>
                <w:color w:val="000000"/>
                <w:sz w:val="24"/>
              </w:rPr>
              <w:t>仁化</w:t>
            </w:r>
            <w:r>
              <w:rPr>
                <w:bCs/>
                <w:color w:val="000000"/>
                <w:sz w:val="24"/>
              </w:rPr>
              <w:t>县市政</w:t>
            </w:r>
            <w:r>
              <w:rPr>
                <w:bCs/>
                <w:sz w:val="24"/>
              </w:rPr>
              <w:t>电网供给</w:t>
            </w:r>
            <w:r>
              <w:rPr>
                <w:rFonts w:hint="eastAsia"/>
                <w:bCs/>
                <w:sz w:val="24"/>
              </w:rPr>
              <w:t>公司变压器</w:t>
            </w:r>
            <w:r>
              <w:rPr>
                <w:bCs/>
                <w:sz w:val="24"/>
              </w:rPr>
              <w:t>，</w:t>
            </w:r>
            <w:r>
              <w:rPr>
                <w:rFonts w:hint="eastAsia"/>
                <w:bCs/>
                <w:sz w:val="24"/>
              </w:rPr>
              <w:t>变电后</w:t>
            </w:r>
            <w:r>
              <w:rPr>
                <w:bCs/>
                <w:sz w:val="24"/>
              </w:rPr>
              <w:t>用于供应本项目设备用电、照明及办公生活用电。本项目建成后年用电约20万度，韶关电力丰富，电量充足，供电量能够满足该项目用电需求。</w:t>
            </w:r>
          </w:p>
          <w:p>
            <w:pPr>
              <w:adjustRightInd w:val="0"/>
              <w:snapToGrid w:val="0"/>
              <w:spacing w:before="120"/>
              <w:ind w:firstLine="480"/>
              <w:rPr>
                <w:bCs/>
              </w:rPr>
            </w:pPr>
            <w:r>
              <w:rPr>
                <w:bCs/>
              </w:rPr>
              <w:t>（2）</w:t>
            </w:r>
            <w:r>
              <w:t>给水</w:t>
            </w:r>
          </w:p>
          <w:p>
            <w:pPr>
              <w:spacing w:before="120"/>
              <w:ind w:firstLine="480"/>
              <w:rPr>
                <w:bCs/>
                <w:color w:val="000000"/>
                <w:kern w:val="2"/>
                <w:szCs w:val="22"/>
              </w:rPr>
            </w:pPr>
            <w:r>
              <w:rPr>
                <w:rFonts w:hint="eastAsia"/>
                <w:bCs/>
                <w:color w:val="000000"/>
                <w:kern w:val="2"/>
                <w:szCs w:val="22"/>
              </w:rPr>
              <w:t>本项目用水包括生产用水及生活用水，总用水量约23990.5</w:t>
            </w:r>
            <w:r>
              <w:rPr>
                <w:bCs/>
                <w:color w:val="000000"/>
                <w:kern w:val="2"/>
                <w:szCs w:val="22"/>
              </w:rPr>
              <w:t>m³/a</w:t>
            </w:r>
            <w:r>
              <w:rPr>
                <w:rFonts w:hint="eastAsia"/>
                <w:bCs/>
                <w:color w:val="000000"/>
                <w:kern w:val="2"/>
                <w:szCs w:val="22"/>
              </w:rPr>
              <w:t>，均来自仁化县市政供水管网，韶关水资源充沛，可满足</w:t>
            </w:r>
            <w:r>
              <w:rPr>
                <w:bCs/>
                <w:color w:val="000000"/>
                <w:kern w:val="2"/>
                <w:szCs w:val="22"/>
              </w:rPr>
              <w:t>项目生产、生活用水之需。</w:t>
            </w:r>
          </w:p>
          <w:p>
            <w:pPr>
              <w:spacing w:before="120"/>
              <w:ind w:firstLine="480"/>
              <w:rPr>
                <w:bCs/>
                <w:color w:val="000000"/>
                <w:kern w:val="2"/>
              </w:rPr>
            </w:pPr>
            <w:r>
              <w:rPr>
                <w:rFonts w:hint="eastAsia"/>
                <w:bCs/>
                <w:color w:val="000000"/>
              </w:rPr>
              <w:t>①</w:t>
            </w:r>
            <w:r>
              <w:rPr>
                <w:rFonts w:hint="eastAsia"/>
                <w:bCs/>
                <w:color w:val="000000"/>
                <w:kern w:val="2"/>
                <w:szCs w:val="22"/>
              </w:rPr>
              <w:t>生产用水包括车辆消毒槽用水、车辆消毒用水、车辆清洗用水、待宰栏用水、屠宰用水等。</w:t>
            </w:r>
          </w:p>
          <w:p>
            <w:pPr>
              <w:spacing w:before="120"/>
              <w:ind w:firstLine="480"/>
              <w:rPr>
                <w:bCs/>
                <w:color w:val="000000"/>
                <w:kern w:val="2"/>
                <w:szCs w:val="22"/>
              </w:rPr>
            </w:pPr>
            <w:r>
              <w:rPr>
                <w:rFonts w:hint="eastAsia"/>
                <w:bCs/>
                <w:color w:val="000000"/>
                <w:kern w:val="2"/>
                <w:szCs w:val="22"/>
              </w:rPr>
              <w:t>车辆消毒槽用水：本项目设车辆消毒槽1个，</w:t>
            </w:r>
            <w:r>
              <w:rPr>
                <w:bCs/>
                <w:color w:val="000000"/>
                <w:kern w:val="2"/>
                <w:szCs w:val="22"/>
              </w:rPr>
              <w:t>车辆进入消毒槽给轮胎消毒</w:t>
            </w:r>
            <w:r>
              <w:rPr>
                <w:rFonts w:hint="eastAsia"/>
                <w:bCs/>
                <w:color w:val="000000"/>
                <w:kern w:val="2"/>
                <w:szCs w:val="22"/>
              </w:rPr>
              <w:t>，单个容积为5</w:t>
            </w:r>
            <w:r>
              <w:rPr>
                <w:bCs/>
                <w:color w:val="000000"/>
                <w:kern w:val="2"/>
                <w:szCs w:val="22"/>
              </w:rPr>
              <w:t>m</w:t>
            </w:r>
            <w:r>
              <w:rPr>
                <w:rFonts w:hint="eastAsia"/>
                <w:bCs/>
                <w:color w:val="000000"/>
                <w:kern w:val="2"/>
                <w:szCs w:val="22"/>
              </w:rPr>
              <w:t>×</w:t>
            </w:r>
            <w:r>
              <w:rPr>
                <w:bCs/>
                <w:color w:val="000000"/>
                <w:kern w:val="2"/>
                <w:szCs w:val="22"/>
              </w:rPr>
              <w:t>4m</w:t>
            </w:r>
            <w:r>
              <w:rPr>
                <w:rFonts w:hint="eastAsia"/>
                <w:bCs/>
                <w:color w:val="000000"/>
                <w:kern w:val="2"/>
                <w:szCs w:val="22"/>
              </w:rPr>
              <w:t>×</w:t>
            </w:r>
            <w:r>
              <w:rPr>
                <w:bCs/>
                <w:color w:val="000000"/>
                <w:kern w:val="2"/>
                <w:szCs w:val="22"/>
              </w:rPr>
              <w:t>0.3m=6m³,</w:t>
            </w:r>
            <w:r>
              <w:rPr>
                <w:rFonts w:hint="eastAsia"/>
                <w:bCs/>
                <w:color w:val="000000"/>
                <w:kern w:val="2"/>
                <w:szCs w:val="22"/>
              </w:rPr>
              <w:t>消毒槽日补充水量按容积5%计算，则补充水量为0</w:t>
            </w:r>
            <w:r>
              <w:rPr>
                <w:bCs/>
                <w:color w:val="000000"/>
                <w:kern w:val="2"/>
                <w:szCs w:val="22"/>
              </w:rPr>
              <w:t>.3 m³/</w:t>
            </w:r>
            <w:r>
              <w:rPr>
                <w:rFonts w:hint="eastAsia"/>
                <w:bCs/>
                <w:color w:val="000000"/>
                <w:kern w:val="2"/>
                <w:szCs w:val="22"/>
              </w:rPr>
              <w:t>d（105</w:t>
            </w:r>
            <w:r>
              <w:rPr>
                <w:bCs/>
                <w:color w:val="000000"/>
                <w:kern w:val="2"/>
                <w:szCs w:val="22"/>
              </w:rPr>
              <w:t>m³/a</w:t>
            </w:r>
            <w:r>
              <w:rPr>
                <w:rFonts w:hint="eastAsia"/>
                <w:bCs/>
                <w:color w:val="000000"/>
                <w:kern w:val="2"/>
                <w:szCs w:val="22"/>
              </w:rPr>
              <w:t>）；消毒槽预计每月换水一次，用水量为7</w:t>
            </w:r>
            <w:r>
              <w:rPr>
                <w:bCs/>
                <w:color w:val="000000"/>
                <w:kern w:val="2"/>
                <w:szCs w:val="22"/>
              </w:rPr>
              <w:t>2 m³/a</w:t>
            </w:r>
            <w:r>
              <w:rPr>
                <w:rFonts w:hint="eastAsia"/>
                <w:bCs/>
                <w:color w:val="000000"/>
                <w:kern w:val="2"/>
                <w:szCs w:val="22"/>
              </w:rPr>
              <w:t>（0</w:t>
            </w:r>
            <w:r>
              <w:rPr>
                <w:bCs/>
                <w:color w:val="000000"/>
                <w:kern w:val="2"/>
                <w:szCs w:val="22"/>
              </w:rPr>
              <w:t>.2 m³/d</w:t>
            </w:r>
            <w:r>
              <w:rPr>
                <w:rFonts w:hint="eastAsia"/>
                <w:bCs/>
                <w:color w:val="000000"/>
                <w:kern w:val="2"/>
                <w:szCs w:val="22"/>
              </w:rPr>
              <w:t>）。因此，消毒槽用水量为0</w:t>
            </w:r>
            <w:r>
              <w:rPr>
                <w:bCs/>
                <w:color w:val="000000"/>
                <w:kern w:val="2"/>
                <w:szCs w:val="22"/>
              </w:rPr>
              <w:t>.5 m³/d</w:t>
            </w:r>
            <w:r>
              <w:rPr>
                <w:rFonts w:hint="eastAsia"/>
                <w:bCs/>
                <w:color w:val="000000"/>
                <w:kern w:val="2"/>
                <w:szCs w:val="22"/>
              </w:rPr>
              <w:t>（175</w:t>
            </w:r>
            <w:r>
              <w:rPr>
                <w:bCs/>
                <w:color w:val="000000"/>
                <w:kern w:val="2"/>
                <w:szCs w:val="22"/>
              </w:rPr>
              <w:t xml:space="preserve"> m³/a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车辆消毒用水：牲畜运输车进厂及卸货后均需进行喷雾消毒，用水量约为</w:t>
            </w:r>
            <w:r>
              <w:rPr>
                <w:bCs/>
                <w:color w:val="000000"/>
                <w:kern w:val="2"/>
                <w:szCs w:val="22"/>
              </w:rPr>
              <w:t>20L/</w:t>
            </w:r>
            <w:r>
              <w:rPr>
                <w:rFonts w:hint="eastAsia"/>
                <w:bCs/>
                <w:color w:val="000000"/>
                <w:kern w:val="2"/>
                <w:szCs w:val="22"/>
              </w:rPr>
              <w:t>车次，肉牛运输车按量大</w:t>
            </w:r>
            <w:r>
              <w:rPr>
                <w:bCs/>
                <w:color w:val="000000"/>
                <w:kern w:val="2"/>
                <w:szCs w:val="22"/>
              </w:rPr>
              <w:t>30</w:t>
            </w:r>
            <w:r>
              <w:rPr>
                <w:rFonts w:hint="eastAsia"/>
                <w:bCs/>
                <w:color w:val="000000"/>
                <w:kern w:val="2"/>
                <w:szCs w:val="22"/>
              </w:rPr>
              <w:t>头</w:t>
            </w:r>
            <w:r>
              <w:rPr>
                <w:bCs/>
                <w:color w:val="000000"/>
                <w:kern w:val="2"/>
                <w:szCs w:val="22"/>
              </w:rPr>
              <w:t>/</w:t>
            </w:r>
            <w:r>
              <w:rPr>
                <w:rFonts w:hint="eastAsia"/>
                <w:bCs/>
                <w:color w:val="000000"/>
                <w:kern w:val="2"/>
                <w:szCs w:val="22"/>
              </w:rPr>
              <w:t>车次（</w:t>
            </w:r>
            <w:r>
              <w:rPr>
                <w:bCs/>
                <w:color w:val="000000"/>
                <w:kern w:val="2"/>
                <w:szCs w:val="22"/>
              </w:rPr>
              <w:t>5</w:t>
            </w:r>
            <w:r>
              <w:rPr>
                <w:rFonts w:hint="eastAsia"/>
                <w:bCs/>
                <w:color w:val="000000"/>
                <w:kern w:val="2"/>
                <w:szCs w:val="22"/>
              </w:rPr>
              <w:t>车次</w:t>
            </w:r>
            <w:r>
              <w:rPr>
                <w:bCs/>
                <w:color w:val="000000"/>
                <w:kern w:val="2"/>
                <w:szCs w:val="22"/>
              </w:rPr>
              <w:t>/d</w:t>
            </w:r>
            <w:r>
              <w:rPr>
                <w:rFonts w:hint="eastAsia"/>
                <w:bCs/>
                <w:color w:val="000000"/>
                <w:kern w:val="2"/>
                <w:szCs w:val="22"/>
              </w:rPr>
              <w:t>）计算，则消毒用水为</w:t>
            </w:r>
            <w:r>
              <w:rPr>
                <w:bCs/>
                <w:color w:val="000000"/>
                <w:kern w:val="2"/>
                <w:szCs w:val="22"/>
              </w:rPr>
              <w:t>0.1 m³/d</w:t>
            </w:r>
            <w:r>
              <w:rPr>
                <w:rFonts w:hint="eastAsia"/>
                <w:bCs/>
                <w:color w:val="000000"/>
                <w:kern w:val="2"/>
                <w:szCs w:val="22"/>
              </w:rPr>
              <w:t>（</w:t>
            </w:r>
            <w:r>
              <w:rPr>
                <w:bCs/>
                <w:color w:val="000000"/>
                <w:kern w:val="2"/>
                <w:szCs w:val="22"/>
              </w:rPr>
              <w:t>35m³/a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车辆清洗水：参考广东省《用水定额</w:t>
            </w:r>
            <w:r>
              <w:rPr>
                <w:bCs/>
                <w:color w:val="000000"/>
                <w:kern w:val="2"/>
                <w:szCs w:val="22"/>
              </w:rPr>
              <w:t xml:space="preserve"> </w:t>
            </w:r>
            <w:r>
              <w:rPr>
                <w:rFonts w:hint="eastAsia"/>
                <w:bCs/>
                <w:color w:val="000000"/>
                <w:kern w:val="2"/>
                <w:szCs w:val="22"/>
              </w:rPr>
              <w:t>第</w:t>
            </w:r>
            <w:r>
              <w:rPr>
                <w:bCs/>
                <w:color w:val="000000"/>
                <w:kern w:val="2"/>
                <w:szCs w:val="22"/>
              </w:rPr>
              <w:t>3</w:t>
            </w:r>
            <w:r>
              <w:rPr>
                <w:rFonts w:hint="eastAsia"/>
                <w:bCs/>
                <w:color w:val="000000"/>
                <w:kern w:val="2"/>
                <w:szCs w:val="22"/>
              </w:rPr>
              <w:t>部分：生活》（</w:t>
            </w:r>
            <w:r>
              <w:rPr>
                <w:bCs/>
                <w:color w:val="000000"/>
                <w:kern w:val="2"/>
                <w:szCs w:val="22"/>
              </w:rPr>
              <w:t>DB44/T 1461.3-2021</w:t>
            </w:r>
            <w:r>
              <w:rPr>
                <w:rFonts w:hint="eastAsia"/>
                <w:bCs/>
                <w:color w:val="000000"/>
                <w:kern w:val="2"/>
                <w:szCs w:val="22"/>
              </w:rPr>
              <w:t>）中大型车辆自动清洗通用值按</w:t>
            </w:r>
            <w:r>
              <w:rPr>
                <w:bCs/>
                <w:color w:val="000000"/>
                <w:kern w:val="2"/>
                <w:szCs w:val="22"/>
              </w:rPr>
              <w:t>38L/</w:t>
            </w:r>
            <w:r>
              <w:rPr>
                <w:rFonts w:hint="eastAsia"/>
                <w:bCs/>
                <w:color w:val="000000"/>
                <w:kern w:val="2"/>
                <w:szCs w:val="22"/>
              </w:rPr>
              <w:t>车次计算，项目牛羊运输车按最大</w:t>
            </w:r>
            <w:r>
              <w:rPr>
                <w:bCs/>
                <w:color w:val="000000"/>
                <w:kern w:val="2"/>
                <w:szCs w:val="22"/>
              </w:rPr>
              <w:t>30</w:t>
            </w:r>
            <w:r>
              <w:rPr>
                <w:rFonts w:hint="eastAsia"/>
                <w:bCs/>
                <w:color w:val="000000"/>
                <w:kern w:val="2"/>
                <w:szCs w:val="22"/>
              </w:rPr>
              <w:t>头</w:t>
            </w:r>
            <w:r>
              <w:rPr>
                <w:bCs/>
                <w:color w:val="000000"/>
                <w:kern w:val="2"/>
                <w:szCs w:val="22"/>
              </w:rPr>
              <w:t>/</w:t>
            </w:r>
            <w:r>
              <w:rPr>
                <w:rFonts w:hint="eastAsia"/>
                <w:bCs/>
                <w:color w:val="000000"/>
                <w:kern w:val="2"/>
                <w:szCs w:val="22"/>
              </w:rPr>
              <w:t>车次（</w:t>
            </w:r>
            <w:r>
              <w:rPr>
                <w:bCs/>
                <w:color w:val="000000"/>
                <w:kern w:val="2"/>
                <w:szCs w:val="22"/>
              </w:rPr>
              <w:t>5</w:t>
            </w:r>
            <w:r>
              <w:rPr>
                <w:rFonts w:hint="eastAsia"/>
                <w:bCs/>
                <w:color w:val="000000"/>
                <w:kern w:val="2"/>
                <w:szCs w:val="22"/>
              </w:rPr>
              <w:t>车次</w:t>
            </w:r>
            <w:r>
              <w:rPr>
                <w:bCs/>
                <w:color w:val="000000"/>
                <w:kern w:val="2"/>
                <w:szCs w:val="22"/>
              </w:rPr>
              <w:t>/d</w:t>
            </w:r>
            <w:r>
              <w:rPr>
                <w:rFonts w:hint="eastAsia"/>
                <w:bCs/>
                <w:color w:val="000000"/>
                <w:kern w:val="2"/>
                <w:szCs w:val="22"/>
              </w:rPr>
              <w:t>）计算，则用水量为</w:t>
            </w:r>
            <w:r>
              <w:rPr>
                <w:bCs/>
                <w:color w:val="000000"/>
                <w:kern w:val="2"/>
                <w:szCs w:val="22"/>
              </w:rPr>
              <w:t>0.19 m³/d</w:t>
            </w:r>
            <w:r>
              <w:rPr>
                <w:rFonts w:hint="eastAsia"/>
                <w:bCs/>
                <w:color w:val="000000"/>
                <w:kern w:val="2"/>
                <w:szCs w:val="22"/>
              </w:rPr>
              <w:t>（</w:t>
            </w:r>
            <w:r>
              <w:rPr>
                <w:bCs/>
                <w:color w:val="000000"/>
                <w:kern w:val="2"/>
                <w:szCs w:val="22"/>
              </w:rPr>
              <w:t>66.5 m³/a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生物（或碱）喷淋塔用水：本项目使用生物（或碱）喷淋塔处理恶臭气体，根据工程设计，两套生物（或碱）喷淋塔系统水箱总容量</w:t>
            </w:r>
            <w:r>
              <w:rPr>
                <w:bCs/>
                <w:color w:val="000000"/>
                <w:kern w:val="2"/>
                <w:szCs w:val="22"/>
              </w:rPr>
              <w:t>22m³</w:t>
            </w:r>
            <w:r>
              <w:rPr>
                <w:rFonts w:hint="eastAsia"/>
                <w:bCs/>
                <w:color w:val="000000"/>
                <w:kern w:val="2"/>
                <w:szCs w:val="22"/>
              </w:rPr>
              <w:t>，日补充水量按水箱总容量的1%计算，则补充水量为0</w:t>
            </w:r>
            <w:r>
              <w:rPr>
                <w:bCs/>
                <w:color w:val="000000"/>
                <w:kern w:val="2"/>
                <w:szCs w:val="22"/>
              </w:rPr>
              <w:t>.22 m³/d</w:t>
            </w:r>
            <w:r>
              <w:rPr>
                <w:rFonts w:hint="eastAsia"/>
                <w:bCs/>
                <w:color w:val="000000"/>
                <w:kern w:val="2"/>
                <w:szCs w:val="22"/>
              </w:rPr>
              <w:t>（</w:t>
            </w:r>
            <w:r>
              <w:rPr>
                <w:bCs/>
                <w:color w:val="000000"/>
                <w:kern w:val="2"/>
                <w:szCs w:val="22"/>
              </w:rPr>
              <w:t>7m³/a</w:t>
            </w:r>
            <w:r>
              <w:rPr>
                <w:rFonts w:hint="eastAsia"/>
                <w:bCs/>
                <w:color w:val="000000"/>
                <w:kern w:val="2"/>
                <w:szCs w:val="22"/>
              </w:rPr>
              <w:t>）；生物（或碱）喷淋塔系统水箱预计每月换水1次，用水量为</w:t>
            </w:r>
            <w:r>
              <w:rPr>
                <w:bCs/>
                <w:color w:val="000000"/>
                <w:kern w:val="2"/>
                <w:szCs w:val="22"/>
              </w:rPr>
              <w:t>264m³/a</w:t>
            </w:r>
            <w:r>
              <w:rPr>
                <w:rFonts w:hint="eastAsia"/>
                <w:bCs/>
                <w:color w:val="000000"/>
                <w:kern w:val="2"/>
                <w:szCs w:val="22"/>
              </w:rPr>
              <w:t>（0</w:t>
            </w:r>
            <w:r>
              <w:rPr>
                <w:bCs/>
                <w:color w:val="000000"/>
                <w:kern w:val="2"/>
                <w:szCs w:val="22"/>
              </w:rPr>
              <w:t>.76m³/d</w:t>
            </w:r>
            <w:r>
              <w:rPr>
                <w:rFonts w:hint="eastAsia"/>
                <w:bCs/>
                <w:color w:val="000000"/>
                <w:kern w:val="2"/>
                <w:szCs w:val="22"/>
              </w:rPr>
              <w:t>）。因此生物（或碱）喷淋塔用水量合计为0</w:t>
            </w:r>
            <w:r>
              <w:rPr>
                <w:bCs/>
                <w:color w:val="000000"/>
                <w:kern w:val="2"/>
                <w:szCs w:val="22"/>
              </w:rPr>
              <w:t>.98 m³/d</w:t>
            </w:r>
            <w:r>
              <w:rPr>
                <w:rFonts w:hint="eastAsia"/>
                <w:bCs/>
                <w:color w:val="000000"/>
                <w:kern w:val="2"/>
                <w:szCs w:val="22"/>
              </w:rPr>
              <w:t>（</w:t>
            </w:r>
            <w:r>
              <w:rPr>
                <w:bCs/>
                <w:color w:val="000000"/>
                <w:kern w:val="2"/>
                <w:szCs w:val="22"/>
              </w:rPr>
              <w:t>341 m³/a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牛羊饮用水：羊饮水根据养殖经验，羊日饮用水量约占体重的5%，考虑到屠宰前需禁水，且在待宰栏时间较短，取0</w:t>
            </w:r>
            <w:r>
              <w:rPr>
                <w:bCs/>
                <w:color w:val="000000"/>
                <w:kern w:val="2"/>
                <w:szCs w:val="22"/>
              </w:rPr>
              <w:t>.5</w:t>
            </w:r>
            <w:r>
              <w:rPr>
                <w:rFonts w:hint="eastAsia"/>
                <w:bCs/>
                <w:color w:val="000000"/>
                <w:kern w:val="2"/>
                <w:szCs w:val="22"/>
              </w:rPr>
              <w:t>L/头·</w:t>
            </w:r>
            <w:r>
              <w:rPr>
                <w:bCs/>
                <w:color w:val="000000"/>
                <w:kern w:val="2"/>
                <w:szCs w:val="22"/>
              </w:rPr>
              <w:t>d</w:t>
            </w:r>
            <w:r>
              <w:rPr>
                <w:rFonts w:hint="eastAsia"/>
                <w:bCs/>
                <w:color w:val="000000"/>
                <w:kern w:val="2"/>
                <w:szCs w:val="22"/>
              </w:rPr>
              <w:t>，则羊饮用水量为 0.</w:t>
            </w:r>
            <w:r>
              <w:rPr>
                <w:bCs/>
                <w:color w:val="000000"/>
                <w:kern w:val="2"/>
                <w:szCs w:val="22"/>
              </w:rPr>
              <w:t>07m³/d</w:t>
            </w:r>
            <w:r>
              <w:rPr>
                <w:rFonts w:hint="eastAsia"/>
                <w:bCs/>
                <w:color w:val="000000"/>
                <w:kern w:val="2"/>
                <w:szCs w:val="22"/>
              </w:rPr>
              <w:t xml:space="preserve">/( </w:t>
            </w:r>
            <w:r>
              <w:rPr>
                <w:bCs/>
                <w:color w:val="000000"/>
                <w:kern w:val="2"/>
                <w:szCs w:val="22"/>
              </w:rPr>
              <w:t>24.5 m³/a</w:t>
            </w:r>
            <w:r>
              <w:rPr>
                <w:rFonts w:hint="eastAsia"/>
                <w:bCs/>
                <w:color w:val="000000"/>
                <w:kern w:val="2"/>
                <w:szCs w:val="22"/>
              </w:rPr>
              <w:t>)。牛饮水参考《全国规模化畜禽养殖业污染情况调查及防治对策》（中国环境科学出版社）牛饮用水定额为 50L/头·d，考虑到本项目屠宰前需要禁水，且在待宰栏时间较短，取 10L/头·d，则牛饮用水量为 0.</w:t>
            </w:r>
            <w:r>
              <w:rPr>
                <w:bCs/>
                <w:color w:val="000000"/>
                <w:kern w:val="2"/>
                <w:szCs w:val="22"/>
              </w:rPr>
              <w:t>05 m³/d</w:t>
            </w:r>
            <w:r>
              <w:rPr>
                <w:rFonts w:hint="eastAsia"/>
                <w:bCs/>
                <w:color w:val="000000"/>
                <w:kern w:val="2"/>
                <w:szCs w:val="22"/>
              </w:rPr>
              <w:t>(</w:t>
            </w:r>
            <w:r>
              <w:rPr>
                <w:bCs/>
                <w:color w:val="000000"/>
                <w:kern w:val="2"/>
                <w:szCs w:val="22"/>
              </w:rPr>
              <w:t>17.5 m³/a</w:t>
            </w:r>
            <w:r>
              <w:rPr>
                <w:rFonts w:hint="eastAsia"/>
                <w:bCs/>
                <w:color w:val="000000"/>
                <w:kern w:val="2"/>
                <w:szCs w:val="22"/>
              </w:rPr>
              <w:t>)。待宰栏牛羊饮用水合计0.12</w:t>
            </w:r>
            <w:r>
              <w:rPr>
                <w:bCs/>
                <w:color w:val="000000"/>
                <w:kern w:val="2"/>
                <w:szCs w:val="22"/>
              </w:rPr>
              <w:t>m³/d</w:t>
            </w:r>
            <w:r>
              <w:rPr>
                <w:rFonts w:hint="eastAsia"/>
                <w:bCs/>
                <w:color w:val="000000"/>
                <w:kern w:val="2"/>
                <w:szCs w:val="22"/>
              </w:rPr>
              <w:t>/( 42</w:t>
            </w:r>
            <w:r>
              <w:rPr>
                <w:bCs/>
                <w:color w:val="000000"/>
                <w:kern w:val="2"/>
                <w:szCs w:val="22"/>
              </w:rPr>
              <w:t xml:space="preserve"> m³/a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除臭用水：牛羊待宰栏定时喷洒生物除臭剂，预计用水量取</w:t>
            </w:r>
            <w:r>
              <w:rPr>
                <w:bCs/>
                <w:color w:val="000000"/>
                <w:kern w:val="2"/>
                <w:szCs w:val="22"/>
              </w:rPr>
              <w:t>1</w:t>
            </w:r>
            <w:r>
              <w:rPr>
                <w:rFonts w:hint="eastAsia"/>
                <w:bCs/>
                <w:color w:val="000000"/>
                <w:kern w:val="2"/>
                <w:szCs w:val="22"/>
              </w:rPr>
              <w:t xml:space="preserve"> </w:t>
            </w:r>
            <w:r>
              <w:rPr>
                <w:bCs/>
                <w:color w:val="000000"/>
                <w:kern w:val="2"/>
                <w:szCs w:val="22"/>
              </w:rPr>
              <w:t>m³/d</w:t>
            </w:r>
            <w:r>
              <w:rPr>
                <w:rFonts w:hint="eastAsia"/>
                <w:bCs/>
                <w:color w:val="000000"/>
                <w:kern w:val="2"/>
                <w:szCs w:val="22"/>
              </w:rPr>
              <w:t>（</w:t>
            </w:r>
            <w:r>
              <w:rPr>
                <w:bCs/>
                <w:color w:val="000000"/>
                <w:kern w:val="2"/>
                <w:szCs w:val="22"/>
              </w:rPr>
              <w:t>350m³/a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地面冲洗水：参考《屠宰与肉类加工废水治理工程技术规范》 （HJ2004-2010），合并计入屠宰废水中，不单独计算。</w:t>
            </w:r>
          </w:p>
          <w:p>
            <w:pPr>
              <w:spacing w:before="120"/>
              <w:ind w:firstLine="480"/>
              <w:rPr>
                <w:bCs/>
                <w:color w:val="000000"/>
                <w:kern w:val="2"/>
                <w:szCs w:val="22"/>
              </w:rPr>
            </w:pPr>
            <w:r>
              <w:rPr>
                <w:rFonts w:hint="eastAsia"/>
                <w:bCs/>
                <w:color w:val="000000"/>
                <w:kern w:val="2"/>
                <w:szCs w:val="22"/>
              </w:rPr>
              <w:t>屠宰用水：包括地面冲洗水、设备清洗水、牛头冲洗水、内脏冲洗水、胴体清洗水、工作人员清洗水、消毒用水。本评价参考《屠宰与肉类加工废水治理工程技术规范》（HJ2004-2010）表 1</w:t>
            </w:r>
            <w:r>
              <w:rPr>
                <w:bCs/>
                <w:color w:val="000000"/>
                <w:kern w:val="2"/>
                <w:szCs w:val="22"/>
              </w:rPr>
              <w:t>中单位屠宰</w:t>
            </w:r>
            <w:r>
              <w:rPr>
                <w:rFonts w:hint="eastAsia"/>
                <w:bCs/>
                <w:color w:val="000000"/>
                <w:kern w:val="2"/>
                <w:szCs w:val="22"/>
              </w:rPr>
              <w:t>牛</w:t>
            </w:r>
            <w:r>
              <w:rPr>
                <w:bCs/>
                <w:color w:val="000000"/>
                <w:kern w:val="2"/>
                <w:szCs w:val="22"/>
              </w:rPr>
              <w:t>废水产生量取值系数为</w:t>
            </w:r>
            <w:r>
              <w:rPr>
                <w:rFonts w:hint="eastAsia"/>
                <w:bCs/>
                <w:color w:val="000000"/>
                <w:kern w:val="2"/>
                <w:szCs w:val="22"/>
              </w:rPr>
              <w:t>1.0-1.5</w:t>
            </w:r>
            <w:r>
              <w:rPr>
                <w:bCs/>
                <w:color w:val="000000"/>
                <w:kern w:val="2"/>
                <w:szCs w:val="22"/>
              </w:rPr>
              <w:t xml:space="preserve"> m</w:t>
            </w:r>
            <w:r>
              <w:rPr>
                <w:bCs/>
                <w:color w:val="000000"/>
                <w:kern w:val="2"/>
                <w:szCs w:val="22"/>
                <w:vertAlign w:val="superscript"/>
              </w:rPr>
              <w:t>3</w:t>
            </w:r>
            <w:r>
              <w:rPr>
                <w:bCs/>
                <w:color w:val="000000"/>
                <w:kern w:val="2"/>
                <w:szCs w:val="22"/>
              </w:rPr>
              <w:t>/头，屠宰</w:t>
            </w:r>
            <w:r>
              <w:rPr>
                <w:rFonts w:hint="eastAsia"/>
                <w:bCs/>
                <w:color w:val="000000"/>
                <w:kern w:val="2"/>
                <w:szCs w:val="22"/>
              </w:rPr>
              <w:t>羊</w:t>
            </w:r>
            <w:r>
              <w:rPr>
                <w:bCs/>
                <w:color w:val="000000"/>
                <w:kern w:val="2"/>
                <w:szCs w:val="22"/>
              </w:rPr>
              <w:t>废水产生量取值系数为</w:t>
            </w:r>
            <w:r>
              <w:rPr>
                <w:rFonts w:hint="eastAsia"/>
                <w:bCs/>
                <w:color w:val="000000"/>
                <w:kern w:val="2"/>
                <w:szCs w:val="22"/>
              </w:rPr>
              <w:t>0.2-0.5</w:t>
            </w:r>
            <w:r>
              <w:rPr>
                <w:bCs/>
                <w:color w:val="000000"/>
                <w:kern w:val="2"/>
                <w:szCs w:val="22"/>
              </w:rPr>
              <w:t xml:space="preserve"> m</w:t>
            </w:r>
            <w:r>
              <w:rPr>
                <w:bCs/>
                <w:color w:val="000000"/>
                <w:kern w:val="2"/>
                <w:szCs w:val="22"/>
                <w:vertAlign w:val="superscript"/>
              </w:rPr>
              <w:t>3</w:t>
            </w:r>
            <w:r>
              <w:rPr>
                <w:bCs/>
                <w:color w:val="000000"/>
                <w:kern w:val="2"/>
                <w:szCs w:val="22"/>
              </w:rPr>
              <w:t>/头</w:t>
            </w:r>
            <w:r>
              <w:rPr>
                <w:rFonts w:hint="eastAsia"/>
                <w:bCs/>
                <w:color w:val="000000"/>
                <w:kern w:val="2"/>
                <w:szCs w:val="22"/>
              </w:rPr>
              <w:t>，</w:t>
            </w:r>
            <w:r>
              <w:rPr>
                <w:bCs/>
                <w:color w:val="000000"/>
                <w:kern w:val="2"/>
                <w:szCs w:val="22"/>
              </w:rPr>
              <w:t>本次评价取平均值，即屠宰</w:t>
            </w:r>
            <w:r>
              <w:rPr>
                <w:rFonts w:hint="eastAsia"/>
                <w:bCs/>
                <w:color w:val="000000"/>
                <w:kern w:val="2"/>
                <w:szCs w:val="22"/>
              </w:rPr>
              <w:t>牛</w:t>
            </w:r>
            <w:r>
              <w:rPr>
                <w:bCs/>
                <w:color w:val="000000"/>
                <w:kern w:val="2"/>
                <w:szCs w:val="22"/>
              </w:rPr>
              <w:t>废水产生量系数为</w:t>
            </w:r>
            <w:r>
              <w:rPr>
                <w:rFonts w:hint="eastAsia"/>
                <w:bCs/>
                <w:color w:val="000000"/>
                <w:kern w:val="2"/>
                <w:szCs w:val="22"/>
              </w:rPr>
              <w:t>1.25</w:t>
            </w:r>
            <w:r>
              <w:rPr>
                <w:bCs/>
                <w:color w:val="000000"/>
                <w:kern w:val="2"/>
                <w:szCs w:val="22"/>
              </w:rPr>
              <w:t>m</w:t>
            </w:r>
            <w:r>
              <w:rPr>
                <w:bCs/>
                <w:color w:val="000000"/>
                <w:kern w:val="2"/>
                <w:szCs w:val="22"/>
                <w:vertAlign w:val="superscript"/>
              </w:rPr>
              <w:t>3</w:t>
            </w:r>
            <w:r>
              <w:rPr>
                <w:bCs/>
                <w:color w:val="000000"/>
                <w:kern w:val="2"/>
                <w:szCs w:val="22"/>
              </w:rPr>
              <w:t>/头</w:t>
            </w:r>
            <w:r>
              <w:rPr>
                <w:rFonts w:hint="eastAsia"/>
                <w:bCs/>
                <w:color w:val="000000"/>
                <w:kern w:val="2"/>
                <w:szCs w:val="22"/>
              </w:rPr>
              <w:t>，则用水量为</w:t>
            </w:r>
            <w:r>
              <w:rPr>
                <w:bCs/>
                <w:color w:val="000000"/>
                <w:kern w:val="2"/>
                <w:szCs w:val="22"/>
              </w:rPr>
              <w:t>6.94 m</w:t>
            </w:r>
            <w:r>
              <w:rPr>
                <w:bCs/>
                <w:color w:val="000000"/>
                <w:kern w:val="2"/>
                <w:szCs w:val="22"/>
                <w:vertAlign w:val="superscript"/>
              </w:rPr>
              <w:t>3</w:t>
            </w:r>
            <w:r>
              <w:rPr>
                <w:bCs/>
                <w:color w:val="000000"/>
                <w:kern w:val="2"/>
                <w:szCs w:val="22"/>
              </w:rPr>
              <w:t>/d</w:t>
            </w:r>
            <w:r>
              <w:rPr>
                <w:rFonts w:hint="eastAsia"/>
                <w:bCs/>
                <w:color w:val="000000"/>
                <w:kern w:val="2"/>
                <w:szCs w:val="22"/>
              </w:rPr>
              <w:t>，</w:t>
            </w:r>
            <w:r>
              <w:rPr>
                <w:bCs/>
                <w:color w:val="000000"/>
                <w:kern w:val="2"/>
                <w:szCs w:val="22"/>
              </w:rPr>
              <w:t>2429 m³/a</w:t>
            </w:r>
            <w:r>
              <w:rPr>
                <w:rFonts w:hint="eastAsia"/>
                <w:bCs/>
                <w:color w:val="000000"/>
                <w:kern w:val="2"/>
                <w:szCs w:val="22"/>
              </w:rPr>
              <w:t>；</w:t>
            </w:r>
            <w:r>
              <w:rPr>
                <w:bCs/>
                <w:color w:val="000000"/>
                <w:kern w:val="2"/>
                <w:szCs w:val="22"/>
              </w:rPr>
              <w:t>屠宰</w:t>
            </w:r>
            <w:r>
              <w:rPr>
                <w:rFonts w:hint="eastAsia"/>
                <w:bCs/>
                <w:color w:val="000000"/>
                <w:kern w:val="2"/>
                <w:szCs w:val="22"/>
              </w:rPr>
              <w:t>羊</w:t>
            </w:r>
            <w:r>
              <w:rPr>
                <w:bCs/>
                <w:color w:val="000000"/>
                <w:kern w:val="2"/>
                <w:szCs w:val="22"/>
              </w:rPr>
              <w:t>废水产生量系数为</w:t>
            </w:r>
            <w:r>
              <w:rPr>
                <w:rFonts w:hint="eastAsia"/>
                <w:bCs/>
                <w:color w:val="000000"/>
                <w:kern w:val="2"/>
                <w:szCs w:val="22"/>
              </w:rPr>
              <w:t>0.35</w:t>
            </w:r>
            <w:r>
              <w:rPr>
                <w:bCs/>
                <w:color w:val="000000"/>
                <w:kern w:val="2"/>
                <w:szCs w:val="22"/>
              </w:rPr>
              <w:t>m</w:t>
            </w:r>
            <w:r>
              <w:rPr>
                <w:bCs/>
                <w:color w:val="000000"/>
                <w:kern w:val="2"/>
                <w:szCs w:val="22"/>
                <w:vertAlign w:val="superscript"/>
              </w:rPr>
              <w:t>3</w:t>
            </w:r>
            <w:r>
              <w:rPr>
                <w:bCs/>
                <w:color w:val="000000"/>
                <w:kern w:val="2"/>
                <w:szCs w:val="22"/>
              </w:rPr>
              <w:t>/头</w:t>
            </w:r>
            <w:r>
              <w:rPr>
                <w:rFonts w:hint="eastAsia"/>
                <w:bCs/>
                <w:color w:val="000000"/>
                <w:kern w:val="2"/>
                <w:szCs w:val="22"/>
              </w:rPr>
              <w:t xml:space="preserve">，排污系数取 0.9，则用水量为 </w:t>
            </w:r>
            <w:r>
              <w:rPr>
                <w:bCs/>
                <w:color w:val="000000"/>
                <w:kern w:val="2"/>
                <w:szCs w:val="22"/>
              </w:rPr>
              <w:t>56.39m³/d</w:t>
            </w:r>
            <w:r>
              <w:rPr>
                <w:rFonts w:hint="eastAsia"/>
                <w:bCs/>
                <w:color w:val="000000"/>
                <w:kern w:val="2"/>
                <w:szCs w:val="22"/>
              </w:rPr>
              <w:t>（</w:t>
            </w:r>
            <w:r>
              <w:rPr>
                <w:bCs/>
                <w:color w:val="000000"/>
                <w:kern w:val="2"/>
                <w:szCs w:val="22"/>
              </w:rPr>
              <w:t>19736.5 m³/a</w:t>
            </w:r>
            <w:r>
              <w:rPr>
                <w:rFonts w:hint="eastAsia"/>
                <w:bCs/>
                <w:color w:val="000000"/>
                <w:kern w:val="2"/>
                <w:szCs w:val="22"/>
              </w:rPr>
              <w:t>）。屠宰牛羊用水合计6</w:t>
            </w:r>
            <w:r>
              <w:rPr>
                <w:bCs/>
                <w:color w:val="000000"/>
                <w:kern w:val="2"/>
                <w:szCs w:val="22"/>
              </w:rPr>
              <w:t>3.33 m³/d</w:t>
            </w:r>
            <w:r>
              <w:rPr>
                <w:rFonts w:hint="eastAsia"/>
                <w:bCs/>
                <w:color w:val="000000"/>
                <w:kern w:val="2"/>
                <w:szCs w:val="22"/>
              </w:rPr>
              <w:t>（</w:t>
            </w:r>
            <w:r>
              <w:rPr>
                <w:bCs/>
                <w:color w:val="000000"/>
                <w:kern w:val="2"/>
                <w:szCs w:val="22"/>
              </w:rPr>
              <w:t>22165.5 m³/a</w:t>
            </w:r>
            <w:r>
              <w:rPr>
                <w:rFonts w:hint="eastAsia"/>
                <w:bCs/>
                <w:color w:val="000000"/>
                <w:kern w:val="2"/>
                <w:szCs w:val="22"/>
              </w:rPr>
              <w:t>）。</w:t>
            </w:r>
          </w:p>
          <w:p>
            <w:pPr>
              <w:spacing w:before="120"/>
              <w:ind w:firstLine="480"/>
              <w:rPr>
                <w:bCs/>
                <w:color w:val="000000"/>
                <w:kern w:val="2"/>
                <w:szCs w:val="22"/>
              </w:rPr>
            </w:pPr>
            <w:r>
              <w:rPr>
                <w:rFonts w:hint="eastAsia"/>
                <w:bCs/>
                <w:color w:val="000000"/>
              </w:rPr>
              <w:t>②</w:t>
            </w:r>
            <w:r>
              <w:rPr>
                <w:rFonts w:hint="eastAsia"/>
                <w:bCs/>
                <w:color w:val="000000"/>
                <w:kern w:val="2"/>
                <w:szCs w:val="22"/>
              </w:rPr>
              <w:t>生活用水：</w:t>
            </w:r>
            <w:r>
              <w:rPr>
                <w:bCs/>
                <w:color w:val="000000"/>
                <w:kern w:val="2"/>
                <w:szCs w:val="22"/>
              </w:rPr>
              <w:t>本项目劳动定员20人，</w:t>
            </w:r>
            <w:r>
              <w:rPr>
                <w:rFonts w:hint="eastAsia"/>
                <w:bCs/>
                <w:color w:val="000000"/>
                <w:kern w:val="2"/>
                <w:szCs w:val="22"/>
              </w:rPr>
              <w:t>其中7人</w:t>
            </w:r>
            <w:r>
              <w:rPr>
                <w:bCs/>
                <w:color w:val="000000"/>
                <w:kern w:val="2"/>
                <w:szCs w:val="22"/>
              </w:rPr>
              <w:t>在</w:t>
            </w:r>
            <w:r>
              <w:rPr>
                <w:rFonts w:hint="eastAsia"/>
                <w:bCs/>
                <w:color w:val="000000"/>
                <w:kern w:val="2"/>
                <w:szCs w:val="22"/>
              </w:rPr>
              <w:t>厂区</w:t>
            </w:r>
            <w:r>
              <w:rPr>
                <w:bCs/>
                <w:color w:val="000000"/>
                <w:kern w:val="2"/>
                <w:szCs w:val="22"/>
              </w:rPr>
              <w:t>内食宿</w:t>
            </w:r>
            <w:r>
              <w:rPr>
                <w:rFonts w:hint="eastAsia"/>
                <w:bCs/>
                <w:color w:val="000000"/>
                <w:kern w:val="2"/>
                <w:szCs w:val="22"/>
              </w:rPr>
              <w:t>、13人在厂区食堂就餐不住宿，</w:t>
            </w:r>
            <w:r>
              <w:rPr>
                <w:bCs/>
                <w:color w:val="000000"/>
                <w:kern w:val="2"/>
                <w:szCs w:val="22"/>
              </w:rPr>
              <w:t>参考广东省《用水定额 第3部分：生活》（DB44/T 1461.3-2021），</w:t>
            </w:r>
            <w:r>
              <w:rPr>
                <w:rFonts w:hint="eastAsia"/>
                <w:bCs/>
                <w:color w:val="000000"/>
                <w:kern w:val="2"/>
                <w:szCs w:val="22"/>
              </w:rPr>
              <w:t>住宿人员</w:t>
            </w:r>
            <w:r>
              <w:rPr>
                <w:bCs/>
                <w:color w:val="000000"/>
                <w:kern w:val="2"/>
                <w:szCs w:val="22"/>
              </w:rPr>
              <w:t>按人均用水140L/</w:t>
            </w:r>
            <w:r>
              <w:rPr>
                <w:rFonts w:hint="eastAsia"/>
                <w:bCs/>
                <w:color w:val="000000"/>
                <w:kern w:val="2"/>
                <w:szCs w:val="22"/>
              </w:rPr>
              <w:t>d</w:t>
            </w:r>
            <w:r>
              <w:rPr>
                <w:bCs/>
                <w:color w:val="000000"/>
                <w:kern w:val="2"/>
                <w:szCs w:val="22"/>
              </w:rPr>
              <w:t>计，</w:t>
            </w:r>
            <w:r>
              <w:rPr>
                <w:rFonts w:hint="eastAsia"/>
                <w:bCs/>
                <w:color w:val="000000"/>
                <w:kern w:val="2"/>
                <w:szCs w:val="22"/>
              </w:rPr>
              <w:t>就餐不住宿人员用水按38</w:t>
            </w:r>
            <w:r>
              <w:rPr>
                <w:bCs/>
                <w:color w:val="000000"/>
                <w:kern w:val="2"/>
                <w:szCs w:val="22"/>
              </w:rPr>
              <w:t>m³</w:t>
            </w:r>
            <w:r>
              <w:rPr>
                <w:rFonts w:hint="eastAsia"/>
                <w:bCs/>
                <w:color w:val="000000"/>
                <w:kern w:val="2"/>
                <w:szCs w:val="22"/>
              </w:rPr>
              <w:t>/a计，</w:t>
            </w:r>
            <w:r>
              <w:rPr>
                <w:bCs/>
                <w:color w:val="000000"/>
                <w:kern w:val="2"/>
                <w:szCs w:val="22"/>
              </w:rPr>
              <w:t>则生活用水量约840 m³/a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给水情况统计如下表所示：</w:t>
            </w:r>
          </w:p>
          <w:p>
            <w:pPr>
              <w:spacing w:before="120"/>
              <w:ind w:firstLine="0" w:firstLineChars="0"/>
              <w:jc w:val="center"/>
              <w:rPr>
                <w:b/>
                <w:kern w:val="28"/>
                <w:sz w:val="21"/>
                <w:szCs w:val="32"/>
              </w:rPr>
            </w:pPr>
            <w:r>
              <w:rPr>
                <w:b/>
                <w:kern w:val="28"/>
                <w:sz w:val="21"/>
                <w:szCs w:val="32"/>
              </w:rPr>
              <w:t>表2-6  项目</w:t>
            </w:r>
            <w:r>
              <w:rPr>
                <w:rFonts w:hint="eastAsia"/>
                <w:b/>
                <w:kern w:val="28"/>
                <w:sz w:val="21"/>
                <w:szCs w:val="32"/>
              </w:rPr>
              <w:t>用水情况</w:t>
            </w:r>
            <w:r>
              <w:rPr>
                <w:b/>
                <w:kern w:val="28"/>
                <w:sz w:val="21"/>
                <w:szCs w:val="32"/>
              </w:rPr>
              <w:t>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1322"/>
              <w:gridCol w:w="158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类别</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用水定额</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日用量（</w:t>
                  </w:r>
                  <w:r>
                    <w:rPr>
                      <w:kern w:val="2"/>
                      <w:sz w:val="21"/>
                      <w:szCs w:val="21"/>
                    </w:rPr>
                    <w:t>m³/d</w:t>
                  </w:r>
                  <w:r>
                    <w:rPr>
                      <w:rFonts w:hint="eastAsia"/>
                      <w:kern w:val="2"/>
                      <w:sz w:val="21"/>
                      <w:szCs w:val="21"/>
                    </w:rPr>
                    <w:t>）</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年用量（</w:t>
                  </w:r>
                  <w:r>
                    <w:rPr>
                      <w:kern w:val="2"/>
                      <w:sz w:val="21"/>
                      <w:szCs w:val="21"/>
                    </w:rPr>
                    <w:t>m³/a</w:t>
                  </w:r>
                  <w:r>
                    <w:rPr>
                      <w:rFonts w:hint="eastAsia"/>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车辆消毒槽用水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0.5</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车辆消毒用水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20L/车次</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0.1</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3</w:t>
                  </w:r>
                  <w:r>
                    <w:rPr>
                      <w:kern w:val="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车辆清洗水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38L/车次</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0.19</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生物（或碱）喷淋塔用水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0.98</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牛羊饮用水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w:t>
                  </w:r>
                  <w:r>
                    <w:rPr>
                      <w:kern w:val="2"/>
                      <w:sz w:val="21"/>
                      <w:szCs w:val="21"/>
                    </w:rPr>
                    <w:t>12</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除臭用水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屠宰用水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63.33</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22165.5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生活用水</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140L/</w:t>
                  </w:r>
                  <w:r>
                    <w:rPr>
                      <w:rFonts w:hint="eastAsia"/>
                      <w:kern w:val="2"/>
                      <w:sz w:val="21"/>
                      <w:szCs w:val="21"/>
                    </w:rPr>
                    <w:t>人/</w:t>
                  </w:r>
                  <w:r>
                    <w:rPr>
                      <w:kern w:val="2"/>
                      <w:sz w:val="21"/>
                      <w:szCs w:val="21"/>
                    </w:rPr>
                    <w:t>d</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2.4</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kern w:val="2"/>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5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合计</w:t>
                  </w:r>
                </w:p>
              </w:tc>
              <w:tc>
                <w:tcPr>
                  <w:tcW w:w="132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w:t>
                  </w:r>
                </w:p>
              </w:tc>
              <w:tc>
                <w:tcPr>
                  <w:tcW w:w="158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6</w:t>
                  </w:r>
                  <w:r>
                    <w:rPr>
                      <w:kern w:val="2"/>
                      <w:sz w:val="21"/>
                      <w:szCs w:val="21"/>
                    </w:rPr>
                    <w:t>8.</w:t>
                  </w:r>
                  <w:r>
                    <w:rPr>
                      <w:rFonts w:hint="eastAsia"/>
                      <w:kern w:val="2"/>
                      <w:sz w:val="21"/>
                      <w:szCs w:val="21"/>
                    </w:rPr>
                    <w:t>62</w:t>
                  </w:r>
                </w:p>
              </w:tc>
              <w:tc>
                <w:tcPr>
                  <w:tcW w:w="1589"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23990.5</w:t>
                  </w:r>
                </w:p>
              </w:tc>
            </w:tr>
          </w:tbl>
          <w:p>
            <w:pPr>
              <w:adjustRightInd w:val="0"/>
              <w:snapToGrid w:val="0"/>
              <w:spacing w:before="120"/>
              <w:ind w:firstLine="480"/>
              <w:rPr>
                <w:bCs/>
                <w:color w:val="000000"/>
              </w:rPr>
            </w:pPr>
            <w:r>
              <w:rPr>
                <w:bCs/>
                <w:color w:val="000000"/>
              </w:rPr>
              <w:t>（3）</w:t>
            </w:r>
            <w:r>
              <w:rPr>
                <w:rFonts w:hint="eastAsia"/>
              </w:rPr>
              <w:t>排</w:t>
            </w:r>
            <w:r>
              <w:t>水</w:t>
            </w:r>
          </w:p>
          <w:p>
            <w:pPr>
              <w:spacing w:before="120"/>
              <w:ind w:firstLine="480"/>
              <w:rPr>
                <w:bCs/>
                <w:color w:val="000000"/>
                <w:kern w:val="2"/>
                <w:szCs w:val="22"/>
              </w:rPr>
            </w:pPr>
            <w:r>
              <w:rPr>
                <w:rFonts w:hint="eastAsia"/>
                <w:bCs/>
                <w:color w:val="000000"/>
                <w:kern w:val="2"/>
                <w:szCs w:val="22"/>
              </w:rPr>
              <w:t>根据给水计算，消毒槽补充水随车辆带走及蒸发不排放，换水时排污系数取1</w:t>
            </w:r>
            <w:r>
              <w:rPr>
                <w:bCs/>
                <w:color w:val="000000"/>
                <w:kern w:val="2"/>
                <w:szCs w:val="22"/>
              </w:rPr>
              <w:t>.0</w:t>
            </w:r>
            <w:r>
              <w:rPr>
                <w:rFonts w:hint="eastAsia"/>
                <w:bCs/>
                <w:color w:val="000000"/>
                <w:kern w:val="2"/>
                <w:szCs w:val="22"/>
              </w:rPr>
              <w:t>，则废水排放量为0</w:t>
            </w:r>
            <w:r>
              <w:rPr>
                <w:bCs/>
                <w:color w:val="000000"/>
                <w:kern w:val="2"/>
                <w:szCs w:val="22"/>
              </w:rPr>
              <w:t>.2 m³/d</w:t>
            </w:r>
            <w:r>
              <w:rPr>
                <w:rFonts w:hint="eastAsia"/>
                <w:bCs/>
                <w:color w:val="000000"/>
                <w:kern w:val="2"/>
                <w:szCs w:val="22"/>
              </w:rPr>
              <w:t>（7</w:t>
            </w:r>
            <w:r>
              <w:rPr>
                <w:bCs/>
                <w:color w:val="000000"/>
                <w:kern w:val="2"/>
                <w:szCs w:val="22"/>
              </w:rPr>
              <w:t>2 m³/a</w:t>
            </w:r>
            <w:r>
              <w:rPr>
                <w:rFonts w:hint="eastAsia"/>
                <w:bCs/>
                <w:color w:val="000000"/>
                <w:kern w:val="2"/>
                <w:szCs w:val="22"/>
              </w:rPr>
              <w:t>）；待宰栏除臭用水蒸发不排放；车辆消毒用水随车辆带走及蒸发不排放；生物（或碱）喷淋塔设施补充水蒸发不排放，换水时排污系数取1</w:t>
            </w:r>
            <w:r>
              <w:rPr>
                <w:bCs/>
                <w:color w:val="000000"/>
                <w:kern w:val="2"/>
                <w:szCs w:val="22"/>
              </w:rPr>
              <w:t>.0</w:t>
            </w:r>
            <w:r>
              <w:rPr>
                <w:rFonts w:hint="eastAsia"/>
                <w:bCs/>
                <w:color w:val="000000"/>
                <w:kern w:val="2"/>
                <w:szCs w:val="22"/>
              </w:rPr>
              <w:t>，则废水排放量为0</w:t>
            </w:r>
            <w:r>
              <w:rPr>
                <w:bCs/>
                <w:color w:val="000000"/>
                <w:kern w:val="2"/>
                <w:szCs w:val="22"/>
              </w:rPr>
              <w:t>.76m³/d</w:t>
            </w:r>
            <w:r>
              <w:rPr>
                <w:rFonts w:hint="eastAsia"/>
                <w:bCs/>
                <w:color w:val="000000"/>
                <w:kern w:val="2"/>
                <w:szCs w:val="22"/>
              </w:rPr>
              <w:t>（2</w:t>
            </w:r>
            <w:r>
              <w:rPr>
                <w:bCs/>
                <w:color w:val="000000"/>
                <w:kern w:val="2"/>
                <w:szCs w:val="22"/>
              </w:rPr>
              <w:t>64 m³/a</w:t>
            </w:r>
            <w:r>
              <w:rPr>
                <w:rFonts w:hint="eastAsia"/>
                <w:bCs/>
                <w:color w:val="000000"/>
                <w:kern w:val="2"/>
                <w:szCs w:val="22"/>
              </w:rPr>
              <w:t>）；车辆清洗水排系数取0</w:t>
            </w:r>
            <w:r>
              <w:rPr>
                <w:bCs/>
                <w:color w:val="000000"/>
                <w:kern w:val="2"/>
                <w:szCs w:val="22"/>
              </w:rPr>
              <w:t>.9</w:t>
            </w:r>
            <w:r>
              <w:rPr>
                <w:rFonts w:hint="eastAsia"/>
                <w:bCs/>
                <w:color w:val="000000"/>
                <w:kern w:val="2"/>
                <w:szCs w:val="22"/>
              </w:rPr>
              <w:t>，则废水排放量为</w:t>
            </w:r>
            <w:r>
              <w:rPr>
                <w:bCs/>
                <w:color w:val="000000"/>
                <w:kern w:val="2"/>
                <w:szCs w:val="22"/>
              </w:rPr>
              <w:t>0.17 m³/d</w:t>
            </w:r>
            <w:r>
              <w:rPr>
                <w:rFonts w:hint="eastAsia"/>
                <w:bCs/>
                <w:color w:val="000000"/>
                <w:kern w:val="2"/>
                <w:szCs w:val="22"/>
              </w:rPr>
              <w:t>（59</w:t>
            </w:r>
            <w:r>
              <w:rPr>
                <w:bCs/>
                <w:color w:val="000000"/>
                <w:kern w:val="2"/>
                <w:szCs w:val="22"/>
              </w:rPr>
              <w:t>.85 m³/a</w:t>
            </w:r>
            <w:r>
              <w:rPr>
                <w:rFonts w:hint="eastAsia"/>
                <w:bCs/>
                <w:color w:val="000000"/>
                <w:kern w:val="2"/>
                <w:szCs w:val="22"/>
              </w:rPr>
              <w:t>）；屠宰车间用水排污系数取0.9，则废水排放量为</w:t>
            </w:r>
            <w:r>
              <w:rPr>
                <w:bCs/>
                <w:color w:val="000000"/>
                <w:kern w:val="2"/>
                <w:szCs w:val="22"/>
              </w:rPr>
              <w:t>57m³/d（19950 m³/a）</w:t>
            </w:r>
            <w:r>
              <w:rPr>
                <w:rFonts w:hint="eastAsia"/>
                <w:bCs/>
                <w:color w:val="000000"/>
                <w:kern w:val="2"/>
                <w:szCs w:val="22"/>
              </w:rPr>
              <w:t>；生活用水排污系数取0.9，则废水排放量为</w:t>
            </w:r>
            <w:r>
              <w:rPr>
                <w:bCs/>
                <w:color w:val="000000"/>
                <w:kern w:val="2"/>
                <w:szCs w:val="22"/>
              </w:rPr>
              <w:t>2.16 m³/d（756 m³/a</w:t>
            </w:r>
            <w:r>
              <w:rPr>
                <w:rFonts w:hint="eastAsia"/>
                <w:bCs/>
                <w:color w:val="000000"/>
                <w:kern w:val="2"/>
                <w:szCs w:val="22"/>
              </w:rPr>
              <w:t>）。</w:t>
            </w:r>
          </w:p>
          <w:p>
            <w:pPr>
              <w:spacing w:before="120"/>
              <w:ind w:firstLine="480"/>
              <w:rPr>
                <w:szCs w:val="20"/>
              </w:rPr>
            </w:pPr>
            <w:r>
              <w:rPr>
                <w:rFonts w:hint="eastAsia"/>
              </w:rPr>
              <w:t>初期雨水：</w:t>
            </w:r>
            <w:r>
              <w:rPr>
                <w:rFonts w:hint="eastAsia"/>
                <w:bCs/>
                <w:color w:val="000000"/>
                <w:kern w:val="2"/>
                <w:szCs w:val="22"/>
              </w:rPr>
              <w:t>参考原《环境影响评价技术导则-地面水环境》（HJ/T 2.3-</w:t>
            </w:r>
            <w:r>
              <w:rPr>
                <w:bCs/>
                <w:color w:val="000000"/>
                <w:kern w:val="2"/>
                <w:szCs w:val="22"/>
              </w:rPr>
              <w:t>93</w:t>
            </w:r>
            <w:r>
              <w:rPr>
                <w:rFonts w:hint="eastAsia"/>
                <w:bCs/>
                <w:color w:val="000000"/>
                <w:kern w:val="2"/>
                <w:szCs w:val="22"/>
              </w:rPr>
              <w:t>）中表15的推荐值，轻工业区的产流系数可取值</w:t>
            </w:r>
            <w:r>
              <w:rPr>
                <w:bCs/>
                <w:color w:val="000000"/>
                <w:kern w:val="2"/>
                <w:szCs w:val="22"/>
              </w:rPr>
              <w:t>0.5-0.8</w:t>
            </w:r>
            <w:r>
              <w:rPr>
                <w:rFonts w:hint="eastAsia"/>
                <w:bCs/>
                <w:color w:val="000000"/>
                <w:kern w:val="2"/>
                <w:szCs w:val="22"/>
              </w:rPr>
              <w:t>，本项目取平均值0</w:t>
            </w:r>
            <w:r>
              <w:rPr>
                <w:bCs/>
                <w:color w:val="000000"/>
                <w:kern w:val="2"/>
                <w:szCs w:val="22"/>
              </w:rPr>
              <w:t>.65</w:t>
            </w:r>
            <w:r>
              <w:rPr>
                <w:rFonts w:hint="eastAsia"/>
                <w:bCs/>
                <w:color w:val="000000"/>
                <w:kern w:val="2"/>
                <w:szCs w:val="22"/>
              </w:rPr>
              <w:t>，项目所在区域年平均降雨量为</w:t>
            </w:r>
            <w:r>
              <w:rPr>
                <w:bCs/>
                <w:color w:val="000000"/>
                <w:kern w:val="2"/>
                <w:szCs w:val="22"/>
              </w:rPr>
              <w:t>1665</w:t>
            </w:r>
            <w:r>
              <w:rPr>
                <w:rFonts w:hint="eastAsia"/>
                <w:bCs/>
                <w:color w:val="000000"/>
                <w:kern w:val="2"/>
                <w:szCs w:val="22"/>
              </w:rPr>
              <w:t>mm，本项目集雨面积为</w:t>
            </w:r>
            <w:r>
              <w:rPr>
                <w:bCs/>
                <w:color w:val="000000"/>
                <w:kern w:val="2"/>
                <w:szCs w:val="22"/>
              </w:rPr>
              <w:t>26672.38</w:t>
            </w:r>
            <w:r>
              <w:rPr>
                <w:rFonts w:hint="eastAsia"/>
                <w:bCs/>
                <w:color w:val="000000"/>
                <w:kern w:val="2"/>
                <w:szCs w:val="22"/>
              </w:rPr>
              <w:t>m</w:t>
            </w:r>
            <w:r>
              <w:rPr>
                <w:rFonts w:hint="eastAsia"/>
                <w:bCs/>
                <w:color w:val="000000"/>
                <w:kern w:val="2"/>
                <w:szCs w:val="22"/>
                <w:vertAlign w:val="superscript"/>
              </w:rPr>
              <w:t>2</w:t>
            </w:r>
            <w:r>
              <w:rPr>
                <w:rFonts w:hint="eastAsia"/>
                <w:bCs/>
                <w:color w:val="000000"/>
                <w:kern w:val="2"/>
                <w:szCs w:val="22"/>
              </w:rPr>
              <w:t>，初期雨水收集时间占降雨时间的值为15/180=0.083。通过计算，本项目的初期雨水排放量约为</w:t>
            </w:r>
            <w:r>
              <w:rPr>
                <w:bCs/>
                <w:color w:val="000000"/>
                <w:kern w:val="2"/>
                <w:szCs w:val="22"/>
              </w:rPr>
              <w:t>2404.6 m³</w:t>
            </w:r>
            <w:r>
              <w:rPr>
                <w:rFonts w:hint="eastAsia"/>
                <w:bCs/>
                <w:color w:val="000000"/>
                <w:kern w:val="2"/>
                <w:szCs w:val="22"/>
              </w:rPr>
              <w:t>/a，约</w:t>
            </w:r>
            <w:r>
              <w:rPr>
                <w:bCs/>
                <w:color w:val="000000"/>
                <w:kern w:val="2"/>
                <w:szCs w:val="22"/>
              </w:rPr>
              <w:t>6.87 m³/d</w:t>
            </w:r>
            <w:r>
              <w:rPr>
                <w:rFonts w:hint="eastAsia"/>
                <w:szCs w:val="20"/>
              </w:rPr>
              <w:t>。</w:t>
            </w:r>
          </w:p>
          <w:p>
            <w:pPr>
              <w:spacing w:before="120"/>
              <w:ind w:firstLine="480"/>
              <w:rPr>
                <w:szCs w:val="20"/>
              </w:rPr>
            </w:pPr>
            <w:r>
              <w:rPr>
                <w:rFonts w:hint="eastAsia"/>
                <w:szCs w:val="20"/>
              </w:rPr>
              <w:t>废水产生情况列表如下：</w:t>
            </w:r>
          </w:p>
          <w:p>
            <w:pPr>
              <w:spacing w:before="120"/>
              <w:ind w:firstLine="0" w:firstLineChars="0"/>
              <w:jc w:val="center"/>
              <w:rPr>
                <w:b/>
                <w:kern w:val="28"/>
                <w:sz w:val="21"/>
                <w:szCs w:val="32"/>
              </w:rPr>
            </w:pPr>
            <w:r>
              <w:rPr>
                <w:b/>
                <w:kern w:val="28"/>
                <w:sz w:val="21"/>
                <w:szCs w:val="32"/>
              </w:rPr>
              <w:t>表2-7  项目</w:t>
            </w:r>
            <w:r>
              <w:rPr>
                <w:rFonts w:hint="eastAsia"/>
                <w:b/>
                <w:kern w:val="28"/>
                <w:sz w:val="21"/>
                <w:szCs w:val="32"/>
              </w:rPr>
              <w:t>废水产生情况</w:t>
            </w:r>
            <w:r>
              <w:rPr>
                <w:b/>
                <w:kern w:val="28"/>
                <w:sz w:val="21"/>
                <w:szCs w:val="32"/>
              </w:rPr>
              <w:t>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1808"/>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类别</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日排量</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年排量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消毒槽废水</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w:t>
                  </w:r>
                  <w:r>
                    <w:rPr>
                      <w:kern w:val="2"/>
                      <w:sz w:val="21"/>
                      <w:szCs w:val="21"/>
                    </w:rPr>
                    <w:t>.2</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7</w:t>
                  </w:r>
                  <w:r>
                    <w:rPr>
                      <w:kern w:val="2"/>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车辆清洗废水</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w:t>
                  </w:r>
                  <w:r>
                    <w:rPr>
                      <w:kern w:val="2"/>
                      <w:sz w:val="21"/>
                      <w:szCs w:val="21"/>
                    </w:rPr>
                    <w:t>.17</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5</w:t>
                  </w:r>
                  <w:r>
                    <w:rPr>
                      <w:kern w:val="2"/>
                      <w:sz w:val="21"/>
                      <w:szCs w:val="21"/>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bCs/>
                      <w:color w:val="000000"/>
                      <w:kern w:val="2"/>
                      <w:sz w:val="21"/>
                      <w:szCs w:val="21"/>
                    </w:rPr>
                    <w:t>生物（或碱）喷淋塔</w:t>
                  </w:r>
                  <w:r>
                    <w:rPr>
                      <w:rFonts w:hint="eastAsia"/>
                      <w:kern w:val="2"/>
                      <w:sz w:val="21"/>
                      <w:szCs w:val="21"/>
                    </w:rPr>
                    <w:t>废水</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0</w:t>
                  </w:r>
                  <w:r>
                    <w:rPr>
                      <w:kern w:val="2"/>
                      <w:sz w:val="21"/>
                      <w:szCs w:val="21"/>
                    </w:rPr>
                    <w:t>.76</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w:t>
                  </w:r>
                  <w:r>
                    <w:rPr>
                      <w:kern w:val="2"/>
                      <w:sz w:val="21"/>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屠宰废水</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5</w:t>
                  </w:r>
                  <w:r>
                    <w:rPr>
                      <w:kern w:val="2"/>
                      <w:sz w:val="21"/>
                      <w:szCs w:val="21"/>
                    </w:rPr>
                    <w:t>7</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1</w:t>
                  </w:r>
                  <w:r>
                    <w:rPr>
                      <w:kern w:val="2"/>
                      <w:sz w:val="21"/>
                      <w:szCs w:val="21"/>
                    </w:rPr>
                    <w:t>9950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初期雨水</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6</w:t>
                  </w:r>
                  <w:r>
                    <w:rPr>
                      <w:kern w:val="2"/>
                      <w:sz w:val="21"/>
                      <w:szCs w:val="21"/>
                    </w:rPr>
                    <w:t>.87</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w:t>
                  </w:r>
                  <w:r>
                    <w:rPr>
                      <w:kern w:val="2"/>
                      <w:sz w:val="21"/>
                      <w:szCs w:val="21"/>
                    </w:rPr>
                    <w:t>404.6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生活用水</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w:t>
                  </w:r>
                  <w:r>
                    <w:rPr>
                      <w:kern w:val="2"/>
                      <w:sz w:val="21"/>
                      <w:szCs w:val="21"/>
                    </w:rPr>
                    <w:t>.16</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7</w:t>
                  </w:r>
                  <w:r>
                    <w:rPr>
                      <w:kern w:val="2"/>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92"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合计</w:t>
                  </w:r>
                </w:p>
              </w:tc>
              <w:tc>
                <w:tcPr>
                  <w:tcW w:w="1808"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6</w:t>
                  </w:r>
                  <w:r>
                    <w:rPr>
                      <w:kern w:val="2"/>
                      <w:sz w:val="21"/>
                      <w:szCs w:val="21"/>
                    </w:rPr>
                    <w:t>7.16</w:t>
                  </w:r>
                </w:p>
              </w:tc>
              <w:tc>
                <w:tcPr>
                  <w:tcW w:w="2015" w:type="dxa"/>
                  <w:vAlign w:val="center"/>
                </w:tcPr>
                <w:p>
                  <w:pPr>
                    <w:adjustRightInd w:val="0"/>
                    <w:snapToGrid w:val="0"/>
                    <w:spacing w:before="0" w:beforeLines="0" w:line="240" w:lineRule="auto"/>
                    <w:ind w:firstLine="0" w:firstLineChars="0"/>
                    <w:jc w:val="center"/>
                    <w:rPr>
                      <w:kern w:val="2"/>
                      <w:sz w:val="21"/>
                      <w:szCs w:val="21"/>
                    </w:rPr>
                  </w:pPr>
                  <w:r>
                    <w:rPr>
                      <w:rFonts w:hint="eastAsia"/>
                      <w:kern w:val="2"/>
                      <w:sz w:val="21"/>
                      <w:szCs w:val="21"/>
                    </w:rPr>
                    <w:t>23506.45</w:t>
                  </w:r>
                </w:p>
              </w:tc>
            </w:tr>
          </w:tbl>
          <w:p>
            <w:pPr>
              <w:spacing w:before="120"/>
              <w:ind w:firstLine="0" w:firstLineChars="0"/>
            </w:pPr>
          </w:p>
          <w:p>
            <w:pPr>
              <w:adjustRightInd w:val="0"/>
              <w:snapToGrid w:val="0"/>
              <w:spacing w:before="120"/>
              <w:ind w:firstLine="480" w:firstLineChars="0"/>
            </w:pPr>
            <w:bookmarkStart w:id="22" w:name="_Hlk110585545"/>
            <w:bookmarkStart w:id="23" w:name="_Hlk106289230"/>
            <w:r>
              <w:t>根据以上数据制得水平衡图如下：</w:t>
            </w:r>
          </w:p>
          <w:p>
            <w:pPr>
              <w:adjustRightInd w:val="0"/>
              <w:snapToGrid w:val="0"/>
              <w:spacing w:before="120"/>
              <w:ind w:firstLine="480"/>
              <w:jc w:val="center"/>
            </w:pPr>
            <w:r>
              <w:drawing>
                <wp:inline distT="0" distB="0" distL="114300" distR="114300">
                  <wp:extent cx="3608705" cy="3698240"/>
                  <wp:effectExtent l="0" t="0" r="10795" b="16510"/>
                  <wp:docPr id="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
                          <pic:cNvPicPr>
                            <a:picLocks noChangeAspect="1"/>
                          </pic:cNvPicPr>
                        </pic:nvPicPr>
                        <pic:blipFill>
                          <a:blip r:embed="rId26"/>
                          <a:stretch>
                            <a:fillRect/>
                          </a:stretch>
                        </pic:blipFill>
                        <pic:spPr>
                          <a:xfrm>
                            <a:off x="0" y="0"/>
                            <a:ext cx="3608705" cy="3698240"/>
                          </a:xfrm>
                          <a:prstGeom prst="rect">
                            <a:avLst/>
                          </a:prstGeom>
                          <a:noFill/>
                          <a:ln>
                            <a:noFill/>
                          </a:ln>
                        </pic:spPr>
                      </pic:pic>
                    </a:graphicData>
                  </a:graphic>
                </wp:inline>
              </w:drawing>
            </w:r>
          </w:p>
          <w:bookmarkEnd w:id="22"/>
          <w:bookmarkEnd w:id="23"/>
          <w:p>
            <w:pPr>
              <w:spacing w:before="120"/>
              <w:ind w:firstLine="0" w:firstLineChars="0"/>
              <w:jc w:val="center"/>
              <w:rPr>
                <w:b/>
                <w:kern w:val="28"/>
                <w:sz w:val="21"/>
                <w:szCs w:val="32"/>
              </w:rPr>
            </w:pPr>
            <w:r>
              <w:rPr>
                <w:b/>
                <w:kern w:val="28"/>
                <w:sz w:val="21"/>
                <w:szCs w:val="32"/>
              </w:rPr>
              <w:t>图2-6  项目水平衡图（单位：m</w:t>
            </w:r>
            <w:r>
              <w:rPr>
                <w:b/>
                <w:kern w:val="28"/>
                <w:sz w:val="21"/>
                <w:szCs w:val="32"/>
                <w:vertAlign w:val="superscript"/>
              </w:rPr>
              <w:t>3</w:t>
            </w:r>
            <w:r>
              <w:rPr>
                <w:b/>
                <w:kern w:val="28"/>
                <w:sz w:val="21"/>
                <w:szCs w:val="32"/>
              </w:rPr>
              <w:t>/d）</w:t>
            </w:r>
          </w:p>
          <w:p>
            <w:pPr>
              <w:spacing w:before="120"/>
              <w:ind w:firstLine="480"/>
            </w:pPr>
            <w:r>
              <w:t>本项目</w:t>
            </w:r>
            <w:r>
              <w:rPr>
                <w:rFonts w:hint="eastAsia"/>
              </w:rPr>
              <w:t>消毒废水、车辆清洗废水、待宰栏废水、</w:t>
            </w:r>
            <w:r>
              <w:rPr>
                <w:rFonts w:hint="eastAsia"/>
                <w:bCs/>
                <w:color w:val="000000"/>
                <w:kern w:val="2"/>
                <w:szCs w:val="22"/>
              </w:rPr>
              <w:t>生物（或碱）喷淋塔</w:t>
            </w:r>
            <w:r>
              <w:rPr>
                <w:rFonts w:hint="eastAsia"/>
              </w:rPr>
              <w:t>废水、屠宰车间废水、生活污水及初期雨水收集后排入自建污水处理站处理，处理后的出水满足《肉类加工工业水污染物排放标准》（GB13457-92）表3规定的畜类屠宰加工二级标准，均回用于厂区及周边林地浇灌</w:t>
            </w: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99" w:hRule="atLeast"/>
          <w:jc w:val="center"/>
        </w:trPr>
        <w:tc>
          <w:tcPr>
            <w:tcW w:w="865" w:type="dxa"/>
            <w:vAlign w:val="center"/>
          </w:tcPr>
          <w:p>
            <w:pPr>
              <w:pStyle w:val="18"/>
              <w:adjustRightInd w:val="0"/>
              <w:snapToGrid w:val="0"/>
              <w:spacing w:before="120" w:beforeAutospacing="0" w:after="0" w:afterAutospacing="0"/>
              <w:ind w:firstLine="0" w:firstLineChars="0"/>
              <w:jc w:val="center"/>
              <w:rPr>
                <w:rFonts w:ascii="Times New Roman" w:hAnsi="Times New Roman"/>
                <w:sz w:val="21"/>
                <w:szCs w:val="21"/>
              </w:rPr>
            </w:pPr>
            <w:r>
              <w:rPr>
                <w:rFonts w:ascii="Times New Roman" w:hAnsi="Times New Roman"/>
                <w:szCs w:val="21"/>
              </w:rPr>
              <w:t>工艺流程和产排污环节</w:t>
            </w:r>
          </w:p>
        </w:tc>
        <w:tc>
          <w:tcPr>
            <w:tcW w:w="8007" w:type="dxa"/>
            <w:tcBorders>
              <w:top w:val="single" w:color="auto" w:sz="4" w:space="0"/>
            </w:tcBorders>
          </w:tcPr>
          <w:p>
            <w:pPr>
              <w:pStyle w:val="11"/>
              <w:widowControl w:val="0"/>
              <w:spacing w:before="120" w:line="365" w:lineRule="auto"/>
              <w:ind w:right="374" w:firstLine="482"/>
              <w:rPr>
                <w:b/>
                <w:sz w:val="24"/>
              </w:rPr>
            </w:pPr>
            <w:r>
              <w:rPr>
                <w:b/>
                <w:sz w:val="24"/>
              </w:rPr>
              <w:t>1、施工期工艺流程</w:t>
            </w:r>
          </w:p>
          <w:p>
            <w:pPr>
              <w:spacing w:before="120"/>
              <w:ind w:firstLine="480"/>
            </w:pPr>
            <w:r>
              <w:rPr>
                <w:rFonts w:hint="eastAsia"/>
              </w:rPr>
              <w:t>本项目构筑物的施工包括厂区土建施工、主体工程施工、装修工程、设备安装等过程，其生产工艺流程及产污环节见图</w:t>
            </w:r>
            <w:r>
              <w:t>2-</w:t>
            </w:r>
            <w:r>
              <w:rPr>
                <w:rFonts w:hint="eastAsia"/>
              </w:rPr>
              <w:t>7所示：</w:t>
            </w:r>
          </w:p>
          <w:p>
            <w:pPr>
              <w:adjustRightInd w:val="0"/>
              <w:snapToGrid w:val="0"/>
              <w:spacing w:before="120"/>
              <w:ind w:firstLine="0" w:firstLineChars="0"/>
              <w:jc w:val="center"/>
              <w:rPr>
                <w:color w:val="000000"/>
                <w:sz w:val="21"/>
                <w:szCs w:val="21"/>
              </w:rPr>
            </w:pPr>
            <w:r>
              <w:rPr>
                <w:color w:val="000000"/>
              </w:rPr>
              <w:drawing>
                <wp:inline distT="0" distB="0" distL="0" distR="0">
                  <wp:extent cx="4239260" cy="15697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39260" cy="1569720"/>
                          </a:xfrm>
                          <a:prstGeom prst="rect">
                            <a:avLst/>
                          </a:prstGeom>
                          <a:noFill/>
                          <a:ln>
                            <a:noFill/>
                          </a:ln>
                        </pic:spPr>
                      </pic:pic>
                    </a:graphicData>
                  </a:graphic>
                </wp:inline>
              </w:drawing>
            </w:r>
          </w:p>
          <w:p>
            <w:pPr>
              <w:spacing w:before="120"/>
              <w:ind w:firstLine="0" w:firstLineChars="0"/>
              <w:jc w:val="center"/>
              <w:rPr>
                <w:b/>
                <w:color w:val="000000"/>
                <w:kern w:val="28"/>
                <w:sz w:val="21"/>
                <w:szCs w:val="32"/>
              </w:rPr>
            </w:pPr>
            <w:r>
              <w:rPr>
                <w:b/>
                <w:color w:val="000000"/>
                <w:kern w:val="28"/>
                <w:sz w:val="21"/>
                <w:szCs w:val="32"/>
              </w:rPr>
              <w:t>图2-7  施工期工艺流程及产污节点图</w:t>
            </w:r>
          </w:p>
          <w:p>
            <w:pPr>
              <w:spacing w:before="120"/>
              <w:ind w:firstLine="480"/>
            </w:pPr>
            <w:r>
              <w:rPr>
                <w:rFonts w:hint="eastAsia"/>
              </w:rPr>
              <w:t>施工期工艺流程简述：</w:t>
            </w:r>
          </w:p>
          <w:p>
            <w:pPr>
              <w:spacing w:before="120"/>
              <w:ind w:firstLine="480"/>
            </w:pPr>
            <w:r>
              <w:rPr>
                <w:rFonts w:hint="eastAsia"/>
              </w:rPr>
              <w:t>（</w:t>
            </w:r>
            <w:r>
              <w:t>1</w:t>
            </w:r>
            <w:r>
              <w:rPr>
                <w:rFonts w:hint="eastAsia"/>
              </w:rPr>
              <w:t>）土建施工</w:t>
            </w:r>
          </w:p>
          <w:p>
            <w:pPr>
              <w:spacing w:before="120"/>
              <w:ind w:firstLine="480"/>
            </w:pPr>
            <w:r>
              <w:rPr>
                <w:rFonts w:hint="eastAsia"/>
              </w:rPr>
              <w:t>根据现场踏勘，项目选址场地处于空闲状态，有杂草、林木等，施工期先场地清理，对场地进行整理，清除地表附着物，平整地皮，根据现场勘探后的规划、施工图纸进行厂区地基、供排水管网、防渗等基础建设。</w:t>
            </w:r>
          </w:p>
          <w:p>
            <w:pPr>
              <w:spacing w:before="120"/>
              <w:ind w:firstLine="480"/>
            </w:pPr>
            <w:r>
              <w:rPr>
                <w:rFonts w:hint="eastAsia"/>
              </w:rPr>
              <w:t>（</w:t>
            </w:r>
            <w:r>
              <w:t>2</w:t>
            </w:r>
            <w:r>
              <w:rPr>
                <w:rFonts w:hint="eastAsia"/>
              </w:rPr>
              <w:t>）主体施工</w:t>
            </w:r>
          </w:p>
          <w:p>
            <w:pPr>
              <w:spacing w:before="120"/>
              <w:ind w:firstLine="480"/>
            </w:pPr>
            <w:r>
              <w:rPr>
                <w:rFonts w:hint="eastAsia"/>
              </w:rPr>
              <w:t>项目主体工程建筑物厂房等为框架结构，该结构施工快，成本较低，污染影响小。在厂区地基基础完成后进行本项目各个建筑物施工，包括砌体工程、钢结构工程两个类型。</w:t>
            </w:r>
          </w:p>
          <w:p>
            <w:pPr>
              <w:spacing w:before="120"/>
              <w:ind w:firstLine="480"/>
            </w:pPr>
            <w:r>
              <w:rPr>
                <w:rFonts w:hint="eastAsia"/>
              </w:rPr>
              <w:t>（</w:t>
            </w:r>
            <w:r>
              <w:t>3</w:t>
            </w:r>
            <w:r>
              <w:rPr>
                <w:rFonts w:hint="eastAsia"/>
              </w:rPr>
              <w:t>）装修工程</w:t>
            </w:r>
          </w:p>
          <w:p>
            <w:pPr>
              <w:spacing w:before="120"/>
              <w:ind w:firstLine="480"/>
            </w:pPr>
            <w:r>
              <w:rPr>
                <w:rFonts w:hint="eastAsia"/>
              </w:rPr>
              <w:t>在项目各建筑物完成施工建设后，根据规划图纸进行内部及外部相应施工，包括抹灰工程、门窗工程、吊顶工程、涂刷工程、饰面安装工程、细部工程等。可保护建筑物各种构件免受自然侵蚀，改善隔热、隔声、防潮功能，提高建筑物的耐久性，延长建筑物的使用寿命。</w:t>
            </w:r>
          </w:p>
          <w:p>
            <w:pPr>
              <w:spacing w:before="120"/>
              <w:ind w:firstLine="480"/>
            </w:pPr>
            <w:r>
              <w:rPr>
                <w:rFonts w:hint="eastAsia"/>
              </w:rPr>
              <w:t>（</w:t>
            </w:r>
            <w:r>
              <w:t>4</w:t>
            </w:r>
            <w:r>
              <w:rPr>
                <w:rFonts w:hint="eastAsia"/>
              </w:rPr>
              <w:t>）设备安装与调试</w:t>
            </w:r>
          </w:p>
          <w:p>
            <w:pPr>
              <w:spacing w:before="120"/>
              <w:ind w:firstLine="480"/>
            </w:pPr>
            <w:r>
              <w:rPr>
                <w:rFonts w:hint="eastAsia"/>
              </w:rPr>
              <w:t>建筑施工完成后，进行设备安装与调试，将相关设施按照设计要求安装在规定的位置，如放血自动线、扯皮机等，设备安装完成后进行调试工作，待设备调试正常后，承包方交付广东创盛农业发展有限公司验收。</w:t>
            </w:r>
          </w:p>
          <w:p>
            <w:pPr>
              <w:spacing w:before="120"/>
              <w:ind w:firstLine="462"/>
              <w:rPr>
                <w:szCs w:val="21"/>
              </w:rPr>
            </w:pPr>
            <w:r>
              <w:rPr>
                <w:b/>
                <w:spacing w:val="-5"/>
              </w:rPr>
              <w:t>2、运营期工艺流程</w:t>
            </w:r>
          </w:p>
          <w:p>
            <w:pPr>
              <w:pStyle w:val="17"/>
              <w:spacing w:before="120" w:line="360" w:lineRule="auto"/>
              <w:rPr>
                <w:b/>
                <w:bCs w:val="0"/>
                <w:szCs w:val="21"/>
              </w:rPr>
            </w:pPr>
            <w:r>
              <w:rPr>
                <w:b/>
                <w:bCs w:val="0"/>
                <w:szCs w:val="21"/>
              </w:rPr>
              <mc:AlternateContent>
                <mc:Choice Requires="wpc">
                  <w:drawing>
                    <wp:inline distT="0" distB="0" distL="0" distR="0">
                      <wp:extent cx="4775200" cy="7670165"/>
                      <wp:effectExtent l="0" t="0" r="6350" b="6985"/>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 name="矩形 14"/>
                              <wps:cNvSpPr/>
                              <wps:spPr>
                                <a:xfrm>
                                  <a:off x="492460" y="82376"/>
                                  <a:ext cx="980303" cy="321277"/>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rFonts w:hint="eastAsia"/>
                                        <w:sz w:val="21"/>
                                        <w:szCs w:val="21"/>
                                      </w:rPr>
                                      <w:t>育肥牛、羊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22"/>
                              <wps:cNvCnPr>
                                <a:stCxn id="14" idx="2"/>
                              </wps:cNvCnPr>
                              <wps:spPr>
                                <a:xfrm flipH="1">
                                  <a:off x="982415" y="403653"/>
                                  <a:ext cx="164" cy="230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矩形 27"/>
                              <wps:cNvSpPr/>
                              <wps:spPr>
                                <a:xfrm>
                                  <a:off x="492910" y="625541"/>
                                  <a:ext cx="979916" cy="272382"/>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rFonts w:hint="eastAsia"/>
                                        <w:sz w:val="21"/>
                                        <w:szCs w:val="21"/>
                                      </w:rPr>
                                      <w:t>宰前处理</w:t>
                                    </w:r>
                                  </w:p>
                                </w:txbxContent>
                              </wps:txbx>
                              <wps:bodyPr rot="0" spcFirstLastPara="0" vert="horz" wrap="square" lIns="91440" tIns="45720" rIns="91440" bIns="45720" numCol="1" spcCol="0" rtlCol="0" fromWordArt="0" anchor="ctr" anchorCtr="0" forceAA="0" compatLnSpc="1">
                                <a:noAutofit/>
                              </wps:bodyPr>
                            </wps:wsp>
                            <wps:wsp>
                              <wps:cNvPr id="29" name="矩形 29"/>
                              <wps:cNvSpPr/>
                              <wps:spPr>
                                <a:xfrm>
                                  <a:off x="491805" y="1119112"/>
                                  <a:ext cx="979805" cy="271780"/>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rFonts w:hint="eastAsia"/>
                                        <w:sz w:val="21"/>
                                        <w:szCs w:val="21"/>
                                      </w:rPr>
                                      <w:t>宰前检验</w:t>
                                    </w:r>
                                  </w:p>
                                </w:txbxContent>
                              </wps:txbx>
                              <wps:bodyPr rot="0" spcFirstLastPara="0" vert="horz" wrap="square" lIns="91440" tIns="45720" rIns="91440" bIns="45720" numCol="1" spcCol="0" rtlCol="0" fromWordArt="0" anchor="ctr" anchorCtr="0" forceAA="0" compatLnSpc="1">
                                <a:noAutofit/>
                              </wps:bodyPr>
                            </wps:wsp>
                            <wps:wsp>
                              <wps:cNvPr id="30" name="矩形 30"/>
                              <wps:cNvSpPr/>
                              <wps:spPr>
                                <a:xfrm>
                                  <a:off x="492440" y="1621621"/>
                                  <a:ext cx="979170" cy="271780"/>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rFonts w:hint="eastAsia"/>
                                        <w:sz w:val="21"/>
                                        <w:szCs w:val="21"/>
                                      </w:rPr>
                                      <w:t>称重</w:t>
                                    </w:r>
                                  </w:p>
                                </w:txbxContent>
                              </wps:txbx>
                              <wps:bodyPr rot="0" spcFirstLastPara="0" vert="horz" wrap="square" lIns="91440" tIns="45720" rIns="91440" bIns="45720" numCol="1" spcCol="0" rtlCol="0" fromWordArt="0" anchor="ctr" anchorCtr="0" forceAA="0" compatLnSpc="1">
                                <a:noAutofit/>
                              </wps:bodyPr>
                            </wps:wsp>
                            <wps:wsp>
                              <wps:cNvPr id="31" name="矩形 31"/>
                              <wps:cNvSpPr/>
                              <wps:spPr>
                                <a:xfrm>
                                  <a:off x="537210" y="2132366"/>
                                  <a:ext cx="979805" cy="27114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rFonts w:hint="eastAsia"/>
                                        <w:sz w:val="21"/>
                                        <w:szCs w:val="21"/>
                                      </w:rPr>
                                      <w:t>起吊</w:t>
                                    </w:r>
                                  </w:p>
                                </w:txbxContent>
                              </wps:txbx>
                              <wps:bodyPr rot="0" spcFirstLastPara="0" vert="horz" wrap="square" lIns="91440" tIns="45720" rIns="91440" bIns="45720" numCol="1" spcCol="0" rtlCol="0" fromWordArt="0" anchor="ctr" anchorCtr="0" forceAA="0" compatLnSpc="1">
                                <a:noAutofit/>
                              </wps:bodyPr>
                            </wps:wsp>
                            <wps:wsp>
                              <wps:cNvPr id="35" name="矩形 35"/>
                              <wps:cNvSpPr/>
                              <wps:spPr>
                                <a:xfrm>
                                  <a:off x="537210" y="2645360"/>
                                  <a:ext cx="979805" cy="27114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sz w:val="21"/>
                                        <w:szCs w:val="21"/>
                                      </w:rPr>
                                      <w:t>宰杀</w:t>
                                    </w:r>
                                    <w:r>
                                      <w:rPr>
                                        <w:rFonts w:hint="eastAsia"/>
                                        <w:sz w:val="21"/>
                                        <w:szCs w:val="21"/>
                                      </w:rPr>
                                      <w:t>放血</w:t>
                                    </w:r>
                                  </w:p>
                                </w:txbxContent>
                              </wps:txbx>
                              <wps:bodyPr rot="0" spcFirstLastPara="0" vert="horz" wrap="square" lIns="91440" tIns="45720" rIns="91440" bIns="45720" numCol="1" spcCol="0" rtlCol="0" fromWordArt="0" anchor="ctr" anchorCtr="0" forceAA="0" compatLnSpc="1">
                                <a:noAutofit/>
                              </wps:bodyPr>
                            </wps:wsp>
                            <wps:wsp>
                              <wps:cNvPr id="36" name="矩形 36"/>
                              <wps:cNvSpPr/>
                              <wps:spPr>
                                <a:xfrm>
                                  <a:off x="537210" y="3170335"/>
                                  <a:ext cx="979805" cy="270510"/>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rFonts w:hint="eastAsia"/>
                                        <w:sz w:val="21"/>
                                        <w:szCs w:val="21"/>
                                      </w:rPr>
                                      <w:t>去头脚</w:t>
                                    </w:r>
                                  </w:p>
                                </w:txbxContent>
                              </wps:txbx>
                              <wps:bodyPr rot="0" spcFirstLastPara="0" vert="horz" wrap="square" lIns="91440" tIns="45720" rIns="91440" bIns="45720" numCol="1" spcCol="0" rtlCol="0" fromWordArt="0" anchor="ctr" anchorCtr="0" forceAA="0" compatLnSpc="1">
                                <a:noAutofit/>
                              </wps:bodyPr>
                            </wps:wsp>
                            <wps:wsp>
                              <wps:cNvPr id="37" name="矩形 37"/>
                              <wps:cNvSpPr/>
                              <wps:spPr>
                                <a:xfrm>
                                  <a:off x="548856" y="3672842"/>
                                  <a:ext cx="979805" cy="26987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sz w:val="21"/>
                                        <w:szCs w:val="21"/>
                                      </w:rPr>
                                      <w:t>剥</w:t>
                                    </w:r>
                                    <w:r>
                                      <w:rPr>
                                        <w:rFonts w:hint="eastAsia"/>
                                        <w:sz w:val="21"/>
                                        <w:szCs w:val="21"/>
                                      </w:rPr>
                                      <w:t>皮</w:t>
                                    </w:r>
                                  </w:p>
                                </w:txbxContent>
                              </wps:txbx>
                              <wps:bodyPr rot="0" spcFirstLastPara="0" vert="horz" wrap="square" lIns="91440" tIns="45720" rIns="91440" bIns="45720" numCol="1" spcCol="0" rtlCol="0" fromWordArt="0" anchor="ctr" anchorCtr="0" forceAA="0" compatLnSpc="1">
                                <a:noAutofit/>
                              </wps:bodyPr>
                            </wps:wsp>
                            <wps:wsp>
                              <wps:cNvPr id="38" name="矩形 38"/>
                              <wps:cNvSpPr/>
                              <wps:spPr>
                                <a:xfrm>
                                  <a:off x="548856" y="4183588"/>
                                  <a:ext cx="979805" cy="26987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 xml:space="preserve">锯胸骨、剖腹 </w:t>
                                    </w:r>
                                  </w:p>
                                </w:txbxContent>
                              </wps:txbx>
                              <wps:bodyPr rot="0" spcFirstLastPara="0" vert="horz" wrap="square" lIns="91440" tIns="45720" rIns="91440" bIns="45720" numCol="1" spcCol="0" rtlCol="0" fromWordArt="0" anchor="ctr" anchorCtr="0" forceAA="0" compatLnSpc="1">
                                <a:noAutofit/>
                              </wps:bodyPr>
                            </wps:wsp>
                            <wps:wsp>
                              <wps:cNvPr id="39" name="矩形 39"/>
                              <wps:cNvSpPr/>
                              <wps:spPr>
                                <a:xfrm>
                                  <a:off x="548856" y="4702572"/>
                                  <a:ext cx="979805" cy="26987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修整、冲淋</w:t>
                                    </w:r>
                                  </w:p>
                                </w:txbxContent>
                              </wps:txbx>
                              <wps:bodyPr rot="0" spcFirstLastPara="0" vert="horz" wrap="square" lIns="91440" tIns="45720" rIns="91440" bIns="45720" numCol="1" spcCol="0" rtlCol="0" fromWordArt="0" anchor="ctr" anchorCtr="0" forceAA="0" compatLnSpc="1">
                                <a:noAutofit/>
                              </wps:bodyPr>
                            </wps:wsp>
                            <wps:wsp>
                              <wps:cNvPr id="40" name="矩形 40"/>
                              <wps:cNvSpPr/>
                              <wps:spPr>
                                <a:xfrm>
                                  <a:off x="568331" y="5179250"/>
                                  <a:ext cx="979805" cy="264482"/>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宰后检验</w:t>
                                    </w:r>
                                  </w:p>
                                </w:txbxContent>
                              </wps:txbx>
                              <wps:bodyPr rot="0" spcFirstLastPara="0" vert="horz" wrap="square" lIns="91440" tIns="45720" rIns="91440" bIns="45720" numCol="1" spcCol="0" rtlCol="0" fromWordArt="0" anchor="ctr" anchorCtr="0" forceAA="0" compatLnSpc="1">
                                <a:noAutofit/>
                              </wps:bodyPr>
                            </wps:wsp>
                            <wps:wsp>
                              <wps:cNvPr id="41" name="矩形 41"/>
                              <wps:cNvSpPr/>
                              <wps:spPr>
                                <a:xfrm>
                                  <a:off x="568331" y="5732302"/>
                                  <a:ext cx="979805" cy="26987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冷却排酸</w:t>
                                    </w:r>
                                  </w:p>
                                </w:txbxContent>
                              </wps:txbx>
                              <wps:bodyPr rot="0" spcFirstLastPara="0" vert="horz" wrap="square" lIns="91440" tIns="45720" rIns="91440" bIns="45720" numCol="1" spcCol="0" rtlCol="0" fromWordArt="0" anchor="ctr" anchorCtr="0" forceAA="0" compatLnSpc="1">
                                <a:noAutofit/>
                              </wps:bodyPr>
                            </wps:wsp>
                            <wps:wsp>
                              <wps:cNvPr id="42" name="直接箭头连接符 42"/>
                              <wps:cNvCnPr/>
                              <wps:spPr>
                                <a:xfrm>
                                  <a:off x="982415" y="880367"/>
                                  <a:ext cx="0" cy="2304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直接箭头连接符 43"/>
                              <wps:cNvCnPr/>
                              <wps:spPr>
                                <a:xfrm>
                                  <a:off x="1009944" y="1893341"/>
                                  <a:ext cx="0" cy="229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直接箭头连接符 44"/>
                              <wps:cNvCnPr/>
                              <wps:spPr>
                                <a:xfrm>
                                  <a:off x="993468" y="1382643"/>
                                  <a:ext cx="0" cy="229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直接箭头连接符 45"/>
                              <wps:cNvCnPr/>
                              <wps:spPr>
                                <a:xfrm>
                                  <a:off x="1009944" y="2416094"/>
                                  <a:ext cx="0" cy="229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直接箭头连接符 46"/>
                              <wps:cNvCnPr/>
                              <wps:spPr>
                                <a:xfrm>
                                  <a:off x="1029821" y="3444562"/>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33" name="图片 33"/>
                                <pic:cNvPicPr>
                                  <a:picLocks noChangeAspect="1"/>
                                </pic:cNvPicPr>
                              </pic:nvPicPr>
                              <pic:blipFill>
                                <a:blip r:embed="rId28"/>
                                <a:stretch>
                                  <a:fillRect/>
                                </a:stretch>
                              </pic:blipFill>
                              <pic:spPr>
                                <a:xfrm>
                                  <a:off x="929643" y="2931739"/>
                                  <a:ext cx="164606" cy="317019"/>
                                </a:xfrm>
                                <a:prstGeom prst="rect">
                                  <a:avLst/>
                                </a:prstGeom>
                              </pic:spPr>
                            </pic:pic>
                            <wps:wsp>
                              <wps:cNvPr id="48" name="直接箭头连接符 48"/>
                              <wps:cNvCnPr/>
                              <wps:spPr>
                                <a:xfrm>
                                  <a:off x="1036480" y="3942656"/>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直接箭头连接符 49"/>
                              <wps:cNvCnPr/>
                              <wps:spPr>
                                <a:xfrm>
                                  <a:off x="1036480" y="4468067"/>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直接箭头连接符 50"/>
                              <wps:cNvCnPr/>
                              <wps:spPr>
                                <a:xfrm>
                                  <a:off x="1036480" y="4972334"/>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直接箭头连接符 52"/>
                              <wps:cNvCnPr/>
                              <wps:spPr>
                                <a:xfrm>
                                  <a:off x="1056397" y="5451583"/>
                                  <a:ext cx="0" cy="254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直接箭头连接符 53"/>
                              <wps:cNvCnPr/>
                              <wps:spPr>
                                <a:xfrm>
                                  <a:off x="1472826" y="753684"/>
                                  <a:ext cx="311216"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4" name="直接箭头连接符 54"/>
                              <wps:cNvCnPr/>
                              <wps:spPr>
                                <a:xfrm>
                                  <a:off x="1784042" y="753688"/>
                                  <a:ext cx="1977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直接箭头连接符 55"/>
                              <wps:cNvCnPr/>
                              <wps:spPr>
                                <a:xfrm>
                                  <a:off x="1029821" y="6026747"/>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直接箭头连接符 56"/>
                              <wps:cNvCnPr/>
                              <wps:spPr>
                                <a:xfrm>
                                  <a:off x="368407" y="6255763"/>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直接箭头连接符 57"/>
                              <wps:cNvCnPr/>
                              <wps:spPr>
                                <a:xfrm>
                                  <a:off x="1777627" y="6255613"/>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直接箭头连接符 58"/>
                              <wps:cNvCnPr/>
                              <wps:spPr>
                                <a:xfrm>
                                  <a:off x="1777627" y="6723376"/>
                                  <a:ext cx="0" cy="227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直接连接符 60"/>
                              <wps:cNvCnPr/>
                              <wps:spPr>
                                <a:xfrm>
                                  <a:off x="368407" y="6255303"/>
                                  <a:ext cx="1415635"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矩形 61"/>
                              <wps:cNvSpPr/>
                              <wps:spPr>
                                <a:xfrm>
                                  <a:off x="52039" y="6494115"/>
                                  <a:ext cx="672891" cy="269240"/>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jc w:val="center"/>
                                      <w:rPr>
                                        <w:sz w:val="21"/>
                                        <w:szCs w:val="21"/>
                                      </w:rPr>
                                    </w:pPr>
                                    <w:r>
                                      <w:rPr>
                                        <w:rFonts w:hint="eastAsia"/>
                                        <w:sz w:val="21"/>
                                        <w:szCs w:val="21"/>
                                      </w:rPr>
                                      <w:t>外售</w:t>
                                    </w:r>
                                  </w:p>
                                </w:txbxContent>
                              </wps:txbx>
                              <wps:bodyPr rot="0" spcFirstLastPara="0" vert="horz" wrap="square" lIns="91440" tIns="45720" rIns="91440" bIns="45720" numCol="1" spcCol="0" rtlCol="0" fromWordArt="0" anchor="ctr" anchorCtr="0" forceAA="0" compatLnSpc="1">
                                <a:noAutofit/>
                              </wps:bodyPr>
                            </wps:wsp>
                            <wps:wsp>
                              <wps:cNvPr id="62" name="矩形 62"/>
                              <wps:cNvSpPr/>
                              <wps:spPr>
                                <a:xfrm>
                                  <a:off x="1317320" y="7374631"/>
                                  <a:ext cx="979805" cy="26860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外售（冷藏）</w:t>
                                    </w:r>
                                  </w:p>
                                </w:txbxContent>
                              </wps:txbx>
                              <wps:bodyPr rot="0" spcFirstLastPara="0" vert="horz" wrap="square" lIns="91440" tIns="45720" rIns="91440" bIns="45720" numCol="1" spcCol="0" rtlCol="0" fromWordArt="0" anchor="ctr" anchorCtr="0" forceAA="0" compatLnSpc="1">
                                <a:noAutofit/>
                              </wps:bodyPr>
                            </wps:wsp>
                            <wps:wsp>
                              <wps:cNvPr id="66" name="矩形 66"/>
                              <wps:cNvSpPr/>
                              <wps:spPr>
                                <a:xfrm>
                                  <a:off x="1300844" y="6951341"/>
                                  <a:ext cx="979805" cy="267970"/>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修整、包装</w:t>
                                    </w:r>
                                  </w:p>
                                </w:txbxContent>
                              </wps:txbx>
                              <wps:bodyPr rot="0" spcFirstLastPara="0" vert="horz" wrap="square" lIns="91440" tIns="45720" rIns="91440" bIns="45720" numCol="1" spcCol="0" rtlCol="0" fromWordArt="0" anchor="ctr" anchorCtr="0" forceAA="0" compatLnSpc="1">
                                <a:noAutofit/>
                              </wps:bodyPr>
                            </wps:wsp>
                            <wps:wsp>
                              <wps:cNvPr id="67" name="矩形 67"/>
                              <wps:cNvSpPr/>
                              <wps:spPr>
                                <a:xfrm>
                                  <a:off x="1300844" y="6480830"/>
                                  <a:ext cx="979805" cy="267335"/>
                                </a:xfrm>
                                <a:prstGeom prst="rect">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剔骨、分割</w:t>
                                    </w:r>
                                  </w:p>
                                </w:txbxContent>
                              </wps:txbx>
                              <wps:bodyPr rot="0" spcFirstLastPara="0" vert="horz" wrap="square" lIns="91440" tIns="45720" rIns="91440" bIns="45720" numCol="1" spcCol="0" rtlCol="0" fromWordArt="0" anchor="ctr" anchorCtr="0" forceAA="0" compatLnSpc="1">
                                <a:noAutofit/>
                              </wps:bodyPr>
                            </wps:wsp>
                            <wps:wsp>
                              <wps:cNvPr id="69" name="直接箭头连接符 69"/>
                              <wps:cNvCnPr>
                                <a:stCxn id="66" idx="2"/>
                              </wps:cNvCnPr>
                              <wps:spPr>
                                <a:xfrm flipH="1">
                                  <a:off x="1784042" y="7219311"/>
                                  <a:ext cx="6705" cy="1546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矩形 71"/>
                              <wps:cNvSpPr/>
                              <wps:spPr>
                                <a:xfrm>
                                  <a:off x="2012237" y="625374"/>
                                  <a:ext cx="1950163" cy="2717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牛、羊粪便及废水、噪声</w:t>
                                    </w:r>
                                  </w:p>
                                </w:txbxContent>
                              </wps:txbx>
                              <wps:bodyPr rot="0" spcFirstLastPara="0" vert="horz" wrap="square" lIns="91440" tIns="45720" rIns="91440" bIns="45720" numCol="1" spcCol="0" rtlCol="0" fromWordArt="0" anchor="ctr" anchorCtr="0" forceAA="0" compatLnSpc="1">
                                <a:noAutofit/>
                              </wps:bodyPr>
                            </wps:wsp>
                            <wps:wsp>
                              <wps:cNvPr id="72" name="直接箭头连接符 72"/>
                              <wps:cNvCnPr/>
                              <wps:spPr>
                                <a:xfrm>
                                  <a:off x="1528661" y="2794459"/>
                                  <a:ext cx="4530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矩形 73"/>
                              <wps:cNvSpPr/>
                              <wps:spPr>
                                <a:xfrm>
                                  <a:off x="1998277" y="2658464"/>
                                  <a:ext cx="679019" cy="2711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牛、羊血</w:t>
                                    </w:r>
                                  </w:p>
                                </w:txbxContent>
                              </wps:txbx>
                              <wps:bodyPr rot="0" spcFirstLastPara="0" vert="horz" wrap="square" lIns="91440" tIns="45720" rIns="91440" bIns="45720" numCol="1" spcCol="0" rtlCol="0" fromWordArt="0" anchor="ctr" anchorCtr="0" forceAA="0" compatLnSpc="1">
                                <a:noAutofit/>
                              </wps:bodyPr>
                            </wps:wsp>
                            <wps:wsp>
                              <wps:cNvPr id="74" name="直接箭头连接符 74"/>
                              <wps:cNvCnPr/>
                              <wps:spPr>
                                <a:xfrm>
                                  <a:off x="2622845" y="2802422"/>
                                  <a:ext cx="3839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矩形 75"/>
                              <wps:cNvSpPr/>
                              <wps:spPr>
                                <a:xfrm>
                                  <a:off x="3003497" y="2676479"/>
                                  <a:ext cx="464631" cy="2705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出售</w:t>
                                    </w:r>
                                  </w:p>
                                </w:txbxContent>
                              </wps:txbx>
                              <wps:bodyPr rot="0" spcFirstLastPara="0" vert="horz" wrap="square" lIns="91440" tIns="45720" rIns="91440" bIns="45720" numCol="1" spcCol="0" rtlCol="0" fromWordArt="0" anchor="ctr" anchorCtr="0" forceAA="0" compatLnSpc="1">
                                <a:noAutofit/>
                              </wps:bodyPr>
                            </wps:wsp>
                            <wps:wsp>
                              <wps:cNvPr id="76" name="矩形 76"/>
                              <wps:cNvSpPr/>
                              <wps:spPr>
                                <a:xfrm>
                                  <a:off x="2008661" y="3156012"/>
                                  <a:ext cx="891058" cy="2705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 xml:space="preserve">牛、羊头蹄脚 </w:t>
                                    </w:r>
                                  </w:p>
                                </w:txbxContent>
                              </wps:txbx>
                              <wps:bodyPr rot="0" spcFirstLastPara="0" vert="horz" wrap="square" lIns="91440" tIns="45720" rIns="91440" bIns="45720" numCol="1" spcCol="0" rtlCol="0" fromWordArt="0" anchor="ctr" anchorCtr="0" forceAA="0" compatLnSpc="1">
                                <a:noAutofit/>
                              </wps:bodyPr>
                            </wps:wsp>
                            <wps:wsp>
                              <wps:cNvPr id="77" name="直接箭头连接符 77"/>
                              <wps:cNvCnPr/>
                              <wps:spPr>
                                <a:xfrm>
                                  <a:off x="2798254" y="3300180"/>
                                  <a:ext cx="383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矩形 78"/>
                              <wps:cNvSpPr/>
                              <wps:spPr>
                                <a:xfrm>
                                  <a:off x="3181793" y="3173547"/>
                                  <a:ext cx="500519" cy="2525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出售</w:t>
                                    </w:r>
                                  </w:p>
                                </w:txbxContent>
                              </wps:txbx>
                              <wps:bodyPr rot="0" spcFirstLastPara="0" vert="horz" wrap="square" lIns="91440" tIns="45720" rIns="91440" bIns="45720" numCol="1" spcCol="0" rtlCol="0" fromWordArt="0" anchor="ctr" anchorCtr="0" forceAA="0" compatLnSpc="1">
                                <a:noAutofit/>
                              </wps:bodyPr>
                            </wps:wsp>
                            <wps:wsp>
                              <wps:cNvPr id="79" name="直接箭头连接符 79"/>
                              <wps:cNvCnPr/>
                              <wps:spPr>
                                <a:xfrm>
                                  <a:off x="1545522" y="3300180"/>
                                  <a:ext cx="452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矩形 80"/>
                              <wps:cNvSpPr/>
                              <wps:spPr>
                                <a:xfrm>
                                  <a:off x="2012237" y="3652292"/>
                                  <a:ext cx="728224" cy="2705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牛、羊皮</w:t>
                                    </w:r>
                                  </w:p>
                                </w:txbxContent>
                              </wps:txbx>
                              <wps:bodyPr rot="0" spcFirstLastPara="0" vert="horz" wrap="square" lIns="91440" tIns="45720" rIns="91440" bIns="45720" numCol="1" spcCol="0" rtlCol="0" fromWordArt="0" anchor="ctr" anchorCtr="0" forceAA="0" compatLnSpc="1">
                                <a:noAutofit/>
                              </wps:bodyPr>
                            </wps:wsp>
                            <wps:wsp>
                              <wps:cNvPr id="81" name="直接箭头连接符 81"/>
                              <wps:cNvCnPr/>
                              <wps:spPr>
                                <a:xfrm>
                                  <a:off x="2677296" y="3796326"/>
                                  <a:ext cx="383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矩形 82"/>
                              <wps:cNvSpPr/>
                              <wps:spPr>
                                <a:xfrm>
                                  <a:off x="3152813" y="3673163"/>
                                  <a:ext cx="464185" cy="269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出售</w:t>
                                    </w:r>
                                  </w:p>
                                </w:txbxContent>
                              </wps:txbx>
                              <wps:bodyPr rot="0" spcFirstLastPara="0" vert="horz" wrap="square" lIns="91440" tIns="45720" rIns="91440" bIns="45720" numCol="1" spcCol="0" rtlCol="0" fromWordArt="0" anchor="ctr" anchorCtr="0" forceAA="0" compatLnSpc="1">
                                <a:noAutofit/>
                              </wps:bodyPr>
                            </wps:wsp>
                            <wps:wsp>
                              <wps:cNvPr id="83" name="矩形 83"/>
                              <wps:cNvSpPr/>
                              <wps:spPr>
                                <a:xfrm>
                                  <a:off x="1888667" y="4160525"/>
                                  <a:ext cx="484134" cy="269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内脏</w:t>
                                    </w:r>
                                  </w:p>
                                </w:txbxContent>
                              </wps:txbx>
                              <wps:bodyPr rot="0" spcFirstLastPara="0" vert="horz" wrap="square" lIns="91440" tIns="45720" rIns="91440" bIns="45720" numCol="1" spcCol="0" rtlCol="0" fromWordArt="0" anchor="ctr" anchorCtr="0" forceAA="0" compatLnSpc="1">
                                <a:noAutofit/>
                              </wps:bodyPr>
                            </wps:wsp>
                            <wps:wsp>
                              <wps:cNvPr id="84" name="直接箭头连接符 84"/>
                              <wps:cNvCnPr/>
                              <wps:spPr>
                                <a:xfrm>
                                  <a:off x="2230450" y="4295758"/>
                                  <a:ext cx="2625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矩形 85"/>
                              <wps:cNvSpPr/>
                              <wps:spPr>
                                <a:xfrm>
                                  <a:off x="2740461" y="3975325"/>
                                  <a:ext cx="1155737" cy="2692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固废、废水、废气</w:t>
                                    </w:r>
                                  </w:p>
                                </w:txbxContent>
                              </wps:txbx>
                              <wps:bodyPr rot="0" spcFirstLastPara="0" vert="horz" wrap="square" lIns="91440" tIns="45720" rIns="91440" bIns="45720" numCol="1" spcCol="0" rtlCol="0" fromWordArt="0" anchor="ctr" anchorCtr="0" forceAA="0" compatLnSpc="1">
                                <a:noAutofit/>
                              </wps:bodyPr>
                            </wps:wsp>
                            <wps:wsp>
                              <wps:cNvPr id="86" name="直接箭头连接符 86"/>
                              <wps:cNvCnPr/>
                              <wps:spPr>
                                <a:xfrm>
                                  <a:off x="1503602" y="4821370"/>
                                  <a:ext cx="31115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7" name="直接箭头连接符 87"/>
                              <wps:cNvCnPr/>
                              <wps:spPr>
                                <a:xfrm>
                                  <a:off x="1814752" y="4821370"/>
                                  <a:ext cx="197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矩形 88"/>
                              <wps:cNvSpPr/>
                              <wps:spPr>
                                <a:xfrm>
                                  <a:off x="2028190" y="4673600"/>
                                  <a:ext cx="871220" cy="4978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废水（含血、</w:t>
                                    </w:r>
                                  </w:p>
                                  <w:p>
                                    <w:pPr>
                                      <w:spacing w:before="0" w:beforeLines="0" w:line="0" w:lineRule="atLeast"/>
                                      <w:ind w:firstLine="0" w:firstLineChars="0"/>
                                      <w:rPr>
                                        <w:sz w:val="21"/>
                                        <w:szCs w:val="21"/>
                                      </w:rPr>
                                    </w:pPr>
                                    <w:r>
                                      <w:rPr>
                                        <w:rFonts w:hint="eastAsia"/>
                                        <w:sz w:val="21"/>
                                        <w:szCs w:val="21"/>
                                      </w:rPr>
                                      <w:t>骨渣、毛等）</w:t>
                                    </w:r>
                                  </w:p>
                                </w:txbxContent>
                              </wps:txbx>
                              <wps:bodyPr rot="0" spcFirstLastPara="0" vert="horz" wrap="square" lIns="91440" tIns="45720" rIns="91440" bIns="45720" numCol="1" spcCol="0" rtlCol="0" fromWordArt="0" anchor="ctr" anchorCtr="0" forceAA="0" compatLnSpc="1">
                                <a:noAutofit/>
                              </wps:bodyPr>
                            </wps:wsp>
                            <wps:wsp>
                              <wps:cNvPr id="90" name="直接箭头连接符 90"/>
                              <wps:cNvCnPr/>
                              <wps:spPr>
                                <a:xfrm>
                                  <a:off x="2677296" y="5314125"/>
                                  <a:ext cx="197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矩形 91"/>
                              <wps:cNvSpPr/>
                              <wps:spPr>
                                <a:xfrm>
                                  <a:off x="2894657" y="5173222"/>
                                  <a:ext cx="1018649" cy="2705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无害化处理</w:t>
                                    </w:r>
                                  </w:p>
                                </w:txbxContent>
                              </wps:txbx>
                              <wps:bodyPr rot="0" spcFirstLastPara="0" vert="horz" wrap="square" lIns="91440" tIns="45720" rIns="91440" bIns="45720" numCol="1" spcCol="0" rtlCol="0" fromWordArt="0" anchor="ctr" anchorCtr="0" forceAA="0" compatLnSpc="1">
                                <a:noAutofit/>
                              </wps:bodyPr>
                            </wps:wsp>
                            <wps:wsp>
                              <wps:cNvPr id="92" name="矩形 92"/>
                              <wps:cNvSpPr/>
                              <wps:spPr>
                                <a:xfrm>
                                  <a:off x="1106538" y="5471411"/>
                                  <a:ext cx="750041" cy="2540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16"/>
                                        <w:szCs w:val="16"/>
                                      </w:rPr>
                                    </w:pPr>
                                    <w:r>
                                      <w:rPr>
                                        <w:rFonts w:hint="eastAsia"/>
                                        <w:sz w:val="16"/>
                                        <w:szCs w:val="16"/>
                                      </w:rPr>
                                      <w:t>合格胴体</w:t>
                                    </w:r>
                                  </w:p>
                                </w:txbxContent>
                              </wps:txbx>
                              <wps:bodyPr rot="0" spcFirstLastPara="0" vert="horz" wrap="square" lIns="91440" tIns="45720" rIns="91440" bIns="45720" numCol="1" spcCol="0" rtlCol="0" fromWordArt="0" anchor="ctr" anchorCtr="0" forceAA="0" compatLnSpc="1">
                                <a:noAutofit/>
                              </wps:bodyPr>
                            </wps:wsp>
                            <wps:wsp>
                              <wps:cNvPr id="93" name="矩形 93"/>
                              <wps:cNvSpPr/>
                              <wps:spPr>
                                <a:xfrm>
                                  <a:off x="1153297" y="6016779"/>
                                  <a:ext cx="828453" cy="235041"/>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16"/>
                                        <w:szCs w:val="16"/>
                                      </w:rPr>
                                    </w:pPr>
                                    <w:r>
                                      <w:rPr>
                                        <w:rFonts w:hint="eastAsia"/>
                                        <w:sz w:val="16"/>
                                        <w:szCs w:val="16"/>
                                      </w:rPr>
                                      <w:t>部分分割加工</w:t>
                                    </w:r>
                                  </w:p>
                                </w:txbxContent>
                              </wps:txbx>
                              <wps:bodyPr rot="0" spcFirstLastPara="0" vert="horz" wrap="square" lIns="91440" tIns="45720" rIns="91440" bIns="45720" numCol="1" spcCol="0" rtlCol="0" fromWordArt="0" anchor="ctr" anchorCtr="0" forceAA="0" compatLnSpc="1">
                                <a:noAutofit/>
                              </wps:bodyPr>
                            </wps:wsp>
                            <wps:wsp>
                              <wps:cNvPr id="94" name="矩形 94"/>
                              <wps:cNvSpPr/>
                              <wps:spPr>
                                <a:xfrm>
                                  <a:off x="66157" y="6026459"/>
                                  <a:ext cx="863486" cy="222416"/>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16"/>
                                        <w:szCs w:val="16"/>
                                      </w:rPr>
                                    </w:pPr>
                                    <w:r>
                                      <w:rPr>
                                        <w:sz w:val="16"/>
                                        <w:szCs w:val="16"/>
                                      </w:rPr>
                                      <w:t>部分</w:t>
                                    </w:r>
                                    <w:r>
                                      <w:rPr>
                                        <w:rFonts w:hint="eastAsia"/>
                                        <w:sz w:val="16"/>
                                        <w:szCs w:val="16"/>
                                      </w:rPr>
                                      <w:t>直接出售</w:t>
                                    </w:r>
                                  </w:p>
                                </w:txbxContent>
                              </wps:txbx>
                              <wps:bodyPr rot="0" spcFirstLastPara="0" vert="horz" wrap="square" lIns="91440" tIns="45720" rIns="91440" bIns="45720" numCol="1" spcCol="0" rtlCol="0" fromWordArt="0" anchor="ctr" anchorCtr="0" forceAA="0" compatLnSpc="1">
                                <a:noAutofit/>
                              </wps:bodyPr>
                            </wps:wsp>
                            <wps:wsp>
                              <wps:cNvPr id="95" name="矩形 95"/>
                              <wps:cNvSpPr/>
                              <wps:spPr>
                                <a:xfrm>
                                  <a:off x="2740461" y="6483207"/>
                                  <a:ext cx="727667" cy="2698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牛、羊骨</w:t>
                                    </w:r>
                                  </w:p>
                                </w:txbxContent>
                              </wps:txbx>
                              <wps:bodyPr rot="0" spcFirstLastPara="0" vert="horz" wrap="square" lIns="91440" tIns="45720" rIns="91440" bIns="45720" numCol="1" spcCol="0" rtlCol="0" fromWordArt="0" anchor="ctr" anchorCtr="0" forceAA="0" compatLnSpc="1">
                                <a:noAutofit/>
                              </wps:bodyPr>
                            </wps:wsp>
                            <wps:wsp>
                              <wps:cNvPr id="96" name="直接箭头连接符 96"/>
                              <wps:cNvCnPr/>
                              <wps:spPr>
                                <a:xfrm>
                                  <a:off x="3529766" y="6627817"/>
                                  <a:ext cx="383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矩形 97"/>
                              <wps:cNvSpPr/>
                              <wps:spPr>
                                <a:xfrm>
                                  <a:off x="3913306" y="6501452"/>
                                  <a:ext cx="500380" cy="2520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出售</w:t>
                                    </w:r>
                                  </w:p>
                                </w:txbxContent>
                              </wps:txbx>
                              <wps:bodyPr rot="0" spcFirstLastPara="0" vert="horz" wrap="square" lIns="91440" tIns="45720" rIns="91440" bIns="45720" numCol="1" spcCol="0" rtlCol="0" fromWordArt="0" anchor="ctr" anchorCtr="0" forceAA="0" compatLnSpc="1">
                                <a:noAutofit/>
                              </wps:bodyPr>
                            </wps:wsp>
                            <wps:wsp>
                              <wps:cNvPr id="98" name="直接箭头连接符 98"/>
                              <wps:cNvCnPr/>
                              <wps:spPr>
                                <a:xfrm>
                                  <a:off x="2276911" y="6627817"/>
                                  <a:ext cx="452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矩形 99"/>
                              <wps:cNvSpPr/>
                              <wps:spPr>
                                <a:xfrm>
                                  <a:off x="1728713" y="5086017"/>
                                  <a:ext cx="749935" cy="254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16"/>
                                        <w:szCs w:val="16"/>
                                      </w:rPr>
                                    </w:pPr>
                                    <w:r>
                                      <w:rPr>
                                        <w:rFonts w:hint="eastAsia"/>
                                        <w:sz w:val="16"/>
                                        <w:szCs w:val="16"/>
                                      </w:rPr>
                                      <w:t>不合格胴体</w:t>
                                    </w:r>
                                  </w:p>
                                </w:txbxContent>
                              </wps:txbx>
                              <wps:bodyPr rot="0" spcFirstLastPara="0" vert="horz" wrap="square" lIns="91440" tIns="45720" rIns="91440" bIns="45720" numCol="1" spcCol="0" rtlCol="0" fromWordArt="0" anchor="ctr" anchorCtr="0" forceAA="0" compatLnSpc="1">
                                <a:noAutofit/>
                              </wps:bodyPr>
                            </wps:wsp>
                            <wps:wsp>
                              <wps:cNvPr id="100" name="直接箭头连接符 100"/>
                              <wps:cNvCnPr/>
                              <wps:spPr>
                                <a:xfrm>
                                  <a:off x="1528661" y="3796303"/>
                                  <a:ext cx="452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直接箭头连接符 101"/>
                              <wps:cNvCnPr/>
                              <wps:spPr>
                                <a:xfrm>
                                  <a:off x="1548136" y="4295735"/>
                                  <a:ext cx="4332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直接箭头连接符 102"/>
                              <wps:cNvCnPr/>
                              <wps:spPr>
                                <a:xfrm>
                                  <a:off x="2508344" y="4096200"/>
                                  <a:ext cx="262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直接箭头连接符 103"/>
                              <wps:cNvCnPr>
                                <a:endCxn id="109" idx="1"/>
                              </wps:cNvCnPr>
                              <wps:spPr>
                                <a:xfrm>
                                  <a:off x="2508344" y="4482096"/>
                                  <a:ext cx="608274" cy="55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直接箭头连接符 104"/>
                              <wps:cNvCnPr/>
                              <wps:spPr>
                                <a:xfrm>
                                  <a:off x="4438650" y="4882146"/>
                                  <a:ext cx="0" cy="242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直接连接符 105"/>
                              <wps:cNvCnPr/>
                              <wps:spPr>
                                <a:xfrm flipH="1">
                                  <a:off x="2508344" y="4095024"/>
                                  <a:ext cx="10795" cy="38675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矩形 106"/>
                              <wps:cNvSpPr/>
                              <wps:spPr>
                                <a:xfrm>
                                  <a:off x="3839826" y="4709744"/>
                                  <a:ext cx="941724" cy="2686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sz w:val="21"/>
                                        <w:szCs w:val="21"/>
                                      </w:rPr>
                                      <w:t>牛</w:t>
                                    </w:r>
                                    <w:r>
                                      <w:rPr>
                                        <w:rFonts w:hint="eastAsia"/>
                                        <w:sz w:val="21"/>
                                        <w:szCs w:val="21"/>
                                      </w:rPr>
                                      <w:t>、羊副产品</w:t>
                                    </w:r>
                                  </w:p>
                                </w:txbxContent>
                              </wps:txbx>
                              <wps:bodyPr rot="0" spcFirstLastPara="0" vert="horz" wrap="square" lIns="91440" tIns="45720" rIns="91440" bIns="45720" numCol="1" spcCol="0" rtlCol="0" fromWordArt="0" anchor="ctr" anchorCtr="0" forceAA="0" compatLnSpc="1">
                                <a:noAutofit/>
                              </wps:bodyPr>
                            </wps:wsp>
                            <wps:wsp>
                              <wps:cNvPr id="107" name="矩形 107"/>
                              <wps:cNvSpPr/>
                              <wps:spPr>
                                <a:xfrm>
                                  <a:off x="4231642" y="5113863"/>
                                  <a:ext cx="521333" cy="2692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0"/>
                                        <w:szCs w:val="21"/>
                                      </w:rPr>
                                    </w:pPr>
                                    <w:r>
                                      <w:rPr>
                                        <w:rFonts w:hint="eastAsia"/>
                                        <w:sz w:val="20"/>
                                        <w:szCs w:val="21"/>
                                      </w:rPr>
                                      <w:t>出售</w:t>
                                    </w:r>
                                  </w:p>
                                </w:txbxContent>
                              </wps:txbx>
                              <wps:bodyPr rot="0" spcFirstLastPara="0" vert="horz" wrap="square" lIns="91440" tIns="45720" rIns="91440" bIns="45720" numCol="1" spcCol="0" rtlCol="0" fromWordArt="0" anchor="ctr" anchorCtr="0" forceAA="0" compatLnSpc="1">
                                <a:noAutofit/>
                              </wps:bodyPr>
                            </wps:wsp>
                            <wps:wsp>
                              <wps:cNvPr id="108" name="直接箭头连接符 108"/>
                              <wps:cNvCnPr/>
                              <wps:spPr>
                                <a:xfrm>
                                  <a:off x="1545522" y="5314137"/>
                                  <a:ext cx="1106805"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9" name="矩形 109"/>
                              <wps:cNvSpPr/>
                              <wps:spPr>
                                <a:xfrm>
                                  <a:off x="3116618" y="4361554"/>
                                  <a:ext cx="500380" cy="2520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检</w:t>
                                    </w:r>
                                    <w:r>
                                      <w:rPr>
                                        <w:sz w:val="21"/>
                                        <w:szCs w:val="21"/>
                                      </w:rPr>
                                      <w:t>疫</w:t>
                                    </w:r>
                                  </w:p>
                                </w:txbxContent>
                              </wps:txbx>
                              <wps:bodyPr rot="0" spcFirstLastPara="0" vert="horz" wrap="square" lIns="91440" tIns="45720" rIns="91440" bIns="45720" numCol="1" spcCol="0" rtlCol="0" fromWordArt="0" anchor="ctr" anchorCtr="0" forceAA="0" compatLnSpc="1">
                                <a:noAutofit/>
                              </wps:bodyPr>
                            </wps:wsp>
                            <wps:wsp>
                              <wps:cNvPr id="110" name="矩形 110"/>
                              <wps:cNvSpPr/>
                              <wps:spPr>
                                <a:xfrm>
                                  <a:off x="3047025" y="4741840"/>
                                  <a:ext cx="620100" cy="2692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不</w:t>
                                    </w:r>
                                    <w:r>
                                      <w:rPr>
                                        <w:sz w:val="21"/>
                                        <w:szCs w:val="21"/>
                                      </w:rPr>
                                      <w:t>合格</w:t>
                                    </w:r>
                                  </w:p>
                                </w:txbxContent>
                              </wps:txbx>
                              <wps:bodyPr rot="0" spcFirstLastPara="0" vert="horz" wrap="square" lIns="91440" tIns="45720" rIns="91440" bIns="45720" numCol="1" spcCol="0" rtlCol="0" fromWordArt="0" anchor="ctr" anchorCtr="0" forceAA="0" compatLnSpc="1">
                                <a:noAutofit/>
                              </wps:bodyPr>
                            </wps:wsp>
                            <wps:wsp>
                              <wps:cNvPr id="111" name="直接箭头连接符 111"/>
                              <wps:cNvCnPr/>
                              <wps:spPr>
                                <a:xfrm>
                                  <a:off x="3536223" y="4485244"/>
                                  <a:ext cx="607695" cy="5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直接箭头连接符 113"/>
                              <wps:cNvCnPr/>
                              <wps:spPr>
                                <a:xfrm>
                                  <a:off x="4428150" y="4528480"/>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 name="直接箭头连接符 192"/>
                              <wps:cNvCnPr/>
                              <wps:spPr>
                                <a:xfrm>
                                  <a:off x="3331505" y="4574835"/>
                                  <a:ext cx="0" cy="195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直接箭头连接符 193"/>
                              <wps:cNvCnPr/>
                              <wps:spPr>
                                <a:xfrm>
                                  <a:off x="3311185" y="4954565"/>
                                  <a:ext cx="0" cy="274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矩形 194"/>
                              <wps:cNvSpPr/>
                              <wps:spPr>
                                <a:xfrm>
                                  <a:off x="4218600" y="4361554"/>
                                  <a:ext cx="534375" cy="2692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sz w:val="21"/>
                                        <w:szCs w:val="21"/>
                                      </w:rPr>
                                    </w:pPr>
                                    <w:r>
                                      <w:rPr>
                                        <w:rFonts w:hint="eastAsia"/>
                                        <w:sz w:val="21"/>
                                        <w:szCs w:val="21"/>
                                      </w:rPr>
                                      <w:t>合</w:t>
                                    </w:r>
                                    <w:r>
                                      <w:rPr>
                                        <w:sz w:val="21"/>
                                        <w:szCs w:val="21"/>
                                      </w:rPr>
                                      <w:t>格</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603.95pt;width:376pt;" coordsize="4775200,7670165" editas="canvas" o:gfxdata="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">
                      <o:lock v:ext="edit" aspectratio="f"/>
                      <v:shape id="_x0000_s1026" o:spid="_x0000_s1026" style="position:absolute;left:0;top:0;height:7670165;width:4775200;" fillcolor="#FFFFFF" filled="t" stroked="f" coordsize="21600,21600" o:gfxdata="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">
                        <v:fill on="t" focussize="0,0"/>
                        <v:stroke on="f"/>
                        <v:imagedata o:title=""/>
                        <o:lock v:ext="edit" aspectratio="t"/>
                      </v:shape>
                      <v:rect id="_x0000_s1026" o:spid="_x0000_s1026" o:spt="1" style="position:absolute;left:492460;top:82376;height:321277;width:980303;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ChWpbTAAAABgEAAA8AAAAAAAAAAQAgAAAAIgAA&#10;AGRycy9kb3ducmV2LnhtbFBLAQIUABQAAAAIAIdO4kAPxGU4fwIAAAkFAAAOAAAAAAAAAAEAIAAA&#10;ACIBAABkcnMvZTJvRG9jLnhtbFBLBQYAAAAABgAGAFkBAAATBg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rFonts w:hint="eastAsia"/>
                                  <w:sz w:val="21"/>
                                  <w:szCs w:val="21"/>
                                </w:rPr>
                                <w:t>育肥牛、羊</w:t>
                              </w:r>
                            </w:p>
                          </w:txbxContent>
                        </v:textbox>
                      </v:rect>
                      <v:shape id="_x0000_s1026" o:spid="_x0000_s1026" o:spt="32" type="#_x0000_t32" style="position:absolute;left:982415;top:403653;flip:x;height:230661;width:164;" filled="f" stroked="t" coordsize="21600,21600" o:gfxdata="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3vq3H1QAAAAYBAAAPAAAAAAAAAAEAIAAAACIAAABkcnMvZG93bnJldi54bWxQSwECFAAUAAAA&#10;CACHTuJA+6CEEioCAAAfBAAADgAAAAAAAAABACAAAAAkAQAAZHJzL2Uyb0RvYy54bWxQSwUGAAAA&#10;AAYABgBZAQAAwAUAAAAA&#10;">
                        <v:fill on="f" focussize="0,0"/>
                        <v:stroke weight="0.5pt" color="#000000 [3200]" miterlimit="8" joinstyle="miter" endarrow="block"/>
                        <v:imagedata o:title=""/>
                        <o:lock v:ext="edit" aspectratio="f"/>
                      </v:shape>
                      <v:rect id="_x0000_s1026" o:spid="_x0000_s1026" o:spt="1" style="position:absolute;left:492910;top:625541;height:272382;width:979916;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oVqW0wAAAAYBAAAPAAAAAAAAAAEAIAAAACIAAABkcnMvZG93bnJldi54&#10;bWxQSwECFAAUAAAACACHTuJAz1TjWHECAADaBAAADgAAAAAAAAABACAAAAAiAQAAZHJzL2Uyb0Rv&#10;Yy54bWxQSwUGAAAAAAYABgBZAQAABQY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rFonts w:hint="eastAsia"/>
                                  <w:sz w:val="21"/>
                                  <w:szCs w:val="21"/>
                                </w:rPr>
                                <w:t>宰前处理</w:t>
                              </w:r>
                            </w:p>
                          </w:txbxContent>
                        </v:textbox>
                      </v:rect>
                      <v:rect id="_x0000_s1026" o:spid="_x0000_s1026" o:spt="1" style="position:absolute;left:491805;top:1119112;height:271780;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hWpbTAAAABgEAAA8AAAAAAAAAAQAgAAAAIgAAAGRycy9kb3ducmV2Lnht&#10;bFBLAQIUABQAAAAIAIdO4kDCniC7cAIAANsEAAAOAAAAAAAAAAEAIAAAACIBAABkcnMvZTJvRG9j&#10;LnhtbFBLBQYAAAAABgAGAFkBAAAEBg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rFonts w:hint="eastAsia"/>
                                  <w:sz w:val="21"/>
                                  <w:szCs w:val="21"/>
                                </w:rPr>
                                <w:t>宰前检验</w:t>
                              </w:r>
                            </w:p>
                          </w:txbxContent>
                        </v:textbox>
                      </v:rect>
                      <v:rect id="_x0000_s1026" o:spid="_x0000_s1026" o:spt="1" style="position:absolute;left:492440;top:1621621;height:271780;width:979170;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woVqW0wAAAAYBAAAPAAAAAAAAAAEAIAAAACIAAABkcnMvZG93bnJldi54bWxQ&#10;SwECFAAUAAAACACHTuJA4Dta1G4CAADbBAAADgAAAAAAAAABACAAAAAiAQAAZHJzL2Uyb0RvYy54&#10;bWxQSwUGAAAAAAYABgBZAQAAAgY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rFonts w:hint="eastAsia"/>
                                  <w:sz w:val="21"/>
                                  <w:szCs w:val="21"/>
                                </w:rPr>
                                <w:t>称重</w:t>
                              </w:r>
                            </w:p>
                          </w:txbxContent>
                        </v:textbox>
                      </v:rect>
                      <v:rect id="_x0000_s1026" o:spid="_x0000_s1026" o:spt="1" style="position:absolute;left:537210;top:2132366;height:27114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hWpbTAAAABgEAAA8AAAAAAAAAAQAgAAAAIgAAAGRycy9kb3ducmV2Lnht&#10;bFBLAQIUABQAAAAIAIdO4kD8Em7ncAIAANsEAAAOAAAAAAAAAAEAIAAAACIBAABkcnMvZTJvRG9j&#10;LnhtbFBLBQYAAAAABgAGAFkBAAAEBg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rFonts w:hint="eastAsia"/>
                                  <w:sz w:val="21"/>
                                  <w:szCs w:val="21"/>
                                </w:rPr>
                                <w:t>起吊</w:t>
                              </w:r>
                            </w:p>
                          </w:txbxContent>
                        </v:textbox>
                      </v:rect>
                      <v:rect id="_x0000_s1026" o:spid="_x0000_s1026" o:spt="1" style="position:absolute;left:537210;top:2645360;height:27114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ChWpbTAAAABgEAAA8AAAAAAAAAAQAgAAAAIgAAAGRycy9kb3ducmV2&#10;LnhtbFBLAQIUABQAAAAIAIdO4kDm/cS6cwIAANsEAAAOAAAAAAAAAAEAIAAAACIBAABkcnMvZTJv&#10;RG9jLnhtbFBLBQYAAAAABgAGAFkBAAAHBg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sz w:val="21"/>
                                  <w:szCs w:val="21"/>
                                </w:rPr>
                                <w:t>宰杀</w:t>
                              </w:r>
                              <w:r>
                                <w:rPr>
                                  <w:rFonts w:hint="eastAsia"/>
                                  <w:sz w:val="21"/>
                                  <w:szCs w:val="21"/>
                                </w:rPr>
                                <w:t>放血</w:t>
                              </w:r>
                            </w:p>
                          </w:txbxContent>
                        </v:textbox>
                      </v:rect>
                      <v:rect id="_x0000_s1026" o:spid="_x0000_s1026" o:spt="1" style="position:absolute;left:537210;top:3170335;height:270510;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hWpbTAAAABgEAAA8AAAAAAAAAAQAgAAAAIgAAAGRycy9kb3ducmV2Lnht&#10;bFBLAQIUABQAAAAIAIdO4kCb6rttcAIAANsEAAAOAAAAAAAAAAEAIAAAACIBAABkcnMvZTJvRG9j&#10;LnhtbFBLBQYAAAAABgAGAFkBAAAEBg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rFonts w:hint="eastAsia"/>
                                  <w:sz w:val="21"/>
                                  <w:szCs w:val="21"/>
                                </w:rPr>
                                <w:t>去头脚</w:t>
                              </w:r>
                            </w:p>
                          </w:txbxContent>
                        </v:textbox>
                      </v:rect>
                      <v:rect id="_x0000_s1026" o:spid="_x0000_s1026" o:spt="1" style="position:absolute;left:548856;top:3672842;height:26987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oVqW0wAAAAYBAAAPAAAAAAAAAAEAIAAAACIAAABkcnMvZG93bnJldi54&#10;bWxQSwECFAAUAAAACACHTuJAzsOcKHECAADbBAAADgAAAAAAAAABACAAAAAiAQAAZHJzL2Uyb0Rv&#10;Yy54bWxQSwUGAAAAAAYABgBZAQAABQY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sz w:val="21"/>
                                  <w:szCs w:val="21"/>
                                </w:rPr>
                                <w:t>剥</w:t>
                              </w:r>
                              <w:r>
                                <w:rPr>
                                  <w:rFonts w:hint="eastAsia"/>
                                  <w:sz w:val="21"/>
                                  <w:szCs w:val="21"/>
                                </w:rPr>
                                <w:t>皮</w:t>
                              </w:r>
                            </w:p>
                          </w:txbxContent>
                        </v:textbox>
                      </v:rect>
                      <v:rect id="_x0000_s1026" o:spid="_x0000_s1026" o:spt="1" style="position:absolute;left:548856;top:4183588;height:26987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woVqW0wAAAAYBAAAPAAAAAAAAAAEAIAAAACIAAABkcnMvZG93bnJl&#10;di54bWxQSwECFAAUAAAACACHTuJADrCo9nQCAADbBAAADgAAAAAAAAABACAAAAAiAQAAZHJzL2Uy&#10;b0RvYy54bWxQSwUGAAAAAAYABgBZAQAACAYAAAAA&#10;">
                        <v:fill on="t" focussize="0,0"/>
                        <v:stroke weight="1pt" color="#000000 [3200]"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 xml:space="preserve">锯胸骨、剖腹 </w:t>
                              </w:r>
                            </w:p>
                          </w:txbxContent>
                        </v:textbox>
                      </v:rect>
                      <v:rect id="_x0000_s1026" o:spid="_x0000_s1026" o:spt="1" style="position:absolute;left:548856;top:4702572;height:26987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hWpbTAAAABgEAAA8AAAAAAAAAAQAgAAAAIgAAAGRycy9kb3ducmV2Lnht&#10;bFBLAQIUABQAAAAIAIdO4kC/m4fQcAIAANsEAAAOAAAAAAAAAAEAIAAAACIBAABkcnMvZTJvRG9j&#10;LnhtbFBLBQYAAAAABgAGAFkBAAAEBgAAAAA=&#10;">
                        <v:fill on="t" focussize="0,0"/>
                        <v:stroke weight="1pt" color="#000000 [3200]"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修整、冲淋</w:t>
                              </w:r>
                            </w:p>
                          </w:txbxContent>
                        </v:textbox>
                      </v:rect>
                      <v:rect id="_x0000_s1026" o:spid="_x0000_s1026" o:spt="1" style="position:absolute;left:568331;top:5179250;height:264482;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hWpbTAAAABgEAAA8AAAAAAAAAAQAgAAAAIgAAAGRycy9kb3ducmV2Lnht&#10;bFBLAQIUABQAAAAIAIdO4kC6641QcAIAANsEAAAOAAAAAAAAAAEAIAAAACIBAABkcnMvZTJvRG9j&#10;LnhtbFBLBQYAAAAABgAGAFkBAAAEBgAAAAA=&#10;">
                        <v:fill on="t" focussize="0,0"/>
                        <v:stroke weight="1pt" color="#000000 [3200]"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宰后检验</w:t>
                              </w:r>
                            </w:p>
                          </w:txbxContent>
                        </v:textbox>
                      </v:rect>
                      <v:rect id="_x0000_s1026" o:spid="_x0000_s1026" o:spt="1" style="position:absolute;left:568331;top:5732302;height:26987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ChWpbTAAAABgEAAA8AAAAAAAAAAQAgAAAAIgAAAGRycy9kb3ducmV2Lnht&#10;bFBLAQIUABQAAAAIAIdO4kAP0arncAIAANsEAAAOAAAAAAAAAAEAIAAAACIBAABkcnMvZTJvRG9j&#10;LnhtbFBLBQYAAAAABgAGAFkBAAAEBgAAAAA=&#10;">
                        <v:fill on="t" focussize="0,0"/>
                        <v:stroke weight="1pt" color="#000000 [3200]"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冷却排酸</w:t>
                              </w:r>
                            </w:p>
                          </w:txbxContent>
                        </v:textbox>
                      </v:rect>
                      <v:shape id="_x0000_s1026" o:spid="_x0000_s1026" o:spt="32" type="#_x0000_t32" style="position:absolute;left:982415;top:880367;height:230488;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0mIz1AAAAAYBAAAPAAAAAAAAAAEAIAAA&#10;ACIAAABkcnMvZG93bnJldi54bWxQSwECFAAUAAAACACHTuJAa5w6yhACAADsAwAADgAAAAAAAAAB&#10;ACAAAAAjAQAAZHJzL2Uyb0RvYy54bWxQSwUGAAAAAAYABgBZAQAApQUAAAAA&#10;">
                        <v:fill on="f" focussize="0,0"/>
                        <v:stroke weight="0.5pt" color="#000000 [3200]" miterlimit="8" joinstyle="miter" endarrow="block"/>
                        <v:imagedata o:title=""/>
                        <o:lock v:ext="edit" aspectratio="f"/>
                      </v:shape>
                      <v:shape id="_x0000_s1026" o:spid="_x0000_s1026" o:spt="32" type="#_x0000_t32" style="position:absolute;left:1009944;top:1893341;height:229853;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0mIz1AAAAAYBAAAPAAAAAAAAAAEA&#10;IAAAACIAAABkcnMvZG93bnJldi54bWxQSwECFAAUAAAACACHTuJAWQtzeBMCAADuAwAADgAAAAAA&#10;AAABACAAAAAjAQAAZHJzL2Uyb0RvYy54bWxQSwUGAAAAAAYABgBZAQAAqAUAAAAA&#10;">
                        <v:fill on="f" focussize="0,0"/>
                        <v:stroke weight="0.5pt" color="#000000 [3200]" miterlimit="8" joinstyle="miter" endarrow="block"/>
                        <v:imagedata o:title=""/>
                        <o:lock v:ext="edit" aspectratio="f"/>
                      </v:shape>
                      <v:shape id="_x0000_s1026" o:spid="_x0000_s1026" o:spt="32" type="#_x0000_t32" style="position:absolute;left:993468;top:1382643;height:229870;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0mIz1AAAAAYBAAAPAAAAAAAAAAEA&#10;IAAAACIAAABkcnMvZG93bnJldi54bWxQSwECFAAUAAAACACHTuJA2GUFIRMCAADtAwAADgAAAAAA&#10;AAABACAAAAAjAQAAZHJzL2Uyb0RvYy54bWxQSwUGAAAAAAYABgBZAQAAqAUAAAAA&#10;">
                        <v:fill on="f" focussize="0,0"/>
                        <v:stroke weight="0.5pt" color="#000000 [3200]" miterlimit="8" joinstyle="miter" endarrow="block"/>
                        <v:imagedata o:title=""/>
                        <o:lock v:ext="edit" aspectratio="f"/>
                      </v:shape>
                      <v:shape id="_x0000_s1026" o:spid="_x0000_s1026" o:spt="32" type="#_x0000_t32" style="position:absolute;left:1009944;top:2416094;height:22923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JiM9QAAAAGAQAADwAAAAAAAAAB&#10;ACAAAAAiAAAAZHJzL2Rvd25yZXYueG1sUEsBAhQAFAAAAAgAh07iQKXcBVcUAgAA7gMAAA4AAAAA&#10;AAAAAQAgAAAAIwEAAGRycy9lMm9Eb2MueG1sUEsFBgAAAAAGAAYAWQEAAKkFAAAAAA==&#10;">
                        <v:fill on="f" focussize="0,0"/>
                        <v:stroke weight="0.5pt" color="#000000 [3200]" miterlimit="8" joinstyle="miter" endarrow="block"/>
                        <v:imagedata o:title=""/>
                        <o:lock v:ext="edit" aspectratio="f"/>
                      </v:shape>
                      <v:shape id="_x0000_s1026" o:spid="_x0000_s1026" o:spt="32" type="#_x0000_t32" style="position:absolute;left:1029821;top:3444562;height:228600;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SYjPUAAAABgEAAA8AAAAAAAAA&#10;AQAgAAAAIgAAAGRycy9kb3ducmV2LnhtbFBLAQIUABQAAAAIAIdO4kBFdj/WFQIAAO4DAAAOAAAA&#10;AAAAAAEAIAAAACMBAABkcnMvZTJvRG9jLnhtbFBLBQYAAAAABgAGAFkBAACqBQAAAAA=&#10;">
                        <v:fill on="f" focussize="0,0"/>
                        <v:stroke weight="0.5pt" color="#000000 [3200]" miterlimit="8" joinstyle="miter" endarrow="block"/>
                        <v:imagedata o:title=""/>
                        <o:lock v:ext="edit" aspectratio="f"/>
                      </v:shape>
                      <v:shape id="_x0000_s1026" o:spid="_x0000_s1026" o:spt="75" type="#_x0000_t75" style="position:absolute;left:929643;top:2931739;height:317019;width:164606;" filled="f" o:preferrelative="t" stroked="f" coordsize="21600,21600" o:gfxdata="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">
                        <v:fill on="f" focussize="0,0"/>
                        <v:stroke on="f"/>
                        <v:imagedata r:id="rId28" o:title=""/>
                        <o:lock v:ext="edit" aspectratio="t"/>
                      </v:shape>
                      <v:shape id="_x0000_s1026" o:spid="_x0000_s1026" o:spt="32" type="#_x0000_t32" style="position:absolute;left:1036480;top:3942656;height:22796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SYjPUAAAABgEAAA8AAAAAAAAAAQAg&#10;AAAAIgAAAGRycy9kb3ducmV2LnhtbFBLAQIUABQAAAAIAIdO4kCfBFeWEgIAAO4DAAAOAAAAAAAA&#10;AAEAIAAAACMBAABkcnMvZTJvRG9jLnhtbFBLBQYAAAAABgAGAFkBAACnBQAAAAA=&#10;">
                        <v:fill on="f" focussize="0,0"/>
                        <v:stroke weight="0.5pt" color="#000000 [3200]" miterlimit="8" joinstyle="miter" endarrow="block"/>
                        <v:imagedata o:title=""/>
                        <o:lock v:ext="edit" aspectratio="f"/>
                      </v:shape>
                      <v:shape id="_x0000_s1026" o:spid="_x0000_s1026" o:spt="32" type="#_x0000_t32" style="position:absolute;left:1036480;top:4468067;height:22796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SYjPUAAAABgEAAA8AAAAAAAAAAQAg&#10;AAAAIgAAAGRycy9kb3ducmV2LnhtbFBLAQIUABQAAAAIAIdO4kDFqUsIEgIAAO4DAAAOAAAAAAAA&#10;AAEAIAAAACMBAABkcnMvZTJvRG9jLnhtbFBLBQYAAAAABgAGAFkBAACnBQAAAAA=&#10;">
                        <v:fill on="f" focussize="0,0"/>
                        <v:stroke weight="0.5pt" color="#000000 [3200]" miterlimit="8" joinstyle="miter" endarrow="block"/>
                        <v:imagedata o:title=""/>
                        <o:lock v:ext="edit" aspectratio="f"/>
                      </v:shape>
                      <v:shape id="_x0000_s1026" o:spid="_x0000_s1026" o:spt="32" type="#_x0000_t32" style="position:absolute;left:1036480;top:4972334;height:22796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SYjPUAAAABgEAAA8AAAAAAAAAAQAg&#10;AAAAIgAAAGRycy9kb3ducmV2LnhtbFBLAQIUABQAAAAIAIdO4kDiNloOEgIAAO4DAAAOAAAAAAAA&#10;AAEAIAAAACMBAABkcnMvZTJvRG9jLnhtbFBLBQYAAAAABgAGAFkBAACnBQAAAAA=&#10;">
                        <v:fill on="f" focussize="0,0"/>
                        <v:stroke weight="0.5pt" color="#000000 [3200]" miterlimit="8" joinstyle="miter" endarrow="block"/>
                        <v:imagedata o:title=""/>
                        <o:lock v:ext="edit" aspectratio="f"/>
                      </v:shape>
                      <v:shape id="_x0000_s1026" o:spid="_x0000_s1026" o:spt="32" type="#_x0000_t32" style="position:absolute;left:1056397;top:5451583;height:254462;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JiM9QAAAAGAQAADwAAAAAAAAAB&#10;ACAAAAAiAAAAZHJzL2Rvd25yZXYueG1sUEsBAhQAFAAAAAgAh07iQFWURVYUAgAA7gMAAA4AAAAA&#10;AAAAAQAgAAAAIwEAAGRycy9lMm9Eb2MueG1sUEsFBgAAAAAGAAYAWQEAAKkFAAAAAA==&#10;">
                        <v:fill on="f" focussize="0,0"/>
                        <v:stroke weight="0.5pt" color="#000000 [3200]" miterlimit="8" joinstyle="miter" endarrow="block"/>
                        <v:imagedata o:title=""/>
                        <o:lock v:ext="edit" aspectratio="f"/>
                      </v:shape>
                      <v:shape id="_x0000_s1026" o:spid="_x0000_s1026" o:spt="32" type="#_x0000_t32" style="position:absolute;left:1472826;top:753684;height:0;width:311216;" filled="f" stroked="t" coordsize="21600,21600" o:gfxdata="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O5HrLVAAAABgEA&#10;AA8AAAAAAAAAAQAgAAAAIgAAAGRycy9kb3ducmV2LnhtbFBLAQIUABQAAAAIAIdO4kDquUt3HQIA&#10;ABcEAAAOAAAAAAAAAAEAIAAAACQBAABkcnMvZTJvRG9jLnhtbFBLBQYAAAAABgAGAFkBAACzBQAA&#10;AAA=&#10;">
                        <v:fill on="f" focussize="0,0"/>
                        <v:stroke color="#000000 [3200]" joinstyle="round" dashstyle="dash"/>
                        <v:imagedata o:title=""/>
                        <o:lock v:ext="edit" aspectratio="f"/>
                      </v:shape>
                      <v:shape id="_x0000_s1026" o:spid="_x0000_s1026" o:spt="32" type="#_x0000_t32" style="position:absolute;left:1784042;top:753688;height:0;width:197708;"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JiM9QAAAAGAQAADwAAAAAAAAAB&#10;ACAAAAAiAAAAZHJzL2Rvd25yZXYueG1sUEsBAhQAFAAAAAgAh07iQBYmBBYUAgAA7QMAAA4AAAAA&#10;AAAAAQAgAAAAIwEAAGRycy9lMm9Eb2MueG1sUEsFBgAAAAAGAAYAWQEAAKkFAAAAAA==&#10;">
                        <v:fill on="f" focussize="0,0"/>
                        <v:stroke weight="0.5pt" color="#000000 [3200]" miterlimit="8" joinstyle="miter" endarrow="block"/>
                        <v:imagedata o:title=""/>
                        <o:lock v:ext="edit" aspectratio="f"/>
                      </v:shape>
                      <v:shape id="_x0000_s1026" o:spid="_x0000_s1026" o:spt="32" type="#_x0000_t32" style="position:absolute;left:1029821;top:6026747;height:22796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JiM9QAAAAGAQAADwAAAAAAAAAB&#10;ACAAAAAiAAAAZHJzL2Rvd25yZXYueG1sUEsBAhQAFAAAAAgAh07iQBR/2+UUAgAA7gMAAA4AAAAA&#10;AAAAAQAgAAAAIwEAAGRycy9lMm9Eb2MueG1sUEsFBgAAAAAGAAYAWQEAAKkFAAAAAA==&#10;">
                        <v:fill on="f" focussize="0,0"/>
                        <v:stroke weight="0.5pt" color="#000000 [3200]" miterlimit="8" joinstyle="miter" endarrow="block"/>
                        <v:imagedata o:title=""/>
                        <o:lock v:ext="edit" aspectratio="f"/>
                      </v:shape>
                      <v:shape id="_x0000_s1026" o:spid="_x0000_s1026" o:spt="32" type="#_x0000_t32" style="position:absolute;left:368407;top:6255763;height:22796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JiM9QAAAAGAQAADwAAAAAAAAABACAA&#10;AAAiAAAAZHJzL2Rvd25yZXYueG1sUEsBAhQAFAAAAAgAh07iQP/ZKEgRAgAA7QMAAA4AAAAAAAAA&#10;AQAgAAAAIwEAAGRycy9lMm9Eb2MueG1sUEsFBgAAAAAGAAYAWQEAAKYFAAAAAA==&#10;">
                        <v:fill on="f" focussize="0,0"/>
                        <v:stroke weight="0.5pt" color="#000000 [3200]" miterlimit="8" joinstyle="miter" endarrow="block"/>
                        <v:imagedata o:title=""/>
                        <o:lock v:ext="edit" aspectratio="f"/>
                      </v:shape>
                      <v:shape id="_x0000_s1026" o:spid="_x0000_s1026" o:spt="32" type="#_x0000_t32" style="position:absolute;left:1777627;top:6255613;height:22796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SYjPUAAAABgEAAA8AAAAAAAAAAQAg&#10;AAAAIgAAAGRycy9kb3ducmV2LnhtbFBLAQIUABQAAAAIAIdO4kCgwcGrEgIAAO4DAAAOAAAAAAAA&#10;AAEAIAAAACMBAABkcnMvZTJvRG9jLnhtbFBLBQYAAAAABgAGAFkBAACnBQAAAAA=&#10;">
                        <v:fill on="f" focussize="0,0"/>
                        <v:stroke weight="0.5pt" color="#000000 [3200]" miterlimit="8" joinstyle="miter" endarrow="block"/>
                        <v:imagedata o:title=""/>
                        <o:lock v:ext="edit" aspectratio="f"/>
                      </v:shape>
                      <v:shape id="_x0000_s1026" o:spid="_x0000_s1026" o:spt="32" type="#_x0000_t32" style="position:absolute;left:1777627;top:6723376;height:22796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SYjPUAAAABgEAAA8AAAAAAAAAAQAg&#10;AAAAIgAAAGRycy9kb3ducmV2LnhtbFBLAQIUABQAAAAIAIdO4kBxVP8MEgIAAO4DAAAOAAAAAAAA&#10;AAEAIAAAACMBAABkcnMvZTJvRG9jLnhtbFBLBQYAAAAABgAGAFkBAACnBQAAAAA=&#10;">
                        <v:fill on="f" focussize="0,0"/>
                        <v:stroke weight="0.5pt" color="#000000 [3200]" miterlimit="8" joinstyle="miter" endarrow="block"/>
                        <v:imagedata o:title=""/>
                        <o:lock v:ext="edit" aspectratio="f"/>
                      </v:shape>
                      <v:line id="_x0000_s1026" o:spid="_x0000_s1026" o:spt="20" style="position:absolute;left:368407;top:6255303;height:0;width:1415635;" filled="f" stroked="t" coordsize="21600,21600" o:gfxdata="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sliAzUAAAABgEAAA8AAAAAAAAAAQAgAAAAIgAAAGRycy9kb3ducmV2LnhtbFBLAQIUABQAAAAI&#10;AIdO4kArvwQj8QEAAL4DAAAOAAAAAAAAAAEAIAAAACMBAABkcnMvZTJvRG9jLnhtbFBLBQYAAAAA&#10;BgAGAFkBAACGBQAAAAA=&#10;">
                        <v:fill on="f" focussize="0,0"/>
                        <v:stroke weight="0.5pt" color="#000000 [3200]" miterlimit="8" joinstyle="miter"/>
                        <v:imagedata o:title=""/>
                        <o:lock v:ext="edit" aspectratio="f"/>
                      </v:line>
                      <v:rect id="_x0000_s1026" o:spid="_x0000_s1026" o:spt="1" style="position:absolute;left:52039;top:6494115;height:269240;width:672891;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oVqW0wAAAAYBAAAPAAAAAAAAAAEAIAAAACIAAABkcnMvZG93bnJldi54&#10;bWxQSwECFAAUAAAACACHTuJAf4VJnXECAADaBAAADgAAAAAAAAABACAAAAAiAQAAZHJzL2Uyb0Rv&#10;Yy54bWxQSwUGAAAAAAYABgBZAQAABQYAAAAA&#10;">
                        <v:fill on="t" focussize="0,0"/>
                        <v:stroke weight="1pt" color="#000000 [3200]" miterlimit="8" joinstyle="miter"/>
                        <v:imagedata o:title=""/>
                        <o:lock v:ext="edit" aspectratio="f"/>
                        <v:textbox>
                          <w:txbxContent>
                            <w:p>
                              <w:pPr>
                                <w:spacing w:before="0" w:beforeLines="0" w:line="0" w:lineRule="atLeast"/>
                                <w:ind w:firstLine="0" w:firstLineChars="0"/>
                                <w:jc w:val="center"/>
                                <w:rPr>
                                  <w:sz w:val="21"/>
                                  <w:szCs w:val="21"/>
                                </w:rPr>
                              </w:pPr>
                              <w:r>
                                <w:rPr>
                                  <w:rFonts w:hint="eastAsia"/>
                                  <w:sz w:val="21"/>
                                  <w:szCs w:val="21"/>
                                </w:rPr>
                                <w:t>外售</w:t>
                              </w:r>
                            </w:p>
                          </w:txbxContent>
                        </v:textbox>
                      </v:rect>
                      <v:rect id="_x0000_s1026" o:spid="_x0000_s1026" o:spt="1" style="position:absolute;left:1317320;top:7374631;height:26860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woVqW0wAAAAYBAAAPAAAAAAAAAAEAIAAAACIAAABkcnMvZG93bnJldi54&#10;bWxQSwECFAAUAAAACACHTuJA1T6v4HECAADcBAAADgAAAAAAAAABACAAAAAiAQAAZHJzL2Uyb0Rv&#10;Yy54bWxQSwUGAAAAAAYABgBZAQAABQYAAAAA&#10;">
                        <v:fill on="t" focussize="0,0"/>
                        <v:stroke weight="1pt" color="#000000 [3200]"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外售（冷藏）</w:t>
                              </w:r>
                            </w:p>
                          </w:txbxContent>
                        </v:textbox>
                      </v:rect>
                      <v:rect id="_x0000_s1026" o:spid="_x0000_s1026" o:spt="1" style="position:absolute;left:1300844;top:6951341;height:267970;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woVqW0wAAAAYBAAAPAAAAAAAAAAEAIAAAACIAAABkcnMvZG93bnJl&#10;di54bWxQSwECFAAUAAAACACHTuJA0SyUOXQCAADcBAAADgAAAAAAAAABACAAAAAiAQAAZHJzL2Uy&#10;b0RvYy54bWxQSwUGAAAAAAYABgBZAQAACAYAAAAA&#10;">
                        <v:fill on="t" focussize="0,0"/>
                        <v:stroke weight="1pt" color="#000000 [3200]"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修整、包装</w:t>
                              </w:r>
                            </w:p>
                          </w:txbxContent>
                        </v:textbox>
                      </v:rect>
                      <v:rect id="_x0000_s1026" o:spid="_x0000_s1026" o:spt="1" style="position:absolute;left:1300844;top:6480830;height:267335;width:979805;v-text-anchor:middle;" fillcolor="#FFFFFF [3201]" filled="t" stroked="t" coordsize="21600,21600" o:gfxdata="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KFaltMAAAAGAQAADwAAAAAAAAABACAAAAAiAAAAZHJzL2Rvd25yZXYu&#10;eG1sUEsBAhQAFAAAAAgAh07iQHzOtCtyAgAA3AQAAA4AAAAAAAAAAQAgAAAAIgEAAGRycy9lMm9E&#10;b2MueG1sUEsFBgAAAAAGAAYAWQEAAAYGAAAAAA==&#10;">
                        <v:fill on="t" focussize="0,0"/>
                        <v:stroke weight="1pt" color="#000000 [3200]"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剔骨、分割</w:t>
                              </w:r>
                            </w:p>
                          </w:txbxContent>
                        </v:textbox>
                      </v:rect>
                      <v:shape id="_x0000_s1026" o:spid="_x0000_s1026" o:spt="32" type="#_x0000_t32" style="position:absolute;left:1784042;top:7219311;flip:x;height:154622;width:6705;" filled="f" stroked="t" coordsize="21600,21600" o:gfxdata="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76tx9UAAAAGAQAADwAAAAAAAAABACAAAAAiAAAAZHJzL2Rvd25yZXYueG1sUEsBAhQA&#10;FAAAAAgAh07iQKpwiRwuAgAAIgQAAA4AAAAAAAAAAQAgAAAAJAEAAGRycy9lMm9Eb2MueG1sUEsF&#10;BgAAAAAGAAYAWQEAAMQFAAAAAA==&#10;">
                        <v:fill on="f" focussize="0,0"/>
                        <v:stroke weight="0.5pt" color="#000000 [3200]" miterlimit="8" joinstyle="miter" endarrow="block"/>
                        <v:imagedata o:title=""/>
                        <o:lock v:ext="edit" aspectratio="f"/>
                      </v:shape>
                      <v:rect id="_x0000_s1026" o:spid="_x0000_s1026" o:spt="1" style="position:absolute;left:2012237;top:625374;height:271780;width:1950163;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TsN01gAAAAYBAAAPAAAAAAAAAAEAIAAAACIAAABkcnMvZG93bnJldi54&#10;bWxQSwECFAAUAAAACACHTuJAYVDLbm4CAACzBAAADgAAAAAAAAABACAAAAAlAQAAZHJzL2Uyb0Rv&#10;Yy54bWxQSwUGAAAAAAYABgBZAQAABQ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牛、羊粪便及废水、噪声</w:t>
                              </w:r>
                            </w:p>
                          </w:txbxContent>
                        </v:textbox>
                      </v:rect>
                      <v:shape id="_x0000_s1026" o:spid="_x0000_s1026" o:spt="32" type="#_x0000_t32" style="position:absolute;left:1528661;top:2794459;height:0;width:453089;"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tJiM9QAAAAGAQAADwAAAAAA&#10;AAABACAAAAAiAAAAZHJzL2Rvd25yZXYueG1sUEsBAhQAFAAAAAgAh07iQFELQe0XAgAA7gMAAA4A&#10;AAAAAAAAAQAgAAAAIwEAAGRycy9lMm9Eb2MueG1sUEsFBgAAAAAGAAYAWQEAAKwFAAAAAA==&#10;">
                        <v:fill on="f" focussize="0,0"/>
                        <v:stroke weight="0.5pt" color="#000000 [3200]" miterlimit="8" joinstyle="miter" endarrow="block"/>
                        <v:imagedata o:title=""/>
                        <o:lock v:ext="edit" aspectratio="f"/>
                      </v:shape>
                      <v:rect id="_x0000_s1026" o:spid="_x0000_s1026" o:spt="1" style="position:absolute;left:1998277;top:2658464;height:271145;width:679019;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TsN01gAAAAYBAAAPAAAAAAAAAAEAIAAAACIAAABkcnMvZG93bnJldi54&#10;bWxQSwECFAAUAAAACACHTuJAHUs5r24CAACzBAAADgAAAAAAAAABACAAAAAlAQAAZHJzL2Uyb0Rv&#10;Yy54bWxQSwUGAAAAAAYABgBZAQAABQ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牛、羊血</w:t>
                              </w:r>
                            </w:p>
                          </w:txbxContent>
                        </v:textbox>
                      </v:rect>
                      <v:shape id="_x0000_s1026" o:spid="_x0000_s1026" o:spt="32" type="#_x0000_t32" style="position:absolute;left:2622845;top:2802422;height:0;width:383966;"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SYjPUAAAABgEAAA8AAAAAAAAA&#10;AQAgAAAAIgAAAGRycy9kb3ducmV2LnhtbFBLAQIUABQAAAAIAIdO4kC6Os9kFQIAAO4DAAAOAAAA&#10;AAAAAAEAIAAAACMBAABkcnMvZTJvRG9jLnhtbFBLBQYAAAAABgAGAFkBAACqBQAAAAA=&#10;">
                        <v:fill on="f" focussize="0,0"/>
                        <v:stroke weight="0.5pt" color="#000000 [3200]" miterlimit="8" joinstyle="miter" endarrow="block"/>
                        <v:imagedata o:title=""/>
                        <o:lock v:ext="edit" aspectratio="f"/>
                      </v:shape>
                      <v:rect id="_x0000_s1026" o:spid="_x0000_s1026" o:spt="1" style="position:absolute;left:3003497;top:2676479;height:270510;width:464631;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TsN01gAAAAYBAAAPAAAAAAAAAAEAIAAAACIAAABkcnMvZG93bnJldi54&#10;bWxQSwECFAAUAAAACACHTuJA11wy5m4CAACzBAAADgAAAAAAAAABACAAAAAlAQAAZHJzL2Uyb0Rv&#10;Yy54bWxQSwUGAAAAAAYABgBZAQAABQ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出售</w:t>
                              </w:r>
                            </w:p>
                          </w:txbxContent>
                        </v:textbox>
                      </v:rect>
                      <v:rect id="_x0000_s1026" o:spid="_x0000_s1026" o:spt="1" style="position:absolute;left:2008661;top:3156012;height:270510;width:891058;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k7DdNYAAAAGAQAADwAAAAAAAAABACAAAAAiAAAAZHJzL2Rvd25yZXYueG1s&#10;UEsBAhQAFAAAAAgAh07iQFYCSyhsAgAAswQAAA4AAAAAAAAAAQAgAAAAJQEAAGRycy9lMm9Eb2Mu&#10;eG1sUEsFBgAAAAAGAAYAWQEAAAMGA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 xml:space="preserve">牛、羊头蹄脚 </w:t>
                              </w:r>
                            </w:p>
                          </w:txbxContent>
                        </v:textbox>
                      </v:rect>
                      <v:shape id="_x0000_s1026" o:spid="_x0000_s1026" o:spt="32" type="#_x0000_t32" style="position:absolute;left:2798254;top:3300180;height:0;width:38354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SYjPUAAAABgEAAA8AAAAAAAAA&#10;AQAgAAAAIgAAAGRycy9kb3ducmV2LnhtbFBLAQIUABQAAAAIAIdO4kB9YRfFFQIAAO4DAAAOAAAA&#10;AAAAAAEAIAAAACMBAABkcnMvZTJvRG9jLnhtbFBLBQYAAAAABgAGAFkBAACqBQAAAAA=&#10;">
                        <v:fill on="f" focussize="0,0"/>
                        <v:stroke weight="0.5pt" color="#000000 [3200]" miterlimit="8" joinstyle="miter" endarrow="block"/>
                        <v:imagedata o:title=""/>
                        <o:lock v:ext="edit" aspectratio="f"/>
                      </v:shape>
                      <v:rect id="_x0000_s1026" o:spid="_x0000_s1026" o:spt="1" style="position:absolute;left:3181793;top:3173547;height:252501;width:500519;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pOw3TWAAAABgEAAA8AAAAAAAAAAQAgAAAAIgAAAGRycy9kb3ducmV2Lnht&#10;bFBLAQIUABQAAAAIAIdO4kAMaWaebQIAALMEAAAOAAAAAAAAAAEAIAAAACUBAABkcnMvZTJvRG9j&#10;LnhtbFBLBQYAAAAABgAGAFkBAAAEBg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出售</w:t>
                              </w:r>
                            </w:p>
                          </w:txbxContent>
                        </v:textbox>
                      </v:rect>
                      <v:shape id="_x0000_s1026" o:spid="_x0000_s1026" o:spt="32" type="#_x0000_t32" style="position:absolute;left:1545522;top:3300180;height:0;width:452755;"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0mIz1AAAAAYBAAAPAAAAAAAA&#10;AAEAIAAAACIAAABkcnMvZG93bnJldi54bWxQSwECFAAUAAAACACHTuJA0zoLTRYCAADuAwAADgAA&#10;AAAAAAABACAAAAAjAQAAZHJzL2Uyb0RvYy54bWxQSwUGAAAAAAYABgBZAQAAqwUAAAAA&#10;">
                        <v:fill on="f" focussize="0,0"/>
                        <v:stroke weight="0.5pt" color="#000000 [3200]" miterlimit="8" joinstyle="miter" endarrow="block"/>
                        <v:imagedata o:title=""/>
                        <o:lock v:ext="edit" aspectratio="f"/>
                      </v:shape>
                      <v:rect id="_x0000_s1026" o:spid="_x0000_s1026" o:spt="1" style="position:absolute;left:2012237;top:3652292;height:270510;width:728224;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aTsN01gAAAAYBAAAPAAAAAAAAAAEAIAAAACIAAABkcnMvZG93bnJldi54bWxQ&#10;SwECFAAUAAAACACHTuJAXY1fDGsCAACzBAAADgAAAAAAAAABACAAAAAlAQAAZHJzL2Uyb0RvYy54&#10;bWxQSwUGAAAAAAYABgBZAQAAAg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牛、羊皮</w:t>
                              </w:r>
                            </w:p>
                          </w:txbxContent>
                        </v:textbox>
                      </v:rect>
                      <v:shape id="_x0000_s1026" o:spid="_x0000_s1026" o:spt="32" type="#_x0000_t32" style="position:absolute;left:2677296;top:3796326;height:0;width:38354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SYjPUAAAABgEAAA8AAAAAAAAA&#10;AQAgAAAAIgAAAGRycy9kb3ducmV2LnhtbFBLAQIUABQAAAAIAIdO4kBZQc8CFQIAAO4DAAAOAAAA&#10;AAAAAAEAIAAAACMBAABkcnMvZTJvRG9jLnhtbFBLBQYAAAAABgAGAFkBAACqBQAAAAA=&#10;">
                        <v:fill on="f" focussize="0,0"/>
                        <v:stroke weight="0.5pt" color="#000000 [3200]" miterlimit="8" joinstyle="miter" endarrow="block"/>
                        <v:imagedata o:title=""/>
                        <o:lock v:ext="edit" aspectratio="f"/>
                      </v:shape>
                      <v:rect id="_x0000_s1026" o:spid="_x0000_s1026" o:spt="1" style="position:absolute;left:3152813;top:3673163;height:269875;width:464185;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pOw3TWAAAABgEAAA8AAAAAAAAAAQAgAAAAIgAAAGRycy9kb3ducmV2Lnht&#10;bFBLAQIUABQAAAAIAIdO4kBD+EHQbQIAALMEAAAOAAAAAAAAAAEAIAAAACUBAABkcnMvZTJvRG9j&#10;LnhtbFBLBQYAAAAABgAGAFkBAAAEBg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出售</w:t>
                              </w:r>
                            </w:p>
                          </w:txbxContent>
                        </v:textbox>
                      </v:rect>
                      <v:rect id="_x0000_s1026" o:spid="_x0000_s1026" o:spt="1" style="position:absolute;left:1888667;top:4160525;height:269875;width:484134;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k7DdNYAAAAGAQAADwAAAAAAAAABACAAAAAiAAAAZHJzL2Rvd25yZXYu&#10;eG1sUEsBAhQAFAAAAAgAh07iQA98T0xvAgAAswQAAA4AAAAAAAAAAQAgAAAAJQEAAGRycy9lMm9E&#10;b2MueG1sUEsFBgAAAAAGAAYAWQEAAAYGA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内脏</w:t>
                              </w:r>
                            </w:p>
                          </w:txbxContent>
                        </v:textbox>
                      </v:rect>
                      <v:shape id="_x0000_s1026" o:spid="_x0000_s1026" o:spt="32" type="#_x0000_t32" style="position:absolute;left:2230450;top:4295758;height:0;width:262582;"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JiM9QAAAAGAQAADwAAAAAAAAAB&#10;ACAAAAAiAAAAZHJzL2Rvd25yZXYueG1sUEsBAhQAFAAAAAgAh07iQMJhr9wUAgAA7gMAAA4AAAAA&#10;AAAAAQAgAAAAIwEAAGRycy9lMm9Eb2MueG1sUEsFBgAAAAAGAAYAWQEAAKkFAAAAAA==&#10;">
                        <v:fill on="f" focussize="0,0"/>
                        <v:stroke weight="0.5pt" color="#000000 [3200]" miterlimit="8" joinstyle="miter" endarrow="block"/>
                        <v:imagedata o:title=""/>
                        <o:lock v:ext="edit" aspectratio="f"/>
                      </v:shape>
                      <v:rect id="_x0000_s1026" o:spid="_x0000_s1026" o:spt="1" style="position:absolute;left:2740461;top:3975325;height:269240;width:1155737;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pOw3TWAAAABgEAAA8AAAAAAAAAAQAgAAAAIgAAAGRycy9kb3ducmV2&#10;LnhtbFBLAQIUABQAAAAIAIdO4kBQtUYYcAIAALQEAAAOAAAAAAAAAAEAIAAAACUBAABkcnMvZTJv&#10;RG9jLnhtbFBLBQYAAAAABgAGAFkBAAAHBg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固废、废水、废气</w:t>
                              </w:r>
                            </w:p>
                          </w:txbxContent>
                        </v:textbox>
                      </v:rect>
                      <v:shape id="_x0000_s1026" o:spid="_x0000_s1026" o:spt="32" type="#_x0000_t32" style="position:absolute;left:1503602;top:4821370;height:0;width:311150;" filled="f" stroked="t" coordsize="21600,21600" o:gfxdata="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7kestUAAAAGAQAA&#10;DwAAAAAAAAABACAAAAAiAAAAZHJzL2Rvd25yZXYueG1sUEsBAhQAFAAAAAgAh07iQHHAylkcAgAA&#10;GAQAAA4AAAAAAAAAAQAgAAAAJAEAAGRycy9lMm9Eb2MueG1sUEsFBgAAAAAGAAYAWQEAALIFAAAA&#10;AA==&#10;">
                        <v:fill on="f" focussize="0,0"/>
                        <v:stroke color="#000000 [3200]" joinstyle="round" dashstyle="dash"/>
                        <v:imagedata o:title=""/>
                        <o:lock v:ext="edit" aspectratio="f"/>
                      </v:shape>
                      <v:shape id="_x0000_s1026" o:spid="_x0000_s1026" o:spt="32" type="#_x0000_t32" style="position:absolute;left:1814752;top:4821370;height:0;width:197485;"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SYjPUAAAABgEAAA8AAAAAAAAA&#10;AQAgAAAAIgAAAGRycy9kb3ducmV2LnhtbFBLAQIUABQAAAAIAIdO4kD3NsQ4FQIAAO4DAAAOAAAA&#10;AAAAAAEAIAAAACMBAABkcnMvZTJvRG9jLnhtbFBLBQYAAAAABgAGAFkBAACqBQAAAAA=&#10;">
                        <v:fill on="f" focussize="0,0"/>
                        <v:stroke weight="0.5pt" color="#000000 [3200]" miterlimit="8" joinstyle="miter" endarrow="block"/>
                        <v:imagedata o:title=""/>
                        <o:lock v:ext="edit" aspectratio="f"/>
                      </v:shape>
                      <v:rect id="_x0000_s1026" o:spid="_x0000_s1026" o:spt="1" style="position:absolute;left:2028190;top:4673600;height:497840;width:871220;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aTsN01gAAAAYBAAAPAAAAAAAAAAEAIAAAACIAAABkcnMvZG93bnJldi54bWxQ&#10;SwECFAAUAAAACACHTuJAMp8lt2sCAACzBAAADgAAAAAAAAABACAAAAAlAQAAZHJzL2Uyb0RvYy54&#10;bWxQSwUGAAAAAAYABgBZAQAAAg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废水（含血、</w:t>
                              </w:r>
                            </w:p>
                            <w:p>
                              <w:pPr>
                                <w:spacing w:before="0" w:beforeLines="0" w:line="0" w:lineRule="atLeast"/>
                                <w:ind w:firstLine="0" w:firstLineChars="0"/>
                                <w:rPr>
                                  <w:sz w:val="21"/>
                                  <w:szCs w:val="21"/>
                                </w:rPr>
                              </w:pPr>
                              <w:r>
                                <w:rPr>
                                  <w:rFonts w:hint="eastAsia"/>
                                  <w:sz w:val="21"/>
                                  <w:szCs w:val="21"/>
                                </w:rPr>
                                <w:t>骨渣、毛等）</w:t>
                              </w:r>
                            </w:p>
                          </w:txbxContent>
                        </v:textbox>
                      </v:rect>
                      <v:shape id="_x0000_s1026" o:spid="_x0000_s1026" o:spt="32" type="#_x0000_t32" style="position:absolute;left:2677296;top:5314125;height:0;width:197485;"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0mIz1AAAAAYBAAAPAAAAAAAA&#10;AAEAIAAAACIAAABkcnMvZG93bnJldi54bWxQSwECFAAUAAAACACHTuJAkWaBOBYCAADuAwAADgAA&#10;AAAAAAABACAAAAAjAQAAZHJzL2Uyb0RvYy54bWxQSwUGAAAAAAYABgBZAQAAqwUAAAAA&#10;">
                        <v:fill on="f" focussize="0,0"/>
                        <v:stroke weight="0.5pt" color="#000000 [3200]" miterlimit="8" joinstyle="miter" endarrow="block"/>
                        <v:imagedata o:title=""/>
                        <o:lock v:ext="edit" aspectratio="f"/>
                      </v:shape>
                      <v:rect id="_x0000_s1026" o:spid="_x0000_s1026" o:spt="1" style="position:absolute;left:2894657;top:5173222;height:270510;width:1018649;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TsN01gAAAAYBAAAPAAAAAAAAAAEAIAAAACIAAABkcnMvZG93bnJldi54&#10;bWxQSwECFAAUAAAACACHTuJABqhJ+G4CAAC0BAAADgAAAAAAAAABACAAAAAlAQAAZHJzL2Uyb0Rv&#10;Yy54bWxQSwUGAAAAAAYABgBZAQAABQ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无害化处理</w:t>
                              </w:r>
                            </w:p>
                          </w:txbxContent>
                        </v:textbox>
                      </v:rect>
                      <v:rect id="_x0000_s1026" o:spid="_x0000_s1026" o:spt="1" style="position:absolute;left:1106538;top:5471411;height:254093;width:750041;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pOw3TWAAAABgEAAA8AAAAAAAAAAQAgAAAAIgAAAGRycy9kb3ducmV2Lnht&#10;bFBLAQIUABQAAAAIAIdO4kBfw8tCbQIAALMEAAAOAAAAAAAAAAEAIAAAACUBAABkcnMvZTJvRG9j&#10;LnhtbFBLBQYAAAAABgAGAFkBAAAEBgAAAAA=&#10;">
                        <v:fill on="t" focussize="0,0"/>
                        <v:stroke on="f" weight="1pt" miterlimit="8" joinstyle="miter"/>
                        <v:imagedata o:title=""/>
                        <o:lock v:ext="edit" aspectratio="f"/>
                        <v:textbox>
                          <w:txbxContent>
                            <w:p>
                              <w:pPr>
                                <w:spacing w:before="0" w:beforeLines="0" w:line="0" w:lineRule="atLeast"/>
                                <w:ind w:firstLine="0" w:firstLineChars="0"/>
                                <w:rPr>
                                  <w:sz w:val="16"/>
                                  <w:szCs w:val="16"/>
                                </w:rPr>
                              </w:pPr>
                              <w:r>
                                <w:rPr>
                                  <w:rFonts w:hint="eastAsia"/>
                                  <w:sz w:val="16"/>
                                  <w:szCs w:val="16"/>
                                </w:rPr>
                                <w:t>合格胴体</w:t>
                              </w:r>
                            </w:p>
                          </w:txbxContent>
                        </v:textbox>
                      </v:rect>
                      <v:rect id="_x0000_s1026" o:spid="_x0000_s1026" o:spt="1" style="position:absolute;left:1153297;top:6016779;height:235041;width:828453;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pOw3TWAAAABgEAAA8AAAAAAAAAAQAgAAAAIgAAAGRycy9kb3ducmV2Lnht&#10;bFBLAQIUABQAAAAIAIdO4kB07j9hbQIAALMEAAAOAAAAAAAAAAEAIAAAACUBAABkcnMvZTJvRG9j&#10;LnhtbFBLBQYAAAAABgAGAFkBAAAEBgAAAAA=&#10;">
                        <v:fill on="t" focussize="0,0"/>
                        <v:stroke on="f" weight="1pt" miterlimit="8" joinstyle="miter"/>
                        <v:imagedata o:title=""/>
                        <o:lock v:ext="edit" aspectratio="f"/>
                        <v:textbox>
                          <w:txbxContent>
                            <w:p>
                              <w:pPr>
                                <w:spacing w:before="0" w:beforeLines="0" w:line="0" w:lineRule="atLeast"/>
                                <w:ind w:firstLine="0" w:firstLineChars="0"/>
                                <w:rPr>
                                  <w:sz w:val="16"/>
                                  <w:szCs w:val="16"/>
                                </w:rPr>
                              </w:pPr>
                              <w:r>
                                <w:rPr>
                                  <w:rFonts w:hint="eastAsia"/>
                                  <w:sz w:val="16"/>
                                  <w:szCs w:val="16"/>
                                </w:rPr>
                                <w:t>部分分割加工</w:t>
                              </w:r>
                            </w:p>
                          </w:txbxContent>
                        </v:textbox>
                      </v:rect>
                      <v:rect id="_x0000_s1026" o:spid="_x0000_s1026" o:spt="1" style="position:absolute;left:66157;top:6026459;height:222416;width:863486;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aTsN01gAAAAYBAAAPAAAAAAAAAAEAIAAAACIAAABkcnMvZG93bnJldi54bWxQ&#10;SwECFAAUAAAACACHTuJATlcIaGsCAACxBAAADgAAAAAAAAABACAAAAAlAQAAZHJzL2Uyb0RvYy54&#10;bWxQSwUGAAAAAAYABgBZAQAAAgYAAAAA&#10;">
                        <v:fill on="t" focussize="0,0"/>
                        <v:stroke on="f" weight="1pt" miterlimit="8" joinstyle="miter"/>
                        <v:imagedata o:title=""/>
                        <o:lock v:ext="edit" aspectratio="f"/>
                        <v:textbox>
                          <w:txbxContent>
                            <w:p>
                              <w:pPr>
                                <w:spacing w:before="0" w:beforeLines="0" w:line="0" w:lineRule="atLeast"/>
                                <w:ind w:firstLine="0" w:firstLineChars="0"/>
                                <w:rPr>
                                  <w:sz w:val="16"/>
                                  <w:szCs w:val="16"/>
                                </w:rPr>
                              </w:pPr>
                              <w:r>
                                <w:rPr>
                                  <w:sz w:val="16"/>
                                  <w:szCs w:val="16"/>
                                </w:rPr>
                                <w:t>部分</w:t>
                              </w:r>
                              <w:r>
                                <w:rPr>
                                  <w:rFonts w:hint="eastAsia"/>
                                  <w:sz w:val="16"/>
                                  <w:szCs w:val="16"/>
                                </w:rPr>
                                <w:t>直接出售</w:t>
                              </w:r>
                            </w:p>
                          </w:txbxContent>
                        </v:textbox>
                      </v:rect>
                      <v:rect id="_x0000_s1026" o:spid="_x0000_s1026" o:spt="1" style="position:absolute;left:2740461;top:6483207;height:269875;width:727667;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k7DdNYAAAAGAQAADwAAAAAAAAABACAAAAAiAAAAZHJzL2Rvd25yZXYu&#10;eG1sUEsBAhQAFAAAAAgAh07iQNV4IatvAgAAswQAAA4AAAAAAAAAAQAgAAAAJQEAAGRycy9lMm9E&#10;b2MueG1sUEsFBgAAAAAGAAYAWQEAAAYGA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牛、羊骨</w:t>
                              </w:r>
                            </w:p>
                          </w:txbxContent>
                        </v:textbox>
                      </v:rect>
                      <v:shape id="_x0000_s1026" o:spid="_x0000_s1026" o:spt="32" type="#_x0000_t32" style="position:absolute;left:3529766;top:6627817;height:0;width:38354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0mIz1AAAAAYBAAAPAAAAAAAAAAEA&#10;IAAAACIAAABkcnMvZG93bnJldi54bWxQSwECFAAUAAAACACHTuJA78LHwRMCAADuAwAADgAAAAAA&#10;AAABACAAAAAjAQAAZHJzL2Uyb0RvYy54bWxQSwUGAAAAAAYABgBZAQAAqAUAAAAA&#10;">
                        <v:fill on="f" focussize="0,0"/>
                        <v:stroke weight="0.5pt" color="#000000 [3200]" miterlimit="8" joinstyle="miter" endarrow="block"/>
                        <v:imagedata o:title=""/>
                        <o:lock v:ext="edit" aspectratio="f"/>
                      </v:shape>
                      <v:rect id="_x0000_s1026" o:spid="_x0000_s1026" o:spt="1" style="position:absolute;left:3913306;top:6501452;height:252095;width:500380;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TsN01gAAAAYBAAAPAAAAAAAAAAEAIAAAACIAAABkcnMvZG93bnJldi54&#10;bWxQSwECFAAUAAAACACHTuJAm1nBU24CAACzBAAADgAAAAAAAAABACAAAAAlAQAAZHJzL2Uyb0Rv&#10;Yy54bWxQSwUGAAAAAAYABgBZAQAABQ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出售</w:t>
                              </w:r>
                            </w:p>
                          </w:txbxContent>
                        </v:textbox>
                      </v:rect>
                      <v:shape id="_x0000_s1026" o:spid="_x0000_s1026" o:spt="32" type="#_x0000_t32" style="position:absolute;left:2276911;top:6627817;height:0;width:452755;"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0mIz1AAAAAYBAAAPAAAAAAAA&#10;AAEAIAAAACIAAABkcnMvZG93bnJldi54bWxQSwECFAAUAAAACACHTuJADmkF/hYCAADuAwAADgAA&#10;AAAAAAABACAAAAAjAQAAZHJzL2Uyb0RvYy54bWxQSwUGAAAAAAYABgBZAQAAqwUAAAAA&#10;">
                        <v:fill on="f" focussize="0,0"/>
                        <v:stroke weight="0.5pt" color="#000000 [3200]" miterlimit="8" joinstyle="miter" endarrow="block"/>
                        <v:imagedata o:title=""/>
                        <o:lock v:ext="edit" aspectratio="f"/>
                      </v:shape>
                      <v:rect id="_x0000_s1026" o:spid="_x0000_s1026" o:spt="1" style="position:absolute;left:1728713;top:5086017;height:254000;width:749935;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TsN01gAAAAYBAAAPAAAAAAAAAAEAIAAAACIAAABkcnMvZG93bnJldi54&#10;bWxQSwECFAAUAAAACACHTuJA/DbQaW4CAACzBAAADgAAAAAAAAABACAAAAAlAQAAZHJzL2Uyb0Rv&#10;Yy54bWxQSwUGAAAAAAYABgBZAQAABQYAAAAA&#10;">
                        <v:fill on="t" focussize="0,0"/>
                        <v:stroke on="f" weight="1pt" miterlimit="8" joinstyle="miter"/>
                        <v:imagedata o:title=""/>
                        <o:lock v:ext="edit" aspectratio="f"/>
                        <v:textbox>
                          <w:txbxContent>
                            <w:p>
                              <w:pPr>
                                <w:spacing w:before="0" w:beforeLines="0" w:line="0" w:lineRule="atLeast"/>
                                <w:ind w:firstLine="0" w:firstLineChars="0"/>
                                <w:rPr>
                                  <w:sz w:val="16"/>
                                  <w:szCs w:val="16"/>
                                </w:rPr>
                              </w:pPr>
                              <w:r>
                                <w:rPr>
                                  <w:rFonts w:hint="eastAsia"/>
                                  <w:sz w:val="16"/>
                                  <w:szCs w:val="16"/>
                                </w:rPr>
                                <w:t>不合格胴体</w:t>
                              </w:r>
                            </w:p>
                          </w:txbxContent>
                        </v:textbox>
                      </v:rect>
                      <v:shape id="_x0000_s1026" o:spid="_x0000_s1026" o:spt="32" type="#_x0000_t32" style="position:absolute;left:1528661;top:3796303;height:0;width:452755;"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LSYjPUAAAABgEAAA8AAAAAAAAA&#10;AQAgAAAAIgAAAGRycy9kb3ducmV2LnhtbFBLAQIUABQAAAAIAIdO4kAi0cJVFQIAAPADAAAOAAAA&#10;AAAAAAEAIAAAACMBAABkcnMvZTJvRG9jLnhtbFBLBQYAAAAABgAGAFkBAACqBQAAAAA=&#10;">
                        <v:fill on="f" focussize="0,0"/>
                        <v:stroke weight="0.5pt" color="#000000 [3200]" miterlimit="8" joinstyle="miter" endarrow="block"/>
                        <v:imagedata o:title=""/>
                        <o:lock v:ext="edit" aspectratio="f"/>
                      </v:shape>
                      <v:shape id="_x0000_s1026" o:spid="_x0000_s1026" o:spt="32" type="#_x0000_t32" style="position:absolute;left:1548136;top:4295735;height:0;width:43328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tJiM9QAAAAGAQAADwAAAAAAAAAB&#10;ACAAAAAiAAAAZHJzL2Rvd25yZXYueG1sUEsBAhQAFAAAAAgAh07iQOyiNxsUAgAA8AMAAA4AAAAA&#10;AAAAAQAgAAAAIwEAAGRycy9lMm9Eb2MueG1sUEsFBgAAAAAGAAYAWQEAAKkFAAAAAA==&#10;">
                        <v:fill on="f" focussize="0,0"/>
                        <v:stroke weight="0.5pt" color="#000000 [3200]" miterlimit="8" joinstyle="miter" endarrow="block"/>
                        <v:imagedata o:title=""/>
                        <o:lock v:ext="edit" aspectratio="f"/>
                      </v:shape>
                      <v:shape id="_x0000_s1026" o:spid="_x0000_s1026" o:spt="32" type="#_x0000_t32" style="position:absolute;left:2508344;top:4096200;height:0;width:262255;"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0mIz1AAAAAYBAAAPAAAAAAAA&#10;AAEAIAAAACIAAABkcnMvZG93bnJldi54bWxQSwECFAAUAAAACACHTuJAtEB8dhYCAADwAwAADgAA&#10;AAAAAAABACAAAAAjAQAAZHJzL2Uyb0RvYy54bWxQSwUGAAAAAAYABgBZAQAAqwUAAAAA&#10;">
                        <v:fill on="f" focussize="0,0"/>
                        <v:stroke weight="0.5pt" color="#000000 [3200]" miterlimit="8" joinstyle="miter" endarrow="block"/>
                        <v:imagedata o:title=""/>
                        <o:lock v:ext="edit" aspectratio="f"/>
                      </v:shape>
                      <v:shape id="_x0000_s1026" o:spid="_x0000_s1026" o:spt="32" type="#_x0000_t32" style="position:absolute;left:2508344;top:4482096;height:5506;width:608274;"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LS&#10;YjPUAAAABgEAAA8AAAAAAAAAAQAgAAAAIgAAAGRycy9kb3ducmV2LnhtbFBLAQIUABQAAAAIAIdO&#10;4kDPO3wJJwIAABwEAAAOAAAAAAAAAAEAIAAAACMBAABkcnMvZTJvRG9jLnhtbFBLBQYAAAAABgAG&#10;AFkBAAC8BQAAAAA=&#10;">
                        <v:fill on="f" focussize="0,0"/>
                        <v:stroke weight="0.5pt" color="#000000 [3200]" miterlimit="8" joinstyle="miter" endarrow="block"/>
                        <v:imagedata o:title=""/>
                        <o:lock v:ext="edit" aspectratio="f"/>
                      </v:shape>
                      <v:shape id="_x0000_s1026" o:spid="_x0000_s1026" o:spt="32" type="#_x0000_t32" style="position:absolute;left:4438650;top:4882146;height:242304;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JiM9QAAAAGAQAADwAAAAAAAAABACAA&#10;AAAiAAAAZHJzL2Rvd25yZXYueG1sUEsBAhQAFAAAAAgAh07iQLk2+vYRAgAA8AMAAA4AAAAAAAAA&#10;AQAgAAAAIwEAAGRycy9lMm9Eb2MueG1sUEsFBgAAAAAGAAYAWQEAAKYFAAAAAA==&#10;">
                        <v:fill on="f" focussize="0,0"/>
                        <v:stroke weight="0.5pt" color="#000000 [3200]" miterlimit="8" joinstyle="miter" endarrow="block"/>
                        <v:imagedata o:title=""/>
                        <o:lock v:ext="edit" aspectratio="f"/>
                      </v:shape>
                      <v:line id="_x0000_s1026" o:spid="_x0000_s1026" o:spt="20" style="position:absolute;left:2508344;top:4095024;flip:x;height:386750;width:10795;" filled="f" stroked="t" coordsize="21600,21600" o:gfxdata="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S6w+dUAAAAGAQAADwAAAAAAAAABACAAAAAiAAAAZHJzL2Rvd25yZXYu&#10;eG1sUEsBAhQAFAAAAAgAh07iQG8+/Hz+AQAAzgMAAA4AAAAAAAAAAQAgAAAAJAEAAGRycy9lMm9E&#10;b2MueG1sUEsFBgAAAAAGAAYAWQEAAJQFAAAAAA==&#10;">
                        <v:fill on="f" focussize="0,0"/>
                        <v:stroke weight="0.5pt" color="#000000 [3200]" miterlimit="8" joinstyle="miter"/>
                        <v:imagedata o:title=""/>
                        <o:lock v:ext="edit" aspectratio="f"/>
                      </v:line>
                      <v:rect id="_x0000_s1026" o:spid="_x0000_s1026" o:spt="1" style="position:absolute;left:3839826;top:4709744;height:268605;width:941724;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TsN01gAAAAYBAAAPAAAAAAAAAAEAIAAAACIAAABkcnMvZG93bnJldi54&#10;bWxQSwECFAAUAAAACACHTuJAzWa+T24CAAC1BAAADgAAAAAAAAABACAAAAAlAQAAZHJzL2Uyb0Rv&#10;Yy54bWxQSwUGAAAAAAYABgBZAQAABQ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sz w:val="21"/>
                                  <w:szCs w:val="21"/>
                                </w:rPr>
                                <w:t>牛</w:t>
                              </w:r>
                              <w:r>
                                <w:rPr>
                                  <w:rFonts w:hint="eastAsia"/>
                                  <w:sz w:val="21"/>
                                  <w:szCs w:val="21"/>
                                </w:rPr>
                                <w:t>、羊副产品</w:t>
                              </w:r>
                            </w:p>
                          </w:txbxContent>
                        </v:textbox>
                      </v:rect>
                      <v:rect id="_x0000_s1026" o:spid="_x0000_s1026" o:spt="1" style="position:absolute;left:4231642;top:5113863;height:269240;width:521333;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pOw3TWAAAABgEAAA8AAAAAAAAAAQAgAAAAIgAAAGRycy9kb3ducmV2&#10;LnhtbFBLAQIUABQAAAAIAIdO4kDdGhCscAIAALUEAAAOAAAAAAAAAAEAIAAAACUBAABkcnMvZTJv&#10;RG9jLnhtbFBLBQYAAAAABgAGAFkBAAAHBgAAAAA=&#10;">
                        <v:fill on="t" focussize="0,0"/>
                        <v:stroke on="f" weight="1pt" miterlimit="8" joinstyle="miter"/>
                        <v:imagedata o:title=""/>
                        <o:lock v:ext="edit" aspectratio="f"/>
                        <v:textbox>
                          <w:txbxContent>
                            <w:p>
                              <w:pPr>
                                <w:spacing w:before="0" w:beforeLines="0" w:line="0" w:lineRule="atLeast"/>
                                <w:ind w:firstLine="0" w:firstLineChars="0"/>
                                <w:rPr>
                                  <w:sz w:val="20"/>
                                  <w:szCs w:val="21"/>
                                </w:rPr>
                              </w:pPr>
                              <w:r>
                                <w:rPr>
                                  <w:rFonts w:hint="eastAsia"/>
                                  <w:sz w:val="20"/>
                                  <w:szCs w:val="21"/>
                                </w:rPr>
                                <w:t>出售</w:t>
                              </w:r>
                            </w:p>
                          </w:txbxContent>
                        </v:textbox>
                      </v:rect>
                      <v:shape id="_x0000_s1026" o:spid="_x0000_s1026" o:spt="32" type="#_x0000_t32" style="position:absolute;left:1545522;top:5314137;height:0;width:1106805;" filled="f" stroked="t" coordsize="21600,21600" o:gfxdata="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uR6y1QAAAAYB&#10;AAAPAAAAAAAAAAEAIAAAACIAAABkcnMvZG93bnJldi54bWxQSwECFAAUAAAACACHTuJA+HkN5B4C&#10;AAAbBAAADgAAAAAAAAABACAAAAAkAQAAZHJzL2Uyb0RvYy54bWxQSwUGAAAAAAYABgBZAQAAtAUA&#10;AAAA&#10;">
                        <v:fill on="f" focussize="0,0"/>
                        <v:stroke color="#000000 [3200]" joinstyle="round" dashstyle="dash"/>
                        <v:imagedata o:title=""/>
                        <o:lock v:ext="edit" aspectratio="f"/>
                      </v:shape>
                      <v:rect id="_x0000_s1026" o:spid="_x0000_s1026" o:spt="1" style="position:absolute;left:3116618;top:4361554;height:252095;width:500380;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pOw3TWAAAABgEAAA8AAAAAAAAAAQAgAAAAIgAAAGRycy9kb3ducmV2Lnht&#10;bFBLAQIUABQAAAAIAIdO4kDEzYt+bQIAALUEAAAOAAAAAAAAAAEAIAAAACUBAABkcnMvZTJvRG9j&#10;LnhtbFBLBQYAAAAABgAGAFkBAAAEBg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检</w:t>
                              </w:r>
                              <w:r>
                                <w:rPr>
                                  <w:sz w:val="21"/>
                                  <w:szCs w:val="21"/>
                                </w:rPr>
                                <w:t>疫</w:t>
                              </w:r>
                            </w:p>
                          </w:txbxContent>
                        </v:textbox>
                      </v:rect>
                      <v:rect id="_x0000_s1026" o:spid="_x0000_s1026" o:spt="1" style="position:absolute;left:3047025;top:4741840;height:269240;width:620100;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aTsN01gAAAAYBAAAPAAAAAAAAAAEAIAAAACIAAABkcnMvZG93bnJldi54bWxQ&#10;SwECFAAUAAAACACHTuJAKA3ukWsCAAC1BAAADgAAAAAAAAABACAAAAAlAQAAZHJzL2Uyb0RvYy54&#10;bWxQSwUGAAAAAAYABgBZAQAAAgY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不</w:t>
                              </w:r>
                              <w:r>
                                <w:rPr>
                                  <w:sz w:val="21"/>
                                  <w:szCs w:val="21"/>
                                </w:rPr>
                                <w:t>合格</w:t>
                              </w:r>
                            </w:p>
                          </w:txbxContent>
                        </v:textbox>
                      </v:rect>
                      <v:shape id="_x0000_s1026" o:spid="_x0000_s1026" o:spt="32" type="#_x0000_t32" style="position:absolute;left:3536223;top:4485244;height:5080;width:607695;"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0mIz1AAAAAYBAAAPAAAA&#10;AAAAAAEAIAAAACIAAABkcnMvZG93bnJldi54bWxQSwECFAAUAAAACACHTuJAPSgjCxkCAADzAwAA&#10;DgAAAAAAAAABACAAAAAjAQAAZHJzL2Uyb0RvYy54bWxQSwUGAAAAAAYABgBZAQAArgUAAAAA&#10;">
                        <v:fill on="f" focussize="0,0"/>
                        <v:stroke weight="0.5pt" color="#000000 [3200]" miterlimit="8" joinstyle="miter" endarrow="block"/>
                        <v:imagedata o:title=""/>
                        <o:lock v:ext="edit" aspectratio="f"/>
                      </v:shape>
                      <v:shape id="_x0000_s1026" o:spid="_x0000_s1026" o:spt="32" type="#_x0000_t32" style="position:absolute;left:4428150;top:4528480;height:241935;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0mIz1AAAAAYBAAAPAAAAAAAAAAEA&#10;IAAAACIAAABkcnMvZG93bnJldi54bWxQSwECFAAUAAAACACHTuJA6dfLBhMCAADwAwAADgAAAAAA&#10;AAABACAAAAAjAQAAZHJzL2Uyb0RvYy54bWxQSwUGAAAAAAYABgBZAQAAqAUAAAAA&#10;">
                        <v:fill on="f" focussize="0,0"/>
                        <v:stroke weight="0.5pt" color="#000000 [3200]" miterlimit="8" joinstyle="miter" endarrow="block"/>
                        <v:imagedata o:title=""/>
                        <o:lock v:ext="edit" aspectratio="f"/>
                      </v:shape>
                      <v:shape id="_x0000_s1026" o:spid="_x0000_s1026" o:spt="32" type="#_x0000_t32" style="position:absolute;left:3331505;top:4574835;height:195580;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0mIz1AAAAAYBAAAPAAAAAAAA&#10;AAEAIAAAACIAAABkcnMvZG93bnJldi54bWxQSwECFAAUAAAACACHTuJAL5sq2RYCAADwAwAADgAA&#10;AAAAAAABACAAAAAjAQAAZHJzL2Uyb0RvYy54bWxQSwUGAAAAAAYABgBZAQAAqwUAAAAA&#10;">
                        <v:fill on="f" focussize="0,0"/>
                        <v:stroke weight="0.5pt" color="#000000 [3200]" miterlimit="8" joinstyle="miter" endarrow="block"/>
                        <v:imagedata o:title=""/>
                        <o:lock v:ext="edit" aspectratio="f"/>
                      </v:shape>
                      <v:shape id="_x0000_s1026" o:spid="_x0000_s1026" o:spt="32" type="#_x0000_t32" style="position:absolute;left:3311185;top:4954565;height:274660;width:0;" filled="f" stroked="t" coordsize="21600,21600" o:gfxdata="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tJiM9QAAAAGAQAADwAAAAAA&#10;AAABACAAAAAiAAAAZHJzL2Rvd25yZXYueG1sUEsBAhQAFAAAAAgAh07iQPvvqjQXAgAA8AMAAA4A&#10;AAAAAAAAAQAgAAAAIwEAAGRycy9lMm9Eb2MueG1sUEsFBgAAAAAGAAYAWQEAAKwFAAAAAA==&#10;">
                        <v:fill on="f" focussize="0,0"/>
                        <v:stroke weight="0.5pt" color="#000000 [3200]" miterlimit="8" joinstyle="miter" endarrow="block"/>
                        <v:imagedata o:title=""/>
                        <o:lock v:ext="edit" aspectratio="f"/>
                      </v:shape>
                      <v:rect id="_x0000_s1026" o:spid="_x0000_s1026" o:spt="1" style="position:absolute;left:4218600;top:4361554;height:269240;width:534375;v-text-anchor:middle;" fillcolor="#FFFFFF [3201]" filled="t" stroked="f" coordsize="21600,21600" o:gfxdata="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pOw3TWAAAABgEAAA8AAAAAAAAAAQAgAAAAIgAAAGRycy9kb3ducmV2&#10;LnhtbFBLAQIUABQAAAAIAIdO4kApXzGNcAIAALUEAAAOAAAAAAAAAAEAIAAAACUBAABkcnMvZTJv&#10;RG9jLnhtbFBLBQYAAAAABgAGAFkBAAAHBgAAAAA=&#10;">
                        <v:fill on="t" focussize="0,0"/>
                        <v:stroke on="f" weight="1pt" miterlimit="8" joinstyle="miter"/>
                        <v:imagedata o:title=""/>
                        <o:lock v:ext="edit" aspectratio="f"/>
                        <v:textbox>
                          <w:txbxContent>
                            <w:p>
                              <w:pPr>
                                <w:spacing w:before="0" w:beforeLines="0" w:line="0" w:lineRule="atLeast"/>
                                <w:ind w:firstLine="0" w:firstLineChars="0"/>
                                <w:rPr>
                                  <w:sz w:val="21"/>
                                  <w:szCs w:val="21"/>
                                </w:rPr>
                              </w:pPr>
                              <w:r>
                                <w:rPr>
                                  <w:rFonts w:hint="eastAsia"/>
                                  <w:sz w:val="21"/>
                                  <w:szCs w:val="21"/>
                                </w:rPr>
                                <w:t>合</w:t>
                              </w:r>
                              <w:r>
                                <w:rPr>
                                  <w:sz w:val="21"/>
                                  <w:szCs w:val="21"/>
                                </w:rPr>
                                <w:t>格</w:t>
                              </w:r>
                            </w:p>
                          </w:txbxContent>
                        </v:textbox>
                      </v:rect>
                      <w10:wrap type="none"/>
                      <w10:anchorlock/>
                    </v:group>
                  </w:pict>
                </mc:Fallback>
              </mc:AlternateContent>
            </w:r>
          </w:p>
          <w:p>
            <w:pPr>
              <w:pStyle w:val="17"/>
              <w:spacing w:before="120" w:line="360" w:lineRule="auto"/>
              <w:rPr>
                <w:b/>
                <w:bCs w:val="0"/>
                <w:szCs w:val="21"/>
              </w:rPr>
            </w:pPr>
            <w:r>
              <w:rPr>
                <w:b/>
                <w:bCs w:val="0"/>
                <w:szCs w:val="21"/>
              </w:rPr>
              <w:t>图2-8  本项目</w:t>
            </w:r>
            <w:r>
              <w:rPr>
                <w:rFonts w:hint="eastAsia"/>
                <w:b/>
                <w:bCs w:val="0"/>
                <w:szCs w:val="21"/>
              </w:rPr>
              <w:t>牛羊屠宰</w:t>
            </w:r>
            <w:r>
              <w:rPr>
                <w:b/>
                <w:bCs w:val="0"/>
                <w:szCs w:val="21"/>
              </w:rPr>
              <w:t>工艺流程及产污节点图</w:t>
            </w:r>
          </w:p>
          <w:p>
            <w:pPr>
              <w:pStyle w:val="11"/>
              <w:widowControl w:val="0"/>
              <w:spacing w:before="240" w:beforeLines="100" w:after="0" w:line="360" w:lineRule="auto"/>
              <w:ind w:right="374" w:firstLine="482"/>
              <w:rPr>
                <w:b/>
                <w:sz w:val="24"/>
              </w:rPr>
            </w:pPr>
            <w:r>
              <w:rPr>
                <w:b/>
                <w:sz w:val="24"/>
              </w:rPr>
              <w:t>生产工艺流程简介：</w:t>
            </w:r>
          </w:p>
          <w:p>
            <w:pPr>
              <w:spacing w:before="120"/>
              <w:ind w:firstLine="480"/>
            </w:pPr>
            <w:r>
              <w:rPr>
                <w:rFonts w:hint="eastAsia"/>
                <w:bCs/>
                <w:color w:val="000000"/>
                <w:kern w:val="28"/>
                <w:szCs w:val="40"/>
              </w:rPr>
              <w:t>牛羊经宰前处理、宰杀放血、剥皮、开剖净腔、修理、排酸得到牛羊胴体，牛羊胴体部分作为产品外售，部分经分割加工得到牛羊肉排、分割牛羊肉作为产品外售；牛羊屠宰伴随得到的牛羊血、牛羊皮、牛羊下水（头脚内脏）、牛羊骨、牛羊油作为副产品外出售。</w:t>
            </w:r>
          </w:p>
          <w:p>
            <w:pPr>
              <w:spacing w:before="120"/>
              <w:ind w:firstLine="480"/>
            </w:pPr>
            <w:r>
              <w:rPr>
                <w:rFonts w:hint="eastAsia"/>
              </w:rPr>
              <w:t>（</w:t>
            </w:r>
            <w:r>
              <w:t>1</w:t>
            </w:r>
            <w:r>
              <w:rPr>
                <w:rFonts w:hint="eastAsia"/>
              </w:rPr>
              <w:t>）宰前处理</w:t>
            </w:r>
          </w:p>
          <w:p>
            <w:pPr>
              <w:spacing w:before="120"/>
              <w:ind w:firstLine="480"/>
            </w:pPr>
            <w:r>
              <w:rPr>
                <w:rFonts w:hint="eastAsia"/>
              </w:rPr>
              <w:t>牛羊在屠宰前一天被运到屠宰厂，进厂前饲养户需出具合格检疫证或防疫注射证，由厂方采购人员按检疫证或防疫注射证对牛羊品种及头数进行核对，与检疫证或防疫注射证不符或未有检疫证或防疫注射证的牛羊不得进厂。牛羊在宰杀前需要断食，并充分给盐水。</w:t>
            </w:r>
          </w:p>
          <w:p>
            <w:pPr>
              <w:spacing w:before="120"/>
              <w:ind w:firstLine="480"/>
            </w:pPr>
            <w:r>
              <w:rPr>
                <w:rFonts w:hint="eastAsia"/>
              </w:rPr>
              <w:t>（</w:t>
            </w:r>
            <w:r>
              <w:t>2</w:t>
            </w:r>
            <w:r>
              <w:rPr>
                <w:rFonts w:hint="eastAsia"/>
              </w:rPr>
              <w:t>）宰杀放血、头脚检查、清洗</w:t>
            </w:r>
          </w:p>
          <w:p>
            <w:pPr>
              <w:spacing w:before="120"/>
              <w:ind w:firstLine="480"/>
            </w:pPr>
            <w:r>
              <w:rPr>
                <w:rFonts w:hint="eastAsia"/>
              </w:rPr>
              <w:t>待宰牛羊由输送机送入放血线进行放血，大约沥血</w:t>
            </w:r>
            <w:r>
              <w:t>5</w:t>
            </w:r>
            <w:r>
              <w:rPr>
                <w:rFonts w:hint="eastAsia"/>
              </w:rPr>
              <w:t>分钟，牛羊血顺血槽流入牛羊血收集桶，收集的牛羊血作为副产品外售；沥血完毕后牛羊清洗干净后进入剥皮生产线</w:t>
            </w:r>
          </w:p>
          <w:p>
            <w:pPr>
              <w:spacing w:before="120"/>
              <w:ind w:firstLine="480"/>
            </w:pPr>
            <w:r>
              <w:rPr>
                <w:rFonts w:hint="eastAsia"/>
              </w:rPr>
              <w:t>（</w:t>
            </w:r>
            <w:r>
              <w:t>3</w:t>
            </w:r>
            <w:r>
              <w:rPr>
                <w:rFonts w:hint="eastAsia"/>
              </w:rPr>
              <w:t>）剥皮</w:t>
            </w:r>
          </w:p>
          <w:p>
            <w:pPr>
              <w:spacing w:before="120"/>
              <w:ind w:firstLine="480"/>
            </w:pPr>
            <w:r>
              <w:rPr>
                <w:rFonts w:hint="eastAsia"/>
              </w:rPr>
              <w:t>牛羊清洗后进入剥皮生产线，先去头蹄，再进入剥皮机剥皮。剥皮的牛羊进入开剖净腔工序。收集的牛羊皮作为副产品外售。</w:t>
            </w:r>
          </w:p>
          <w:p>
            <w:pPr>
              <w:spacing w:before="120"/>
              <w:ind w:firstLine="480"/>
            </w:pPr>
            <w:r>
              <w:rPr>
                <w:rFonts w:hint="eastAsia"/>
              </w:rPr>
              <w:t>（</w:t>
            </w:r>
            <w:r>
              <w:t>4</w:t>
            </w:r>
            <w:r>
              <w:rPr>
                <w:rFonts w:hint="eastAsia"/>
              </w:rPr>
              <w:t>）开剖净腔、修理、宰后检验</w:t>
            </w:r>
          </w:p>
          <w:p>
            <w:pPr>
              <w:spacing w:before="120"/>
              <w:ind w:firstLine="480"/>
            </w:pPr>
            <w:r>
              <w:rPr>
                <w:rFonts w:hint="eastAsia"/>
              </w:rPr>
              <w:t>剥皮的牛羊在开剖净腔工段完成取内脏（肠、胃、心、肝、肺）后进行检疫，检疫合格进入修整工序，内脏送副产品加工工序，检疫不合格进入无害化间处理；牛羊进入修整工序去除一些碎肉、碎骨，修整后的牛羊进行宰后检验，检验合格的牛羊胴体送排酸间。</w:t>
            </w:r>
          </w:p>
          <w:p>
            <w:pPr>
              <w:spacing w:before="120"/>
              <w:ind w:firstLine="480"/>
              <w:rPr>
                <w:bCs/>
                <w:color w:val="000000"/>
                <w:kern w:val="28"/>
                <w:szCs w:val="40"/>
              </w:rPr>
            </w:pPr>
            <w:r>
              <w:rPr>
                <w:rFonts w:hint="eastAsia"/>
                <w:bCs/>
                <w:color w:val="000000"/>
                <w:kern w:val="28"/>
                <w:szCs w:val="40"/>
              </w:rPr>
              <w:t>（</w:t>
            </w:r>
            <w:r>
              <w:rPr>
                <w:bCs/>
                <w:color w:val="000000"/>
                <w:kern w:val="28"/>
                <w:szCs w:val="40"/>
              </w:rPr>
              <w:t>5</w:t>
            </w:r>
            <w:r>
              <w:rPr>
                <w:rFonts w:hint="eastAsia"/>
                <w:bCs/>
                <w:color w:val="000000"/>
                <w:kern w:val="28"/>
                <w:szCs w:val="40"/>
              </w:rPr>
              <w:t>）检查</w:t>
            </w:r>
          </w:p>
          <w:p>
            <w:pPr>
              <w:spacing w:before="120"/>
              <w:ind w:firstLine="480"/>
              <w:rPr>
                <w:bCs/>
                <w:color w:val="000000"/>
                <w:kern w:val="28"/>
                <w:szCs w:val="40"/>
              </w:rPr>
            </w:pPr>
            <w:r>
              <w:rPr>
                <w:rFonts w:hint="eastAsia"/>
                <w:bCs/>
                <w:color w:val="000000"/>
                <w:kern w:val="28"/>
                <w:szCs w:val="40"/>
              </w:rPr>
              <w:t>牛羊屠宰完成后要进行宰后检查，合格的牛羊胴体进入排酸工序，不合格的牛羊胴体进入无害化处理。</w:t>
            </w:r>
          </w:p>
          <w:p>
            <w:pPr>
              <w:spacing w:before="120"/>
              <w:ind w:firstLine="480"/>
              <w:rPr>
                <w:bCs/>
                <w:color w:val="000000"/>
                <w:kern w:val="28"/>
                <w:szCs w:val="40"/>
              </w:rPr>
            </w:pPr>
            <w:r>
              <w:rPr>
                <w:rFonts w:hint="eastAsia"/>
                <w:bCs/>
                <w:color w:val="000000"/>
                <w:kern w:val="28"/>
                <w:szCs w:val="40"/>
              </w:rPr>
              <w:t>（</w:t>
            </w:r>
            <w:r>
              <w:rPr>
                <w:bCs/>
                <w:color w:val="000000"/>
                <w:kern w:val="28"/>
                <w:szCs w:val="40"/>
              </w:rPr>
              <w:t>6</w:t>
            </w:r>
            <w:r>
              <w:rPr>
                <w:rFonts w:hint="eastAsia"/>
                <w:bCs/>
                <w:color w:val="000000"/>
                <w:kern w:val="28"/>
                <w:szCs w:val="40"/>
              </w:rPr>
              <w:t>）排酸</w:t>
            </w:r>
          </w:p>
          <w:p>
            <w:pPr>
              <w:spacing w:before="120"/>
              <w:ind w:firstLine="480"/>
            </w:pPr>
            <w:r>
              <w:rPr>
                <w:rFonts w:hint="eastAsia"/>
                <w:bCs/>
                <w:color w:val="000000"/>
                <w:kern w:val="28"/>
                <w:szCs w:val="40"/>
              </w:rPr>
              <w:t>宰后检验合格的牛羊胴体送到冷却排酸间，在0</w:t>
            </w:r>
            <w:r>
              <w:rPr>
                <w:bCs/>
                <w:color w:val="000000"/>
                <w:kern w:val="28"/>
                <w:szCs w:val="40"/>
              </w:rPr>
              <w:t>-</w:t>
            </w:r>
            <w:r>
              <w:rPr>
                <w:bCs/>
                <w:color w:val="000000"/>
                <w:kern w:val="28"/>
              </w:rPr>
              <w:t>4</w:t>
            </w:r>
            <w:r>
              <w:rPr>
                <w:rFonts w:hint="eastAsia"/>
                <w:bCs/>
                <w:color w:val="000000"/>
                <w:kern w:val="28"/>
              </w:rPr>
              <w:t>℃</w:t>
            </w:r>
            <w:r>
              <w:rPr>
                <w:rFonts w:hint="eastAsia"/>
                <w:bCs/>
                <w:color w:val="000000"/>
                <w:kern w:val="28"/>
                <w:szCs w:val="40"/>
              </w:rPr>
              <w:t>温度下冷却排酸，排酸后的牛羊胴体部分作为主产品外售，部分送加工车间分割加工。</w:t>
            </w:r>
          </w:p>
          <w:p>
            <w:pPr>
              <w:spacing w:before="120"/>
              <w:ind w:firstLine="480"/>
              <w:rPr>
                <w:bCs/>
                <w:color w:val="000000"/>
                <w:kern w:val="28"/>
                <w:szCs w:val="40"/>
              </w:rPr>
            </w:pPr>
            <w:r>
              <w:rPr>
                <w:rFonts w:hint="eastAsia"/>
                <w:bCs/>
                <w:color w:val="000000"/>
                <w:kern w:val="28"/>
                <w:szCs w:val="40"/>
              </w:rPr>
              <w:t>（</w:t>
            </w:r>
            <w:r>
              <w:rPr>
                <w:bCs/>
                <w:color w:val="000000"/>
                <w:kern w:val="28"/>
                <w:szCs w:val="40"/>
              </w:rPr>
              <w:t>7</w:t>
            </w:r>
            <w:r>
              <w:rPr>
                <w:rFonts w:hint="eastAsia"/>
                <w:bCs/>
                <w:color w:val="000000"/>
                <w:kern w:val="28"/>
                <w:szCs w:val="40"/>
              </w:rPr>
              <w:t>）分割加工、包装</w:t>
            </w:r>
          </w:p>
          <w:p>
            <w:pPr>
              <w:spacing w:before="120"/>
              <w:ind w:firstLine="480"/>
              <w:rPr>
                <w:bCs/>
                <w:color w:val="000000"/>
                <w:kern w:val="28"/>
                <w:szCs w:val="40"/>
              </w:rPr>
            </w:pPr>
            <w:r>
              <w:rPr>
                <w:rFonts w:hint="eastAsia"/>
                <w:bCs/>
                <w:color w:val="000000"/>
                <w:kern w:val="28"/>
                <w:szCs w:val="40"/>
              </w:rPr>
              <w:t>部分排酸后的牛羊胴体在加工车间，由人工经锯排、剔骨、去油、分割得到的牛羊肉排和分割牛羊肉包装后作为主产品外售，剔出的牛羊骨和牛羊油作为副产品出售。</w:t>
            </w:r>
          </w:p>
          <w:p>
            <w:pPr>
              <w:spacing w:before="120"/>
              <w:ind w:firstLine="480"/>
              <w:rPr>
                <w:bCs/>
                <w:color w:val="000000"/>
                <w:kern w:val="28"/>
                <w:szCs w:val="40"/>
              </w:rPr>
            </w:pPr>
            <w:r>
              <w:rPr>
                <w:rFonts w:hint="eastAsia"/>
                <w:bCs/>
                <w:color w:val="000000"/>
                <w:kern w:val="28"/>
                <w:szCs w:val="40"/>
              </w:rPr>
              <w:t>（</w:t>
            </w:r>
            <w:r>
              <w:rPr>
                <w:bCs/>
                <w:color w:val="000000"/>
                <w:kern w:val="28"/>
                <w:szCs w:val="40"/>
              </w:rPr>
              <w:t>8</w:t>
            </w:r>
            <w:r>
              <w:rPr>
                <w:rFonts w:hint="eastAsia"/>
                <w:bCs/>
                <w:color w:val="000000"/>
                <w:kern w:val="28"/>
                <w:szCs w:val="40"/>
              </w:rPr>
              <w:t>）副产品加工</w:t>
            </w:r>
          </w:p>
          <w:p>
            <w:pPr>
              <w:spacing w:before="120"/>
              <w:ind w:firstLine="480"/>
              <w:rPr>
                <w:bCs/>
                <w:color w:val="000000"/>
                <w:kern w:val="28"/>
                <w:szCs w:val="40"/>
              </w:rPr>
            </w:pPr>
            <w:r>
              <w:rPr>
                <w:rFonts w:hint="eastAsia"/>
                <w:bCs/>
                <w:color w:val="000000"/>
                <w:kern w:val="28"/>
                <w:szCs w:val="40"/>
              </w:rPr>
              <w:t>牛羊屠宰加工过程中收集的牛羊皮、牛羊骨直接作为副产品外售，牛羊下水经简单加工处理后外售。</w:t>
            </w:r>
          </w:p>
          <w:p>
            <w:pPr>
              <w:spacing w:before="120"/>
              <w:ind w:firstLine="462"/>
              <w:rPr>
                <w:b/>
                <w:spacing w:val="-5"/>
              </w:rPr>
            </w:pPr>
            <w:r>
              <w:rPr>
                <w:b/>
                <w:spacing w:val="-5"/>
              </w:rPr>
              <w:t>3、产排污环节分析</w:t>
            </w:r>
          </w:p>
          <w:p>
            <w:pPr>
              <w:spacing w:before="120"/>
              <w:ind w:firstLine="480"/>
            </w:pPr>
            <w:r>
              <w:t>（1）施工期</w:t>
            </w:r>
          </w:p>
          <w:p>
            <w:pPr>
              <w:spacing w:before="120"/>
              <w:ind w:firstLine="480"/>
              <w:rPr>
                <w:bCs/>
                <w:color w:val="000000"/>
                <w:kern w:val="28"/>
                <w:szCs w:val="40"/>
              </w:rPr>
            </w:pPr>
            <w:r>
              <w:rPr>
                <w:rFonts w:hint="eastAsia"/>
                <w:bCs/>
                <w:color w:val="000000"/>
                <w:kern w:val="28"/>
                <w:szCs w:val="40"/>
              </w:rPr>
              <w:t>本项目施工期产生污染物主要为：</w:t>
            </w:r>
          </w:p>
          <w:p>
            <w:pPr>
              <w:spacing w:before="120"/>
              <w:ind w:firstLine="480"/>
              <w:rPr>
                <w:bCs/>
                <w:color w:val="000000"/>
                <w:kern w:val="28"/>
                <w:szCs w:val="40"/>
              </w:rPr>
            </w:pPr>
            <w:r>
              <w:rPr>
                <w:rFonts w:hint="eastAsia"/>
                <w:bCs/>
                <w:color w:val="000000"/>
                <w:kern w:val="28"/>
                <w:szCs w:val="40"/>
              </w:rPr>
              <w:t>废气：本项目施工期主要大气污染源为施工扬尘，装修工程及各种机械设备和车辆运输会产生颗粒物。</w:t>
            </w:r>
          </w:p>
          <w:p>
            <w:pPr>
              <w:spacing w:before="120"/>
              <w:ind w:firstLine="480"/>
              <w:rPr>
                <w:bCs/>
                <w:color w:val="000000"/>
                <w:kern w:val="28"/>
                <w:szCs w:val="40"/>
              </w:rPr>
            </w:pPr>
            <w:r>
              <w:rPr>
                <w:rFonts w:hint="eastAsia"/>
                <w:bCs/>
                <w:color w:val="000000"/>
                <w:kern w:val="28"/>
                <w:szCs w:val="40"/>
              </w:rPr>
              <w:t>废水：施工期的废水主要为施工人员产生的生活污水和建筑施工产生的施工废水。</w:t>
            </w:r>
          </w:p>
          <w:p>
            <w:pPr>
              <w:spacing w:before="120"/>
              <w:ind w:firstLine="480"/>
              <w:rPr>
                <w:bCs/>
                <w:color w:val="000000"/>
                <w:kern w:val="28"/>
                <w:szCs w:val="40"/>
              </w:rPr>
            </w:pPr>
            <w:r>
              <w:rPr>
                <w:rFonts w:hint="eastAsia"/>
                <w:bCs/>
                <w:color w:val="000000"/>
                <w:kern w:val="28"/>
                <w:szCs w:val="40"/>
              </w:rPr>
              <w:t>噪声：建设施工过程中，主要有设备噪声、机械噪声。施工设备噪声主要是挖掘机、铲车及运输车辆等设备的发动机噪声及电锯噪声；机械噪声主要是打桩机锤击声、机械挖掘土石噪声、搅拌机的材料撞击声等。</w:t>
            </w:r>
          </w:p>
          <w:p>
            <w:pPr>
              <w:spacing w:before="120"/>
              <w:ind w:firstLine="480"/>
              <w:rPr>
                <w:bCs/>
                <w:color w:val="000000"/>
                <w:kern w:val="28"/>
                <w:szCs w:val="40"/>
              </w:rPr>
            </w:pPr>
            <w:r>
              <w:rPr>
                <w:rFonts w:hint="eastAsia"/>
                <w:bCs/>
                <w:color w:val="000000"/>
                <w:kern w:val="28"/>
                <w:szCs w:val="40"/>
              </w:rPr>
              <w:t>固体废物：施工期间产生的固体废物主要包括建筑余料、废料、渣土开挖的余泥、生活垃圾等。</w:t>
            </w:r>
          </w:p>
          <w:p>
            <w:pPr>
              <w:spacing w:before="120"/>
              <w:ind w:firstLine="480"/>
              <w:rPr>
                <w:bCs/>
                <w:color w:val="000000"/>
                <w:kern w:val="28"/>
                <w:szCs w:val="40"/>
              </w:rPr>
            </w:pPr>
            <w:r>
              <w:rPr>
                <w:rFonts w:hint="eastAsia"/>
                <w:bCs/>
                <w:color w:val="000000"/>
                <w:kern w:val="28"/>
                <w:szCs w:val="40"/>
              </w:rPr>
              <w:t>生态环境：项目选址区域内无生态保护目标和生态利用价值的景观，产生的固废按规定处理后，不会对周围生态环境造成破坏。</w:t>
            </w:r>
          </w:p>
          <w:p>
            <w:pPr>
              <w:spacing w:before="120"/>
              <w:ind w:firstLine="480"/>
            </w:pPr>
            <w:r>
              <w:t>（2）运营期</w:t>
            </w:r>
          </w:p>
          <w:p>
            <w:pPr>
              <w:spacing w:before="120"/>
              <w:ind w:firstLine="480"/>
              <w:rPr>
                <w:color w:val="000000"/>
              </w:rPr>
            </w:pPr>
            <w:r>
              <w:rPr>
                <w:color w:val="000000"/>
              </w:rPr>
              <w:t>本项目运营期主要污染物为：</w:t>
            </w:r>
          </w:p>
          <w:p>
            <w:pPr>
              <w:spacing w:before="120"/>
              <w:ind w:firstLine="480"/>
              <w:rPr>
                <w:color w:val="000000"/>
              </w:rPr>
            </w:pPr>
            <w:r>
              <w:rPr>
                <w:color w:val="000000"/>
              </w:rPr>
              <w:t>废气：</w:t>
            </w:r>
            <w:r>
              <w:rPr>
                <w:rFonts w:hint="eastAsia"/>
                <w:color w:val="000000"/>
              </w:rPr>
              <w:t>本项目运营期产生的废气主要包括待宰栏、屠宰车间、污水处理站产生的恶臭废气及食堂油烟。</w:t>
            </w:r>
          </w:p>
          <w:p>
            <w:pPr>
              <w:spacing w:before="120"/>
              <w:ind w:firstLine="480"/>
              <w:rPr>
                <w:color w:val="000000"/>
              </w:rPr>
            </w:pPr>
            <w:r>
              <w:rPr>
                <w:color w:val="000000"/>
              </w:rPr>
              <w:t>废水：</w:t>
            </w:r>
            <w:r>
              <w:rPr>
                <w:rFonts w:hint="eastAsia"/>
                <w:color w:val="000000"/>
              </w:rPr>
              <w:t>本项目运营期产生的废水包括</w:t>
            </w:r>
            <w:r>
              <w:rPr>
                <w:rFonts w:hint="eastAsia"/>
                <w:bCs/>
                <w:color w:val="000000"/>
              </w:rPr>
              <w:t>消毒废水</w:t>
            </w:r>
            <w:r>
              <w:rPr>
                <w:bCs/>
                <w:color w:val="000000"/>
              </w:rPr>
              <w:t>、</w:t>
            </w:r>
            <w:r>
              <w:rPr>
                <w:rFonts w:hint="eastAsia"/>
                <w:bCs/>
                <w:color w:val="000000"/>
              </w:rPr>
              <w:t>车辆清洗废水、待宰栏废水、</w:t>
            </w:r>
            <w:r>
              <w:rPr>
                <w:rFonts w:hint="eastAsia"/>
                <w:bCs/>
                <w:color w:val="000000"/>
                <w:kern w:val="2"/>
                <w:szCs w:val="22"/>
              </w:rPr>
              <w:t>生物（或碱）喷淋塔</w:t>
            </w:r>
            <w:r>
              <w:rPr>
                <w:rFonts w:hint="eastAsia"/>
                <w:bCs/>
                <w:color w:val="000000"/>
              </w:rPr>
              <w:t>设施、屠宰车间废</w:t>
            </w:r>
            <w:r>
              <w:rPr>
                <w:bCs/>
                <w:color w:val="000000"/>
              </w:rPr>
              <w:t>水</w:t>
            </w:r>
            <w:r>
              <w:rPr>
                <w:rFonts w:hint="eastAsia"/>
                <w:bCs/>
                <w:color w:val="000000"/>
              </w:rPr>
              <w:t>、生活污水及初期雨水</w:t>
            </w:r>
            <w:r>
              <w:rPr>
                <w:color w:val="000000"/>
              </w:rPr>
              <w:t>；</w:t>
            </w:r>
          </w:p>
          <w:p>
            <w:pPr>
              <w:spacing w:before="120"/>
              <w:ind w:firstLine="480"/>
              <w:rPr>
                <w:color w:val="000000"/>
              </w:rPr>
            </w:pPr>
            <w:r>
              <w:rPr>
                <w:color w:val="000000"/>
              </w:rPr>
              <w:t>噪声：</w:t>
            </w:r>
            <w:r>
              <w:rPr>
                <w:rFonts w:hint="eastAsia"/>
                <w:color w:val="000000"/>
              </w:rPr>
              <w:t>本项目运营期噪声主要为设备噪声和牛、羊嚎叫，设备主要为提升机、牛皮机、输送机、压缩机、风机及泵类等。</w:t>
            </w:r>
          </w:p>
          <w:p>
            <w:pPr>
              <w:spacing w:before="120"/>
              <w:ind w:firstLine="480"/>
              <w:rPr>
                <w:color w:val="000000"/>
              </w:rPr>
            </w:pPr>
            <w:r>
              <w:rPr>
                <w:color w:val="000000"/>
              </w:rPr>
              <w:t>固体废物：</w:t>
            </w:r>
            <w:r>
              <w:rPr>
                <w:rFonts w:hint="eastAsia"/>
                <w:color w:val="000000"/>
              </w:rPr>
              <w:t>本项目运营期产生的固体废物为一般固体废物及危险废物，一般固体废物主要包括检疫不合格品、病死牛羊、粪便、边角料、胃容物及肠内物、污泥（含栅渣）、废包装以及生活垃圾</w:t>
            </w:r>
            <w:r>
              <w:rPr>
                <w:color w:val="000000"/>
              </w:rPr>
              <w:t>；</w:t>
            </w:r>
            <w:r>
              <w:rPr>
                <w:rFonts w:hint="eastAsia"/>
                <w:color w:val="000000"/>
              </w:rPr>
              <w:t>危险废物：主要为检疫废物。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8" w:hRule="atLeast"/>
          <w:jc w:val="center"/>
        </w:trPr>
        <w:tc>
          <w:tcPr>
            <w:tcW w:w="865" w:type="dxa"/>
            <w:vAlign w:val="center"/>
          </w:tcPr>
          <w:p>
            <w:pPr>
              <w:pStyle w:val="18"/>
              <w:adjustRightInd w:val="0"/>
              <w:snapToGrid w:val="0"/>
              <w:spacing w:before="120" w:beforeAutospacing="0" w:after="0" w:afterAutospacing="0"/>
              <w:ind w:firstLine="0" w:firstLineChars="0"/>
              <w:jc w:val="center"/>
              <w:rPr>
                <w:rFonts w:ascii="Times New Roman" w:hAnsi="Times New Roman"/>
                <w:sz w:val="21"/>
                <w:szCs w:val="21"/>
              </w:rPr>
            </w:pPr>
            <w:r>
              <w:rPr>
                <w:rFonts w:ascii="Times New Roman" w:hAnsi="Times New Roman"/>
                <w:bCs/>
                <w:kern w:val="2"/>
                <w:szCs w:val="21"/>
              </w:rPr>
              <w:t>与项目有关的环境污染问题</w:t>
            </w:r>
          </w:p>
        </w:tc>
        <w:tc>
          <w:tcPr>
            <w:tcW w:w="8007" w:type="dxa"/>
          </w:tcPr>
          <w:p>
            <w:pPr>
              <w:adjustRightInd w:val="0"/>
              <w:snapToGrid w:val="0"/>
              <w:spacing w:before="120"/>
              <w:ind w:firstLine="482"/>
              <w:rPr>
                <w:b/>
                <w:bCs/>
                <w:color w:val="000000"/>
              </w:rPr>
            </w:pPr>
            <w:r>
              <w:rPr>
                <w:b/>
                <w:bCs/>
                <w:color w:val="000000"/>
              </w:rPr>
              <w:t>1、与本项目有关的原有污染物产生与排放情况</w:t>
            </w:r>
          </w:p>
          <w:p>
            <w:pPr>
              <w:spacing w:before="120"/>
              <w:ind w:firstLine="480"/>
            </w:pPr>
            <w:r>
              <w:rPr>
                <w:rFonts w:hint="eastAsia"/>
              </w:rPr>
              <w:t>项目选址为韶关市仁化县董塘镇坪岗工业区A地块，为工业用地，根据现场勘查，本项目选址为原水泥厂旧址一部分，已拆除，不存在明显的原有环境污染问题。</w:t>
            </w:r>
          </w:p>
          <w:p>
            <w:pPr>
              <w:adjustRightInd w:val="0"/>
              <w:spacing w:before="120"/>
              <w:ind w:firstLine="482"/>
              <w:rPr>
                <w:b/>
              </w:rPr>
            </w:pPr>
            <w:r>
              <w:rPr>
                <w:b/>
              </w:rPr>
              <w:t>2、项目周边主要的环境问题</w:t>
            </w:r>
          </w:p>
          <w:p>
            <w:pPr>
              <w:spacing w:before="120"/>
              <w:ind w:firstLine="480"/>
            </w:pPr>
            <w:r>
              <w:t>本项目</w:t>
            </w:r>
            <w:r>
              <w:rPr>
                <w:rFonts w:hint="eastAsia"/>
              </w:rPr>
              <w:t>周边主要污染源为周边公路以及东侧在建的韶关湘大骆驼饲料有限公司产生的废气、噪声污染。已采用除尘、防噪措施，符合排放标准。</w:t>
            </w:r>
            <w:r>
              <w:t>项目区域环境质量现状检测结果表明，所在区域大气、水、声环境质量现状均能符合相应功能区的标准要求，无突出环境问题，对本项目影响较小。</w:t>
            </w:r>
          </w:p>
          <w:p>
            <w:pPr>
              <w:spacing w:before="120"/>
              <w:ind w:firstLine="480"/>
            </w:pPr>
          </w:p>
          <w:p>
            <w:pPr>
              <w:spacing w:before="120"/>
              <w:ind w:firstLine="480"/>
            </w:pPr>
          </w:p>
          <w:p>
            <w:pPr>
              <w:spacing w:before="120"/>
              <w:ind w:firstLine="480"/>
            </w:pPr>
          </w:p>
        </w:tc>
      </w:tr>
    </w:tbl>
    <w:p>
      <w:pPr>
        <w:pStyle w:val="18"/>
        <w:spacing w:before="120"/>
        <w:ind w:firstLine="720"/>
        <w:jc w:val="center"/>
        <w:rPr>
          <w:rFonts w:ascii="Times New Roman" w:hAnsi="Times New Roman"/>
          <w:snapToGrid w:val="0"/>
          <w:sz w:val="36"/>
          <w:szCs w:val="36"/>
        </w:rPr>
        <w:sectPr>
          <w:footerReference r:id="rId12" w:type="default"/>
          <w:pgSz w:w="11906" w:h="16838"/>
          <w:pgMar w:top="1701" w:right="1531" w:bottom="1701" w:left="1531" w:header="851" w:footer="851" w:gutter="0"/>
          <w:cols w:space="720" w:num="1"/>
          <w:docGrid w:linePitch="312" w:charSpace="0"/>
        </w:sectPr>
      </w:pPr>
    </w:p>
    <w:p>
      <w:pPr>
        <w:pStyle w:val="18"/>
        <w:adjustRightInd w:val="0"/>
        <w:snapToGrid w:val="0"/>
        <w:spacing w:before="120" w:beforeAutospacing="0" w:after="0" w:afterAutospacing="0" w:line="14" w:lineRule="auto"/>
        <w:ind w:firstLine="600"/>
        <w:jc w:val="center"/>
        <w:rPr>
          <w:rFonts w:ascii="Times New Roman" w:hAnsi="Times New Roman"/>
          <w:snapToGrid w:val="0"/>
          <w:sz w:val="30"/>
          <w:szCs w:val="30"/>
        </w:rPr>
      </w:pPr>
    </w:p>
    <w:p>
      <w:pPr>
        <w:pStyle w:val="18"/>
        <w:spacing w:before="120" w:beforeAutospacing="0" w:after="120" w:afterLines="50" w:afterAutospacing="0"/>
        <w:ind w:firstLine="0" w:firstLineChars="0"/>
        <w:jc w:val="center"/>
        <w:outlineLvl w:val="0"/>
        <w:rPr>
          <w:rFonts w:ascii="Times New Roman" w:hAnsi="Times New Roman"/>
          <w:b/>
          <w:bCs/>
          <w:snapToGrid w:val="0"/>
          <w:sz w:val="30"/>
          <w:szCs w:val="30"/>
        </w:rPr>
      </w:pPr>
      <w:r>
        <w:rPr>
          <w:rFonts w:hint="eastAsia" w:ascii="Times New Roman" w:hAnsi="Times New Roman"/>
          <w:b/>
          <w:bCs/>
          <w:snapToGrid w:val="0"/>
          <w:sz w:val="30"/>
          <w:szCs w:val="30"/>
        </w:rPr>
        <w:t>三、区域环境质量现状、环境保护目标及评价标准</w:t>
      </w:r>
    </w:p>
    <w:tbl>
      <w:tblPr>
        <w:tblStyle w:val="22"/>
        <w:tblW w:w="49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94"/>
        <w:gridCol w:w="82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23" w:hRule="atLeast"/>
          <w:jc w:val="center"/>
        </w:trPr>
        <w:tc>
          <w:tcPr>
            <w:tcW w:w="335" w:type="pct"/>
            <w:vAlign w:val="center"/>
          </w:tcPr>
          <w:p>
            <w:pPr>
              <w:adjustRightInd w:val="0"/>
              <w:snapToGrid w:val="0"/>
              <w:spacing w:before="120"/>
              <w:ind w:firstLine="0" w:firstLineChars="0"/>
              <w:jc w:val="center"/>
              <w:rPr>
                <w:szCs w:val="21"/>
              </w:rPr>
            </w:pPr>
            <w:r>
              <w:rPr>
                <w:szCs w:val="21"/>
              </w:rPr>
              <w:t>区域</w:t>
            </w:r>
          </w:p>
          <w:p>
            <w:pPr>
              <w:adjustRightInd w:val="0"/>
              <w:snapToGrid w:val="0"/>
              <w:spacing w:before="120"/>
              <w:ind w:firstLine="0" w:firstLineChars="0"/>
              <w:jc w:val="center"/>
              <w:rPr>
                <w:szCs w:val="21"/>
              </w:rPr>
            </w:pPr>
            <w:r>
              <w:rPr>
                <w:szCs w:val="21"/>
              </w:rPr>
              <w:t>环境</w:t>
            </w:r>
          </w:p>
          <w:p>
            <w:pPr>
              <w:adjustRightInd w:val="0"/>
              <w:snapToGrid w:val="0"/>
              <w:spacing w:before="120"/>
              <w:ind w:firstLine="0" w:firstLineChars="0"/>
              <w:jc w:val="center"/>
              <w:rPr>
                <w:szCs w:val="21"/>
              </w:rPr>
            </w:pPr>
            <w:r>
              <w:rPr>
                <w:szCs w:val="21"/>
              </w:rPr>
              <w:t>质量</w:t>
            </w:r>
          </w:p>
          <w:p>
            <w:pPr>
              <w:adjustRightInd w:val="0"/>
              <w:snapToGrid w:val="0"/>
              <w:spacing w:before="120"/>
              <w:ind w:firstLine="0" w:firstLineChars="0"/>
              <w:jc w:val="center"/>
              <w:rPr>
                <w:szCs w:val="21"/>
              </w:rPr>
            </w:pPr>
            <w:r>
              <w:rPr>
                <w:szCs w:val="21"/>
              </w:rPr>
              <w:t>现状</w:t>
            </w:r>
          </w:p>
        </w:tc>
        <w:tc>
          <w:tcPr>
            <w:tcW w:w="4665" w:type="pct"/>
            <w:vAlign w:val="center"/>
          </w:tcPr>
          <w:p>
            <w:pPr>
              <w:tabs>
                <w:tab w:val="left" w:pos="1152"/>
              </w:tabs>
              <w:overflowPunct w:val="0"/>
              <w:autoSpaceDE w:val="0"/>
              <w:autoSpaceDN w:val="0"/>
              <w:adjustRightInd w:val="0"/>
              <w:snapToGrid w:val="0"/>
              <w:spacing w:before="120"/>
              <w:ind w:firstLine="482"/>
              <w:textAlignment w:val="baseline"/>
              <w:rPr>
                <w:b/>
                <w:bCs/>
                <w:color w:val="000000"/>
                <w:szCs w:val="21"/>
              </w:rPr>
            </w:pPr>
            <w:r>
              <w:rPr>
                <w:b/>
                <w:bCs/>
                <w:color w:val="000000"/>
                <w:szCs w:val="21"/>
              </w:rPr>
              <w:t>1、环境空气质量现状</w:t>
            </w:r>
          </w:p>
          <w:p>
            <w:pPr>
              <w:spacing w:before="120"/>
              <w:ind w:firstLine="480"/>
            </w:pPr>
            <w:r>
              <w:rPr>
                <w:rFonts w:hint="eastAsia"/>
              </w:rPr>
              <w:t>根据《韶关市生态环境保护</w:t>
            </w:r>
            <w:r>
              <w:t>“</w:t>
            </w:r>
            <w:r>
              <w:rPr>
                <w:rFonts w:hint="eastAsia"/>
              </w:rPr>
              <w:t>十四五</w:t>
            </w:r>
            <w:r>
              <w:t>”</w:t>
            </w:r>
            <w:r>
              <w:rPr>
                <w:rFonts w:hint="eastAsia"/>
              </w:rPr>
              <w:t>规划》（韶府办〔</w:t>
            </w:r>
            <w:r>
              <w:t>2022</w:t>
            </w:r>
            <w:r>
              <w:rPr>
                <w:rFonts w:hint="eastAsia"/>
              </w:rPr>
              <w:t>〕</w:t>
            </w:r>
            <w:r>
              <w:t>1</w:t>
            </w:r>
            <w:r>
              <w:rPr>
                <w:rFonts w:hint="eastAsia"/>
              </w:rPr>
              <w:t>号），项目所在区域属于二类环境空气质量功能区，执行《环境空气质量标准》（</w:t>
            </w:r>
            <w:r>
              <w:t>GB3095-2012</w:t>
            </w:r>
            <w:r>
              <w:rPr>
                <w:rFonts w:hint="eastAsia"/>
              </w:rPr>
              <w:t>）及其修改单规定的二级标准。</w:t>
            </w:r>
          </w:p>
          <w:p>
            <w:pPr>
              <w:spacing w:before="120"/>
              <w:ind w:firstLine="480"/>
            </w:pPr>
            <w:r>
              <w:rPr>
                <w:rFonts w:hint="eastAsia"/>
              </w:rPr>
              <w:t>本评价依据《韶关市生态环境状况公报》（</w:t>
            </w:r>
            <w:r>
              <w:t>2021</w:t>
            </w:r>
            <w:r>
              <w:rPr>
                <w:rFonts w:hint="eastAsia"/>
              </w:rPr>
              <w:t>年）中仁化县环境空气质量常规因子指标数据作为评价依据；具体数值见表</w:t>
            </w:r>
            <w:r>
              <w:t>3-1</w:t>
            </w:r>
            <w:r>
              <w:rPr>
                <w:rFonts w:hint="eastAsia"/>
              </w:rPr>
              <w:t>。</w:t>
            </w:r>
          </w:p>
          <w:p>
            <w:pPr>
              <w:adjustRightInd w:val="0"/>
              <w:snapToGrid w:val="0"/>
              <w:spacing w:before="120"/>
              <w:ind w:firstLine="0" w:firstLineChars="0"/>
              <w:jc w:val="center"/>
              <w:rPr>
                <w:b/>
                <w:kern w:val="28"/>
                <w:sz w:val="21"/>
                <w:szCs w:val="32"/>
              </w:rPr>
            </w:pPr>
            <w:r>
              <w:rPr>
                <w:b/>
                <w:kern w:val="28"/>
                <w:sz w:val="21"/>
                <w:szCs w:val="32"/>
              </w:rPr>
              <w:t>表3-1  2021年</w:t>
            </w:r>
            <w:r>
              <w:rPr>
                <w:rFonts w:hint="eastAsia"/>
                <w:b/>
                <w:kern w:val="28"/>
                <w:sz w:val="21"/>
                <w:szCs w:val="32"/>
              </w:rPr>
              <w:t>仁化</w:t>
            </w:r>
            <w:r>
              <w:rPr>
                <w:b/>
                <w:kern w:val="28"/>
                <w:sz w:val="21"/>
                <w:szCs w:val="32"/>
              </w:rPr>
              <w:t>县区域环境质量监测数据汇总表</w:t>
            </w:r>
          </w:p>
          <w:tbl>
            <w:tblPr>
              <w:tblStyle w:val="22"/>
              <w:tblW w:w="48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692"/>
              <w:gridCol w:w="1275"/>
              <w:gridCol w:w="1164"/>
              <w:gridCol w:w="1122"/>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3" w:type="dxa"/>
                  <w:vAlign w:val="center"/>
                </w:tcPr>
                <w:p>
                  <w:pPr>
                    <w:spacing w:before="0" w:beforeLines="0" w:line="240" w:lineRule="auto"/>
                    <w:ind w:firstLine="0" w:firstLineChars="0"/>
                    <w:jc w:val="center"/>
                    <w:rPr>
                      <w:snapToGrid w:val="0"/>
                      <w:sz w:val="21"/>
                    </w:rPr>
                  </w:pPr>
                  <w:r>
                    <w:rPr>
                      <w:snapToGrid w:val="0"/>
                      <w:sz w:val="21"/>
                    </w:rPr>
                    <w:t>污染物</w:t>
                  </w:r>
                </w:p>
              </w:tc>
              <w:tc>
                <w:tcPr>
                  <w:tcW w:w="2669" w:type="dxa"/>
                  <w:vAlign w:val="center"/>
                </w:tcPr>
                <w:p>
                  <w:pPr>
                    <w:spacing w:before="0" w:beforeLines="0" w:line="240" w:lineRule="auto"/>
                    <w:ind w:firstLine="0" w:firstLineChars="0"/>
                    <w:jc w:val="center"/>
                    <w:rPr>
                      <w:snapToGrid w:val="0"/>
                      <w:sz w:val="21"/>
                    </w:rPr>
                  </w:pPr>
                  <w:r>
                    <w:rPr>
                      <w:snapToGrid w:val="0"/>
                      <w:sz w:val="21"/>
                    </w:rPr>
                    <w:t>年评价指标</w:t>
                  </w:r>
                </w:p>
              </w:tc>
              <w:tc>
                <w:tcPr>
                  <w:tcW w:w="1264" w:type="dxa"/>
                  <w:vAlign w:val="center"/>
                </w:tcPr>
                <w:p>
                  <w:pPr>
                    <w:spacing w:before="0" w:beforeLines="0" w:line="240" w:lineRule="auto"/>
                    <w:ind w:firstLine="0" w:firstLineChars="0"/>
                    <w:jc w:val="center"/>
                    <w:rPr>
                      <w:snapToGrid w:val="0"/>
                      <w:sz w:val="21"/>
                    </w:rPr>
                  </w:pPr>
                  <w:r>
                    <w:rPr>
                      <w:snapToGrid w:val="0"/>
                      <w:sz w:val="21"/>
                    </w:rPr>
                    <w:t>现状浓度</w:t>
                  </w:r>
                </w:p>
                <w:p>
                  <w:pPr>
                    <w:spacing w:before="0" w:beforeLines="0" w:line="240" w:lineRule="auto"/>
                    <w:ind w:firstLine="0" w:firstLineChars="0"/>
                    <w:jc w:val="center"/>
                    <w:rPr>
                      <w:snapToGrid w:val="0"/>
                      <w:sz w:val="21"/>
                    </w:rPr>
                  </w:pPr>
                  <w:r>
                    <w:rPr>
                      <w:snapToGrid w:val="0"/>
                      <w:sz w:val="21"/>
                    </w:rPr>
                    <w:t>（μg/m</w:t>
                  </w:r>
                  <w:r>
                    <w:rPr>
                      <w:snapToGrid w:val="0"/>
                      <w:sz w:val="21"/>
                      <w:vertAlign w:val="superscript"/>
                    </w:rPr>
                    <w:t>3</w:t>
                  </w:r>
                  <w:r>
                    <w:rPr>
                      <w:snapToGrid w:val="0"/>
                      <w:sz w:val="21"/>
                    </w:rPr>
                    <w:t>）</w:t>
                  </w:r>
                </w:p>
              </w:tc>
              <w:tc>
                <w:tcPr>
                  <w:tcW w:w="1154" w:type="dxa"/>
                  <w:vAlign w:val="center"/>
                </w:tcPr>
                <w:p>
                  <w:pPr>
                    <w:spacing w:before="0" w:beforeLines="0" w:line="240" w:lineRule="auto"/>
                    <w:ind w:firstLine="0" w:firstLineChars="0"/>
                    <w:jc w:val="center"/>
                    <w:rPr>
                      <w:snapToGrid w:val="0"/>
                      <w:sz w:val="21"/>
                    </w:rPr>
                  </w:pPr>
                  <w:r>
                    <w:rPr>
                      <w:snapToGrid w:val="0"/>
                      <w:sz w:val="21"/>
                    </w:rPr>
                    <w:t>标准值</w:t>
                  </w:r>
                </w:p>
                <w:p>
                  <w:pPr>
                    <w:spacing w:before="0" w:beforeLines="0" w:line="240" w:lineRule="auto"/>
                    <w:ind w:firstLine="0" w:firstLineChars="0"/>
                    <w:jc w:val="center"/>
                    <w:rPr>
                      <w:snapToGrid w:val="0"/>
                      <w:sz w:val="21"/>
                    </w:rPr>
                  </w:pPr>
                  <w:r>
                    <w:rPr>
                      <w:snapToGrid w:val="0"/>
                      <w:sz w:val="21"/>
                    </w:rPr>
                    <w:t>（μg/m</w:t>
                  </w:r>
                  <w:r>
                    <w:rPr>
                      <w:snapToGrid w:val="0"/>
                      <w:sz w:val="21"/>
                      <w:vertAlign w:val="superscript"/>
                    </w:rPr>
                    <w:t>3</w:t>
                  </w:r>
                  <w:r>
                    <w:rPr>
                      <w:snapToGrid w:val="0"/>
                      <w:sz w:val="21"/>
                    </w:rPr>
                    <w:t>）</w:t>
                  </w:r>
                </w:p>
              </w:tc>
              <w:tc>
                <w:tcPr>
                  <w:tcW w:w="1112" w:type="dxa"/>
                  <w:vAlign w:val="center"/>
                </w:tcPr>
                <w:p>
                  <w:pPr>
                    <w:spacing w:before="0" w:beforeLines="0" w:line="240" w:lineRule="auto"/>
                    <w:ind w:firstLine="0" w:firstLineChars="0"/>
                    <w:jc w:val="center"/>
                    <w:rPr>
                      <w:snapToGrid w:val="0"/>
                      <w:sz w:val="21"/>
                    </w:rPr>
                  </w:pPr>
                  <w:r>
                    <w:rPr>
                      <w:snapToGrid w:val="0"/>
                      <w:sz w:val="21"/>
                    </w:rPr>
                    <w:t>占标率%</w:t>
                  </w:r>
                </w:p>
              </w:tc>
              <w:tc>
                <w:tcPr>
                  <w:tcW w:w="849" w:type="dxa"/>
                  <w:vAlign w:val="center"/>
                </w:tcPr>
                <w:p>
                  <w:pPr>
                    <w:spacing w:before="0" w:beforeLines="0" w:line="240" w:lineRule="auto"/>
                    <w:ind w:firstLine="0" w:firstLineChars="0"/>
                    <w:jc w:val="center"/>
                    <w:rPr>
                      <w:snapToGrid w:val="0"/>
                      <w:sz w:val="21"/>
                    </w:rPr>
                  </w:pPr>
                  <w:r>
                    <w:rPr>
                      <w:snapToGrid w:val="0"/>
                      <w:sz w:val="21"/>
                    </w:rPr>
                    <w:t>达标</w:t>
                  </w:r>
                </w:p>
                <w:p>
                  <w:pPr>
                    <w:spacing w:before="0" w:beforeLines="0" w:line="240" w:lineRule="auto"/>
                    <w:ind w:firstLine="0" w:firstLineChars="0"/>
                    <w:jc w:val="center"/>
                    <w:rPr>
                      <w:snapToGrid w:val="0"/>
                      <w:sz w:val="21"/>
                    </w:rPr>
                  </w:pPr>
                  <w:r>
                    <w:rPr>
                      <w:snapToGrid w:val="0"/>
                      <w:sz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3" w:type="dxa"/>
                  <w:vAlign w:val="center"/>
                </w:tcPr>
                <w:p>
                  <w:pPr>
                    <w:spacing w:before="0" w:beforeLines="0" w:line="240" w:lineRule="auto"/>
                    <w:ind w:firstLine="0" w:firstLineChars="0"/>
                    <w:jc w:val="center"/>
                    <w:rPr>
                      <w:snapToGrid w:val="0"/>
                      <w:sz w:val="21"/>
                    </w:rPr>
                  </w:pPr>
                  <w:r>
                    <w:rPr>
                      <w:snapToGrid w:val="0"/>
                      <w:sz w:val="21"/>
                    </w:rPr>
                    <w:t>SO</w:t>
                  </w:r>
                  <w:r>
                    <w:rPr>
                      <w:snapToGrid w:val="0"/>
                      <w:sz w:val="21"/>
                      <w:vertAlign w:val="subscript"/>
                    </w:rPr>
                    <w:t>2</w:t>
                  </w:r>
                </w:p>
              </w:tc>
              <w:tc>
                <w:tcPr>
                  <w:tcW w:w="2669" w:type="dxa"/>
                  <w:vAlign w:val="center"/>
                </w:tcPr>
                <w:p>
                  <w:pPr>
                    <w:spacing w:before="0" w:beforeLines="0" w:line="240" w:lineRule="auto"/>
                    <w:ind w:firstLine="0" w:firstLineChars="0"/>
                    <w:jc w:val="center"/>
                    <w:rPr>
                      <w:snapToGrid w:val="0"/>
                      <w:sz w:val="21"/>
                    </w:rPr>
                  </w:pPr>
                  <w:r>
                    <w:rPr>
                      <w:snapToGrid w:val="0"/>
                      <w:sz w:val="21"/>
                    </w:rPr>
                    <w:t>年平均浓度值</w:t>
                  </w:r>
                </w:p>
              </w:tc>
              <w:tc>
                <w:tcPr>
                  <w:tcW w:w="1264" w:type="dxa"/>
                  <w:vAlign w:val="center"/>
                </w:tcPr>
                <w:p>
                  <w:pPr>
                    <w:spacing w:before="0" w:beforeLines="0" w:line="240" w:lineRule="auto"/>
                    <w:ind w:firstLine="0" w:firstLineChars="0"/>
                    <w:jc w:val="center"/>
                    <w:rPr>
                      <w:snapToGrid w:val="0"/>
                      <w:sz w:val="21"/>
                    </w:rPr>
                  </w:pPr>
                  <w:r>
                    <w:rPr>
                      <w:snapToGrid w:val="0"/>
                      <w:sz w:val="21"/>
                    </w:rPr>
                    <w:t>8</w:t>
                  </w:r>
                </w:p>
              </w:tc>
              <w:tc>
                <w:tcPr>
                  <w:tcW w:w="1154"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0</w:t>
                  </w:r>
                </w:p>
              </w:tc>
              <w:tc>
                <w:tcPr>
                  <w:tcW w:w="1112" w:type="dxa"/>
                  <w:vAlign w:val="center"/>
                </w:tcPr>
                <w:p>
                  <w:pPr>
                    <w:spacing w:before="0" w:beforeLines="0" w:line="240" w:lineRule="auto"/>
                    <w:ind w:firstLine="0" w:firstLineChars="0"/>
                    <w:jc w:val="center"/>
                    <w:rPr>
                      <w:snapToGrid w:val="0"/>
                      <w:sz w:val="21"/>
                    </w:rPr>
                  </w:pPr>
                  <w:r>
                    <w:rPr>
                      <w:rFonts w:hint="eastAsia"/>
                      <w:snapToGrid w:val="0"/>
                      <w:sz w:val="21"/>
                    </w:rPr>
                    <w:t>1</w:t>
                  </w:r>
                  <w:r>
                    <w:rPr>
                      <w:snapToGrid w:val="0"/>
                      <w:sz w:val="21"/>
                    </w:rPr>
                    <w:t>3.3</w:t>
                  </w:r>
                </w:p>
              </w:tc>
              <w:tc>
                <w:tcPr>
                  <w:tcW w:w="849" w:type="dxa"/>
                  <w:vAlign w:val="center"/>
                </w:tcPr>
                <w:p>
                  <w:pPr>
                    <w:spacing w:before="0" w:beforeLines="0" w:line="240" w:lineRule="auto"/>
                    <w:ind w:firstLine="0" w:firstLineChars="0"/>
                    <w:jc w:val="center"/>
                    <w:rPr>
                      <w:snapToGrid w:val="0"/>
                      <w:sz w:val="21"/>
                    </w:rPr>
                  </w:pPr>
                  <w:r>
                    <w:rPr>
                      <w:snapToGrid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3" w:type="dxa"/>
                  <w:vAlign w:val="center"/>
                </w:tcPr>
                <w:p>
                  <w:pPr>
                    <w:spacing w:before="0" w:beforeLines="0" w:line="240" w:lineRule="auto"/>
                    <w:ind w:firstLine="0" w:firstLineChars="0"/>
                    <w:jc w:val="center"/>
                    <w:rPr>
                      <w:snapToGrid w:val="0"/>
                      <w:sz w:val="21"/>
                    </w:rPr>
                  </w:pPr>
                  <w:r>
                    <w:rPr>
                      <w:snapToGrid w:val="0"/>
                      <w:sz w:val="21"/>
                    </w:rPr>
                    <w:t>NO</w:t>
                  </w:r>
                  <w:r>
                    <w:rPr>
                      <w:snapToGrid w:val="0"/>
                      <w:sz w:val="21"/>
                      <w:vertAlign w:val="subscript"/>
                    </w:rPr>
                    <w:t>2</w:t>
                  </w:r>
                </w:p>
              </w:tc>
              <w:tc>
                <w:tcPr>
                  <w:tcW w:w="2669" w:type="dxa"/>
                  <w:vAlign w:val="center"/>
                </w:tcPr>
                <w:p>
                  <w:pPr>
                    <w:spacing w:before="0" w:beforeLines="0" w:line="240" w:lineRule="auto"/>
                    <w:ind w:firstLine="0" w:firstLineChars="0"/>
                    <w:jc w:val="center"/>
                    <w:rPr>
                      <w:snapToGrid w:val="0"/>
                      <w:sz w:val="21"/>
                    </w:rPr>
                  </w:pPr>
                  <w:r>
                    <w:rPr>
                      <w:snapToGrid w:val="0"/>
                      <w:sz w:val="21"/>
                    </w:rPr>
                    <w:t>年平均浓度值</w:t>
                  </w:r>
                </w:p>
              </w:tc>
              <w:tc>
                <w:tcPr>
                  <w:tcW w:w="1264" w:type="dxa"/>
                  <w:vAlign w:val="center"/>
                </w:tcPr>
                <w:p>
                  <w:pPr>
                    <w:spacing w:before="0" w:beforeLines="0" w:line="240" w:lineRule="auto"/>
                    <w:ind w:firstLine="0" w:firstLineChars="0"/>
                    <w:jc w:val="center"/>
                    <w:rPr>
                      <w:snapToGrid w:val="0"/>
                      <w:sz w:val="21"/>
                    </w:rPr>
                  </w:pPr>
                  <w:r>
                    <w:rPr>
                      <w:rFonts w:hint="eastAsia"/>
                      <w:snapToGrid w:val="0"/>
                      <w:sz w:val="21"/>
                    </w:rPr>
                    <w:t>1</w:t>
                  </w:r>
                  <w:r>
                    <w:rPr>
                      <w:snapToGrid w:val="0"/>
                      <w:sz w:val="21"/>
                    </w:rPr>
                    <w:t>0</w:t>
                  </w:r>
                </w:p>
              </w:tc>
              <w:tc>
                <w:tcPr>
                  <w:tcW w:w="1154" w:type="dxa"/>
                  <w:vAlign w:val="center"/>
                </w:tcPr>
                <w:p>
                  <w:pPr>
                    <w:spacing w:before="0" w:beforeLines="0" w:line="240" w:lineRule="auto"/>
                    <w:ind w:firstLine="0" w:firstLineChars="0"/>
                    <w:jc w:val="center"/>
                    <w:rPr>
                      <w:snapToGrid w:val="0"/>
                      <w:sz w:val="21"/>
                    </w:rPr>
                  </w:pPr>
                  <w:r>
                    <w:rPr>
                      <w:rFonts w:hint="eastAsia"/>
                      <w:snapToGrid w:val="0"/>
                      <w:sz w:val="21"/>
                    </w:rPr>
                    <w:t>4</w:t>
                  </w:r>
                  <w:r>
                    <w:rPr>
                      <w:snapToGrid w:val="0"/>
                      <w:sz w:val="21"/>
                    </w:rPr>
                    <w:t>0</w:t>
                  </w:r>
                </w:p>
              </w:tc>
              <w:tc>
                <w:tcPr>
                  <w:tcW w:w="1112" w:type="dxa"/>
                  <w:vAlign w:val="center"/>
                </w:tcPr>
                <w:p>
                  <w:pPr>
                    <w:spacing w:before="0" w:beforeLines="0" w:line="240" w:lineRule="auto"/>
                    <w:ind w:firstLine="0" w:firstLineChars="0"/>
                    <w:jc w:val="center"/>
                    <w:rPr>
                      <w:snapToGrid w:val="0"/>
                      <w:sz w:val="21"/>
                    </w:rPr>
                  </w:pPr>
                  <w:r>
                    <w:rPr>
                      <w:rFonts w:hint="eastAsia"/>
                      <w:snapToGrid w:val="0"/>
                      <w:sz w:val="21"/>
                    </w:rPr>
                    <w:t>2</w:t>
                  </w:r>
                  <w:r>
                    <w:rPr>
                      <w:snapToGrid w:val="0"/>
                      <w:sz w:val="21"/>
                    </w:rPr>
                    <w:t>5.0</w:t>
                  </w:r>
                </w:p>
              </w:tc>
              <w:tc>
                <w:tcPr>
                  <w:tcW w:w="849" w:type="dxa"/>
                  <w:vAlign w:val="center"/>
                </w:tcPr>
                <w:p>
                  <w:pPr>
                    <w:spacing w:before="0" w:beforeLines="0" w:line="240" w:lineRule="auto"/>
                    <w:ind w:firstLine="0" w:firstLineChars="0"/>
                    <w:jc w:val="center"/>
                    <w:rPr>
                      <w:snapToGrid w:val="0"/>
                      <w:sz w:val="21"/>
                    </w:rPr>
                  </w:pPr>
                  <w:r>
                    <w:rPr>
                      <w:snapToGrid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3" w:type="dxa"/>
                  <w:vAlign w:val="center"/>
                </w:tcPr>
                <w:p>
                  <w:pPr>
                    <w:spacing w:before="0" w:beforeLines="0" w:line="240" w:lineRule="auto"/>
                    <w:ind w:firstLine="0" w:firstLineChars="0"/>
                    <w:jc w:val="center"/>
                    <w:rPr>
                      <w:snapToGrid w:val="0"/>
                      <w:sz w:val="21"/>
                    </w:rPr>
                  </w:pPr>
                  <w:r>
                    <w:rPr>
                      <w:snapToGrid w:val="0"/>
                      <w:sz w:val="21"/>
                    </w:rPr>
                    <w:t>PM</w:t>
                  </w:r>
                  <w:r>
                    <w:rPr>
                      <w:snapToGrid w:val="0"/>
                      <w:sz w:val="21"/>
                      <w:vertAlign w:val="subscript"/>
                    </w:rPr>
                    <w:t>10</w:t>
                  </w:r>
                </w:p>
              </w:tc>
              <w:tc>
                <w:tcPr>
                  <w:tcW w:w="2669" w:type="dxa"/>
                  <w:vAlign w:val="center"/>
                </w:tcPr>
                <w:p>
                  <w:pPr>
                    <w:spacing w:before="0" w:beforeLines="0" w:line="240" w:lineRule="auto"/>
                    <w:ind w:firstLine="0" w:firstLineChars="0"/>
                    <w:jc w:val="center"/>
                    <w:rPr>
                      <w:snapToGrid w:val="0"/>
                      <w:sz w:val="21"/>
                    </w:rPr>
                  </w:pPr>
                  <w:r>
                    <w:rPr>
                      <w:snapToGrid w:val="0"/>
                      <w:sz w:val="21"/>
                    </w:rPr>
                    <w:t>年平均浓度值</w:t>
                  </w:r>
                </w:p>
              </w:tc>
              <w:tc>
                <w:tcPr>
                  <w:tcW w:w="1264" w:type="dxa"/>
                  <w:vAlign w:val="center"/>
                </w:tcPr>
                <w:p>
                  <w:pPr>
                    <w:spacing w:before="0" w:beforeLines="0" w:line="240" w:lineRule="auto"/>
                    <w:ind w:firstLine="0" w:firstLineChars="0"/>
                    <w:jc w:val="center"/>
                    <w:rPr>
                      <w:snapToGrid w:val="0"/>
                      <w:sz w:val="21"/>
                    </w:rPr>
                  </w:pPr>
                  <w:r>
                    <w:rPr>
                      <w:rFonts w:hint="eastAsia"/>
                      <w:snapToGrid w:val="0"/>
                      <w:sz w:val="21"/>
                    </w:rPr>
                    <w:t>3</w:t>
                  </w:r>
                  <w:r>
                    <w:rPr>
                      <w:snapToGrid w:val="0"/>
                      <w:sz w:val="21"/>
                    </w:rPr>
                    <w:t>0</w:t>
                  </w:r>
                </w:p>
              </w:tc>
              <w:tc>
                <w:tcPr>
                  <w:tcW w:w="1154" w:type="dxa"/>
                  <w:vAlign w:val="center"/>
                </w:tcPr>
                <w:p>
                  <w:pPr>
                    <w:spacing w:before="0" w:beforeLines="0" w:line="240" w:lineRule="auto"/>
                    <w:ind w:firstLine="0" w:firstLineChars="0"/>
                    <w:jc w:val="center"/>
                    <w:rPr>
                      <w:snapToGrid w:val="0"/>
                      <w:sz w:val="21"/>
                    </w:rPr>
                  </w:pPr>
                  <w:r>
                    <w:rPr>
                      <w:rFonts w:hint="eastAsia"/>
                      <w:snapToGrid w:val="0"/>
                      <w:sz w:val="21"/>
                    </w:rPr>
                    <w:t>7</w:t>
                  </w:r>
                  <w:r>
                    <w:rPr>
                      <w:snapToGrid w:val="0"/>
                      <w:sz w:val="21"/>
                    </w:rPr>
                    <w:t>0</w:t>
                  </w:r>
                </w:p>
              </w:tc>
              <w:tc>
                <w:tcPr>
                  <w:tcW w:w="1112" w:type="dxa"/>
                  <w:vAlign w:val="center"/>
                </w:tcPr>
                <w:p>
                  <w:pPr>
                    <w:spacing w:before="0" w:beforeLines="0" w:line="240" w:lineRule="auto"/>
                    <w:ind w:firstLine="0" w:firstLineChars="0"/>
                    <w:jc w:val="center"/>
                    <w:rPr>
                      <w:snapToGrid w:val="0"/>
                      <w:sz w:val="21"/>
                    </w:rPr>
                  </w:pPr>
                  <w:r>
                    <w:rPr>
                      <w:rFonts w:hint="eastAsia"/>
                      <w:snapToGrid w:val="0"/>
                      <w:sz w:val="21"/>
                    </w:rPr>
                    <w:t>4</w:t>
                  </w:r>
                  <w:r>
                    <w:rPr>
                      <w:snapToGrid w:val="0"/>
                      <w:sz w:val="21"/>
                    </w:rPr>
                    <w:t>2.9</w:t>
                  </w:r>
                </w:p>
              </w:tc>
              <w:tc>
                <w:tcPr>
                  <w:tcW w:w="849" w:type="dxa"/>
                  <w:vAlign w:val="center"/>
                </w:tcPr>
                <w:p>
                  <w:pPr>
                    <w:spacing w:before="0" w:beforeLines="0" w:line="240" w:lineRule="auto"/>
                    <w:ind w:firstLine="0" w:firstLineChars="0"/>
                    <w:jc w:val="center"/>
                    <w:rPr>
                      <w:snapToGrid w:val="0"/>
                      <w:sz w:val="21"/>
                    </w:rPr>
                  </w:pPr>
                  <w:r>
                    <w:rPr>
                      <w:snapToGrid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3" w:type="dxa"/>
                  <w:vAlign w:val="center"/>
                </w:tcPr>
                <w:p>
                  <w:pPr>
                    <w:spacing w:before="0" w:beforeLines="0" w:line="240" w:lineRule="auto"/>
                    <w:ind w:firstLine="0" w:firstLineChars="0"/>
                    <w:jc w:val="center"/>
                    <w:rPr>
                      <w:snapToGrid w:val="0"/>
                      <w:sz w:val="21"/>
                    </w:rPr>
                  </w:pPr>
                  <w:r>
                    <w:rPr>
                      <w:snapToGrid w:val="0"/>
                      <w:sz w:val="21"/>
                    </w:rPr>
                    <w:t>PM</w:t>
                  </w:r>
                  <w:r>
                    <w:rPr>
                      <w:snapToGrid w:val="0"/>
                      <w:sz w:val="21"/>
                      <w:vertAlign w:val="subscript"/>
                    </w:rPr>
                    <w:t>2.5</w:t>
                  </w:r>
                </w:p>
              </w:tc>
              <w:tc>
                <w:tcPr>
                  <w:tcW w:w="2669" w:type="dxa"/>
                  <w:vAlign w:val="center"/>
                </w:tcPr>
                <w:p>
                  <w:pPr>
                    <w:spacing w:before="0" w:beforeLines="0" w:line="240" w:lineRule="auto"/>
                    <w:ind w:firstLine="0" w:firstLineChars="0"/>
                    <w:jc w:val="center"/>
                    <w:rPr>
                      <w:snapToGrid w:val="0"/>
                      <w:sz w:val="21"/>
                    </w:rPr>
                  </w:pPr>
                  <w:r>
                    <w:rPr>
                      <w:snapToGrid w:val="0"/>
                      <w:sz w:val="21"/>
                    </w:rPr>
                    <w:t>年平均浓度值</w:t>
                  </w:r>
                </w:p>
              </w:tc>
              <w:tc>
                <w:tcPr>
                  <w:tcW w:w="1264" w:type="dxa"/>
                  <w:vAlign w:val="center"/>
                </w:tcPr>
                <w:p>
                  <w:pPr>
                    <w:spacing w:before="0" w:beforeLines="0" w:line="240" w:lineRule="auto"/>
                    <w:ind w:firstLine="0" w:firstLineChars="0"/>
                    <w:jc w:val="center"/>
                    <w:rPr>
                      <w:snapToGrid w:val="0"/>
                      <w:sz w:val="21"/>
                    </w:rPr>
                  </w:pPr>
                  <w:r>
                    <w:rPr>
                      <w:rFonts w:hint="eastAsia"/>
                      <w:snapToGrid w:val="0"/>
                      <w:sz w:val="21"/>
                    </w:rPr>
                    <w:t>2</w:t>
                  </w:r>
                  <w:r>
                    <w:rPr>
                      <w:snapToGrid w:val="0"/>
                      <w:sz w:val="21"/>
                    </w:rPr>
                    <w:t>0</w:t>
                  </w:r>
                </w:p>
              </w:tc>
              <w:tc>
                <w:tcPr>
                  <w:tcW w:w="1154" w:type="dxa"/>
                  <w:vAlign w:val="center"/>
                </w:tcPr>
                <w:p>
                  <w:pPr>
                    <w:spacing w:before="0" w:beforeLines="0" w:line="240" w:lineRule="auto"/>
                    <w:ind w:firstLine="0" w:firstLineChars="0"/>
                    <w:jc w:val="center"/>
                    <w:rPr>
                      <w:snapToGrid w:val="0"/>
                      <w:sz w:val="21"/>
                    </w:rPr>
                  </w:pPr>
                  <w:r>
                    <w:rPr>
                      <w:rFonts w:hint="eastAsia"/>
                      <w:snapToGrid w:val="0"/>
                      <w:sz w:val="21"/>
                    </w:rPr>
                    <w:t>3</w:t>
                  </w:r>
                  <w:r>
                    <w:rPr>
                      <w:snapToGrid w:val="0"/>
                      <w:sz w:val="21"/>
                    </w:rPr>
                    <w:t>5</w:t>
                  </w:r>
                </w:p>
              </w:tc>
              <w:tc>
                <w:tcPr>
                  <w:tcW w:w="1112" w:type="dxa"/>
                  <w:vAlign w:val="center"/>
                </w:tcPr>
                <w:p>
                  <w:pPr>
                    <w:spacing w:before="0" w:beforeLines="0" w:line="240" w:lineRule="auto"/>
                    <w:ind w:firstLine="0" w:firstLineChars="0"/>
                    <w:jc w:val="center"/>
                    <w:rPr>
                      <w:snapToGrid w:val="0"/>
                      <w:sz w:val="21"/>
                    </w:rPr>
                  </w:pPr>
                  <w:r>
                    <w:rPr>
                      <w:rFonts w:hint="eastAsia"/>
                      <w:snapToGrid w:val="0"/>
                      <w:sz w:val="21"/>
                    </w:rPr>
                    <w:t>5</w:t>
                  </w:r>
                  <w:r>
                    <w:rPr>
                      <w:snapToGrid w:val="0"/>
                      <w:sz w:val="21"/>
                    </w:rPr>
                    <w:t>7.1</w:t>
                  </w:r>
                </w:p>
              </w:tc>
              <w:tc>
                <w:tcPr>
                  <w:tcW w:w="849" w:type="dxa"/>
                  <w:vAlign w:val="center"/>
                </w:tcPr>
                <w:p>
                  <w:pPr>
                    <w:spacing w:before="0" w:beforeLines="0" w:line="240" w:lineRule="auto"/>
                    <w:ind w:firstLine="0" w:firstLineChars="0"/>
                    <w:jc w:val="center"/>
                    <w:rPr>
                      <w:snapToGrid w:val="0"/>
                      <w:sz w:val="21"/>
                    </w:rPr>
                  </w:pPr>
                  <w:r>
                    <w:rPr>
                      <w:snapToGrid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3" w:type="dxa"/>
                  <w:vAlign w:val="center"/>
                </w:tcPr>
                <w:p>
                  <w:pPr>
                    <w:spacing w:before="0" w:beforeLines="0" w:line="240" w:lineRule="auto"/>
                    <w:ind w:firstLine="0" w:firstLineChars="0"/>
                    <w:jc w:val="center"/>
                    <w:rPr>
                      <w:snapToGrid w:val="0"/>
                      <w:sz w:val="21"/>
                    </w:rPr>
                  </w:pPr>
                  <w:r>
                    <w:rPr>
                      <w:snapToGrid w:val="0"/>
                      <w:sz w:val="21"/>
                    </w:rPr>
                    <w:t>CO</w:t>
                  </w:r>
                </w:p>
              </w:tc>
              <w:tc>
                <w:tcPr>
                  <w:tcW w:w="2669" w:type="dxa"/>
                  <w:vAlign w:val="center"/>
                </w:tcPr>
                <w:p>
                  <w:pPr>
                    <w:spacing w:before="0" w:beforeLines="0" w:line="240" w:lineRule="auto"/>
                    <w:ind w:firstLine="0" w:firstLineChars="0"/>
                    <w:jc w:val="center"/>
                    <w:rPr>
                      <w:snapToGrid w:val="0"/>
                      <w:sz w:val="21"/>
                    </w:rPr>
                  </w:pPr>
                  <w:r>
                    <w:rPr>
                      <w:snapToGrid w:val="0"/>
                      <w:sz w:val="21"/>
                    </w:rPr>
                    <w:t>第95百分位数平均浓度值</w:t>
                  </w:r>
                </w:p>
              </w:tc>
              <w:tc>
                <w:tcPr>
                  <w:tcW w:w="1264" w:type="dxa"/>
                  <w:vAlign w:val="center"/>
                </w:tcPr>
                <w:p>
                  <w:pPr>
                    <w:spacing w:before="0" w:beforeLines="0" w:line="240" w:lineRule="auto"/>
                    <w:ind w:firstLine="0" w:firstLineChars="0"/>
                    <w:jc w:val="center"/>
                    <w:rPr>
                      <w:snapToGrid w:val="0"/>
                      <w:sz w:val="21"/>
                    </w:rPr>
                  </w:pPr>
                  <w:r>
                    <w:rPr>
                      <w:rFonts w:hint="eastAsia"/>
                      <w:snapToGrid w:val="0"/>
                      <w:sz w:val="21"/>
                    </w:rPr>
                    <w:t>9</w:t>
                  </w:r>
                  <w:r>
                    <w:rPr>
                      <w:snapToGrid w:val="0"/>
                      <w:sz w:val="21"/>
                    </w:rPr>
                    <w:t>00</w:t>
                  </w:r>
                </w:p>
              </w:tc>
              <w:tc>
                <w:tcPr>
                  <w:tcW w:w="1154" w:type="dxa"/>
                  <w:vAlign w:val="center"/>
                </w:tcPr>
                <w:p>
                  <w:pPr>
                    <w:spacing w:before="0" w:beforeLines="0" w:line="240" w:lineRule="auto"/>
                    <w:ind w:firstLine="0" w:firstLineChars="0"/>
                    <w:jc w:val="center"/>
                    <w:rPr>
                      <w:snapToGrid w:val="0"/>
                      <w:sz w:val="21"/>
                    </w:rPr>
                  </w:pPr>
                  <w:r>
                    <w:rPr>
                      <w:rFonts w:hint="eastAsia"/>
                      <w:snapToGrid w:val="0"/>
                      <w:sz w:val="21"/>
                    </w:rPr>
                    <w:t>4</w:t>
                  </w:r>
                  <w:r>
                    <w:rPr>
                      <w:snapToGrid w:val="0"/>
                      <w:sz w:val="21"/>
                    </w:rPr>
                    <w:t>000</w:t>
                  </w:r>
                </w:p>
              </w:tc>
              <w:tc>
                <w:tcPr>
                  <w:tcW w:w="1112" w:type="dxa"/>
                  <w:vAlign w:val="center"/>
                </w:tcPr>
                <w:p>
                  <w:pPr>
                    <w:spacing w:before="0" w:beforeLines="0" w:line="240" w:lineRule="auto"/>
                    <w:ind w:firstLine="0" w:firstLineChars="0"/>
                    <w:jc w:val="center"/>
                    <w:rPr>
                      <w:snapToGrid w:val="0"/>
                      <w:sz w:val="21"/>
                    </w:rPr>
                  </w:pPr>
                  <w:r>
                    <w:rPr>
                      <w:rFonts w:hint="eastAsia"/>
                      <w:snapToGrid w:val="0"/>
                      <w:sz w:val="21"/>
                    </w:rPr>
                    <w:t>2</w:t>
                  </w:r>
                  <w:r>
                    <w:rPr>
                      <w:snapToGrid w:val="0"/>
                      <w:sz w:val="21"/>
                    </w:rPr>
                    <w:t>2.5</w:t>
                  </w:r>
                </w:p>
              </w:tc>
              <w:tc>
                <w:tcPr>
                  <w:tcW w:w="849" w:type="dxa"/>
                  <w:vAlign w:val="center"/>
                </w:tcPr>
                <w:p>
                  <w:pPr>
                    <w:spacing w:before="0" w:beforeLines="0" w:line="240" w:lineRule="auto"/>
                    <w:ind w:firstLine="0" w:firstLineChars="0"/>
                    <w:jc w:val="center"/>
                    <w:rPr>
                      <w:snapToGrid w:val="0"/>
                      <w:sz w:val="21"/>
                    </w:rPr>
                  </w:pPr>
                  <w:r>
                    <w:rPr>
                      <w:snapToGrid w:val="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43" w:type="dxa"/>
                  <w:vAlign w:val="center"/>
                </w:tcPr>
                <w:p>
                  <w:pPr>
                    <w:spacing w:before="0" w:beforeLines="0" w:line="240" w:lineRule="auto"/>
                    <w:ind w:firstLine="0" w:firstLineChars="0"/>
                    <w:jc w:val="center"/>
                    <w:rPr>
                      <w:snapToGrid w:val="0"/>
                      <w:sz w:val="21"/>
                    </w:rPr>
                  </w:pPr>
                  <w:r>
                    <w:rPr>
                      <w:snapToGrid w:val="0"/>
                      <w:sz w:val="21"/>
                    </w:rPr>
                    <w:t>O</w:t>
                  </w:r>
                  <w:r>
                    <w:rPr>
                      <w:snapToGrid w:val="0"/>
                      <w:sz w:val="21"/>
                      <w:vertAlign w:val="subscript"/>
                    </w:rPr>
                    <w:t>3</w:t>
                  </w:r>
                </w:p>
              </w:tc>
              <w:tc>
                <w:tcPr>
                  <w:tcW w:w="2669" w:type="dxa"/>
                  <w:vAlign w:val="center"/>
                </w:tcPr>
                <w:p>
                  <w:pPr>
                    <w:spacing w:before="0" w:beforeLines="0" w:line="240" w:lineRule="auto"/>
                    <w:ind w:firstLine="0" w:firstLineChars="0"/>
                    <w:jc w:val="center"/>
                    <w:rPr>
                      <w:snapToGrid w:val="0"/>
                      <w:sz w:val="21"/>
                    </w:rPr>
                  </w:pPr>
                  <w:r>
                    <w:rPr>
                      <w:snapToGrid w:val="0"/>
                      <w:sz w:val="21"/>
                    </w:rPr>
                    <w:t>第90百分位数平均浓度值</w:t>
                  </w:r>
                </w:p>
              </w:tc>
              <w:tc>
                <w:tcPr>
                  <w:tcW w:w="1264" w:type="dxa"/>
                  <w:vAlign w:val="center"/>
                </w:tcPr>
                <w:p>
                  <w:pPr>
                    <w:spacing w:before="0" w:beforeLines="0" w:line="240" w:lineRule="auto"/>
                    <w:ind w:firstLine="0" w:firstLineChars="0"/>
                    <w:jc w:val="center"/>
                    <w:rPr>
                      <w:snapToGrid w:val="0"/>
                      <w:sz w:val="21"/>
                    </w:rPr>
                  </w:pPr>
                  <w:r>
                    <w:rPr>
                      <w:rFonts w:hint="eastAsia"/>
                      <w:snapToGrid w:val="0"/>
                      <w:sz w:val="21"/>
                    </w:rPr>
                    <w:t>1</w:t>
                  </w:r>
                  <w:r>
                    <w:rPr>
                      <w:snapToGrid w:val="0"/>
                      <w:sz w:val="21"/>
                    </w:rPr>
                    <w:t>24</w:t>
                  </w:r>
                </w:p>
              </w:tc>
              <w:tc>
                <w:tcPr>
                  <w:tcW w:w="1154" w:type="dxa"/>
                  <w:vAlign w:val="center"/>
                </w:tcPr>
                <w:p>
                  <w:pPr>
                    <w:spacing w:before="0" w:beforeLines="0" w:line="240" w:lineRule="auto"/>
                    <w:ind w:firstLine="0" w:firstLineChars="0"/>
                    <w:jc w:val="center"/>
                    <w:rPr>
                      <w:snapToGrid w:val="0"/>
                      <w:sz w:val="21"/>
                    </w:rPr>
                  </w:pPr>
                  <w:r>
                    <w:rPr>
                      <w:rFonts w:hint="eastAsia"/>
                      <w:snapToGrid w:val="0"/>
                      <w:sz w:val="21"/>
                    </w:rPr>
                    <w:t>1</w:t>
                  </w:r>
                  <w:r>
                    <w:rPr>
                      <w:snapToGrid w:val="0"/>
                      <w:sz w:val="21"/>
                    </w:rPr>
                    <w:t>60</w:t>
                  </w:r>
                </w:p>
              </w:tc>
              <w:tc>
                <w:tcPr>
                  <w:tcW w:w="1112" w:type="dxa"/>
                  <w:vAlign w:val="center"/>
                </w:tcPr>
                <w:p>
                  <w:pPr>
                    <w:spacing w:before="0" w:beforeLines="0" w:line="240" w:lineRule="auto"/>
                    <w:ind w:firstLine="0" w:firstLineChars="0"/>
                    <w:jc w:val="center"/>
                    <w:rPr>
                      <w:snapToGrid w:val="0"/>
                      <w:sz w:val="21"/>
                    </w:rPr>
                  </w:pPr>
                  <w:r>
                    <w:rPr>
                      <w:rFonts w:hint="eastAsia"/>
                      <w:snapToGrid w:val="0"/>
                      <w:sz w:val="21"/>
                    </w:rPr>
                    <w:t>7</w:t>
                  </w:r>
                  <w:r>
                    <w:rPr>
                      <w:snapToGrid w:val="0"/>
                      <w:sz w:val="21"/>
                    </w:rPr>
                    <w:t>7.5</w:t>
                  </w:r>
                </w:p>
              </w:tc>
              <w:tc>
                <w:tcPr>
                  <w:tcW w:w="849" w:type="dxa"/>
                  <w:vAlign w:val="center"/>
                </w:tcPr>
                <w:p>
                  <w:pPr>
                    <w:spacing w:before="0" w:beforeLines="0" w:line="240" w:lineRule="auto"/>
                    <w:ind w:firstLine="0" w:firstLineChars="0"/>
                    <w:jc w:val="center"/>
                    <w:rPr>
                      <w:snapToGrid w:val="0"/>
                      <w:sz w:val="21"/>
                    </w:rPr>
                  </w:pPr>
                  <w:r>
                    <w:rPr>
                      <w:snapToGrid w:val="0"/>
                      <w:sz w:val="21"/>
                    </w:rPr>
                    <w:t>达标</w:t>
                  </w:r>
                </w:p>
              </w:tc>
            </w:tr>
          </w:tbl>
          <w:p>
            <w:pPr>
              <w:spacing w:before="120"/>
              <w:ind w:firstLine="480"/>
            </w:pPr>
            <w:r>
              <w:rPr>
                <w:rFonts w:hint="eastAsia"/>
              </w:rPr>
              <w:t>根据《环境影响评价技术导则</w:t>
            </w:r>
            <w:r>
              <w:t>——</w:t>
            </w:r>
            <w:r>
              <w:rPr>
                <w:rFonts w:hint="eastAsia"/>
              </w:rPr>
              <w:t>大气环境》（</w:t>
            </w:r>
            <w:r>
              <w:t>HJ2.2-2018</w:t>
            </w:r>
            <w:r>
              <w:rPr>
                <w:rFonts w:hint="eastAsia"/>
              </w:rPr>
              <w:t>）</w:t>
            </w:r>
            <w:r>
              <w:t>“</w:t>
            </w:r>
            <w:r>
              <w:rPr>
                <w:rFonts w:hint="eastAsia"/>
              </w:rPr>
              <w:t>城市环境空气质量达标情况评价指标为</w:t>
            </w:r>
            <w:r>
              <w:t>SO</w:t>
            </w:r>
            <w:r>
              <w:rPr>
                <w:vertAlign w:val="subscript"/>
              </w:rPr>
              <w:t>2</w:t>
            </w:r>
            <w:r>
              <w:rPr>
                <w:rFonts w:hint="eastAsia"/>
              </w:rPr>
              <w:t>、</w:t>
            </w:r>
            <w:r>
              <w:t>NO</w:t>
            </w:r>
            <w:r>
              <w:rPr>
                <w:vertAlign w:val="subscript"/>
              </w:rPr>
              <w:t>2</w:t>
            </w:r>
            <w:r>
              <w:rPr>
                <w:rFonts w:hint="eastAsia"/>
              </w:rPr>
              <w:t>、</w:t>
            </w:r>
            <w:r>
              <w:t>PM</w:t>
            </w:r>
            <w:r>
              <w:rPr>
                <w:vertAlign w:val="subscript"/>
              </w:rPr>
              <w:t>2.5</w:t>
            </w:r>
            <w:r>
              <w:rPr>
                <w:rFonts w:hint="eastAsia"/>
              </w:rPr>
              <w:t>、</w:t>
            </w:r>
            <w:r>
              <w:t>PM</w:t>
            </w:r>
            <w:r>
              <w:rPr>
                <w:vertAlign w:val="subscript"/>
              </w:rPr>
              <w:t>10</w:t>
            </w:r>
            <w:r>
              <w:rPr>
                <w:rFonts w:hint="eastAsia"/>
              </w:rPr>
              <w:t>、</w:t>
            </w:r>
            <w:r>
              <w:t>CO</w:t>
            </w:r>
            <w:r>
              <w:rPr>
                <w:rFonts w:hint="eastAsia"/>
              </w:rPr>
              <w:t>、</w:t>
            </w:r>
            <w:r>
              <w:t>O</w:t>
            </w:r>
            <w:r>
              <w:rPr>
                <w:vertAlign w:val="subscript"/>
              </w:rPr>
              <w:t>3</w:t>
            </w:r>
            <w:r>
              <w:rPr>
                <w:rFonts w:hint="eastAsia"/>
              </w:rPr>
              <w:t>，六项污染物全部达标即为城市环境空气质量达标</w:t>
            </w:r>
            <w:r>
              <w:t>”</w:t>
            </w:r>
            <w:r>
              <w:rPr>
                <w:rFonts w:hint="eastAsia"/>
              </w:rPr>
              <w:t>。由表</w:t>
            </w:r>
            <w:r>
              <w:t>3-1</w:t>
            </w:r>
            <w:r>
              <w:rPr>
                <w:rFonts w:hint="eastAsia"/>
              </w:rPr>
              <w:t>可知，项目所在区域各污染物现状浓度值均为达标。因此，判定项目所在评价区域为城市环境空气质量达标区域。</w:t>
            </w:r>
          </w:p>
          <w:p>
            <w:pPr>
              <w:tabs>
                <w:tab w:val="left" w:pos="1152"/>
              </w:tabs>
              <w:overflowPunct w:val="0"/>
              <w:autoSpaceDE w:val="0"/>
              <w:autoSpaceDN w:val="0"/>
              <w:adjustRightInd w:val="0"/>
              <w:snapToGrid w:val="0"/>
              <w:spacing w:before="120"/>
              <w:ind w:firstLine="439" w:firstLineChars="182"/>
              <w:textAlignment w:val="baseline"/>
              <w:rPr>
                <w:b/>
                <w:bCs/>
                <w:szCs w:val="21"/>
                <w:u w:val="single"/>
              </w:rPr>
            </w:pPr>
            <w:r>
              <w:rPr>
                <w:b/>
                <w:bCs/>
                <w:szCs w:val="21"/>
              </w:rPr>
              <w:t>2、地表水环境质量现状</w:t>
            </w:r>
          </w:p>
          <w:p>
            <w:pPr>
              <w:spacing w:before="120"/>
              <w:ind w:firstLine="480"/>
            </w:pPr>
            <w:r>
              <w:t>本项目附近的地表水为</w:t>
            </w:r>
            <w:r>
              <w:rPr>
                <w:rFonts w:hint="eastAsia"/>
              </w:rPr>
              <w:t>董塘水（仁化后落山下~仁化石下）河段</w:t>
            </w:r>
            <w:r>
              <w:t>，根据《广东省地表水环境功能区划》(粤府函〔2011〕29号文)，</w:t>
            </w:r>
            <w:r>
              <w:rPr>
                <w:rFonts w:hint="eastAsia"/>
              </w:rPr>
              <w:t>董塘水（仁化后落山下~仁化石下）河段为Ⅲ类水功能区，地表水环境质量执行《地表水环境质量标准》（GB3838-2002）中Ⅲ类标准。</w:t>
            </w:r>
          </w:p>
          <w:p>
            <w:pPr>
              <w:spacing w:before="120"/>
              <w:ind w:firstLine="480"/>
            </w:pPr>
            <w:r>
              <w:rPr>
                <w:rFonts w:hint="eastAsia"/>
              </w:rPr>
              <w:t>根据《韶关市生态环境状况公报（2021年）》，2021年韶关市10条主要江河（北江、武江、浈江、南水河、墨江、锦江、马坝河、滃江、新丰江和横石水）共布设36个市控以上手工监测断面，有28个监测断面责任城市为韶关市（其中13个为“十四五”国控考核断面）。2021年，韶关市28个监测断面水质优良率为100%，与2020年持平，其中Ⅰ类比例为3.57%、Ⅱ类比例为 78.6%、Ⅲ类比例为17.9%。可见项目所在区域河段满足《地表水环境质量标准》（GB3838-2002）中的Ⅲ类标准要求。</w:t>
            </w:r>
          </w:p>
          <w:p>
            <w:pPr>
              <w:autoSpaceDE w:val="0"/>
              <w:autoSpaceDN w:val="0"/>
              <w:adjustRightInd w:val="0"/>
              <w:snapToGrid w:val="0"/>
              <w:spacing w:before="120"/>
              <w:ind w:firstLine="482"/>
            </w:pPr>
            <w:r>
              <w:rPr>
                <w:b/>
                <w:bCs/>
              </w:rPr>
              <w:t>3.声环境质量现状</w:t>
            </w:r>
          </w:p>
          <w:p>
            <w:pPr>
              <w:spacing w:before="120"/>
              <w:ind w:firstLine="480"/>
            </w:pPr>
            <w:r>
              <w:t>本项目位于</w:t>
            </w:r>
            <w:r>
              <w:rPr>
                <w:rFonts w:hint="eastAsia"/>
              </w:rPr>
              <w:t>韶关市仁化县董塘镇坪岗工业区</w:t>
            </w:r>
            <w:r>
              <w:t>内</w:t>
            </w:r>
            <w:r>
              <w:rPr>
                <w:rFonts w:hint="eastAsia"/>
              </w:rPr>
              <w:t>，</w:t>
            </w:r>
            <w:r>
              <w:t>厂界周边50米范围内不存在声环境保护目标，不开展声环境质量现状监测。</w:t>
            </w:r>
          </w:p>
          <w:p>
            <w:pPr>
              <w:tabs>
                <w:tab w:val="left" w:pos="1152"/>
              </w:tabs>
              <w:overflowPunct w:val="0"/>
              <w:autoSpaceDE w:val="0"/>
              <w:autoSpaceDN w:val="0"/>
              <w:adjustRightInd w:val="0"/>
              <w:snapToGrid w:val="0"/>
              <w:spacing w:before="120"/>
              <w:ind w:firstLine="482"/>
              <w:textAlignment w:val="baseline"/>
              <w:rPr>
                <w:b/>
                <w:bCs/>
              </w:rPr>
            </w:pPr>
            <w:r>
              <w:rPr>
                <w:b/>
                <w:bCs/>
              </w:rPr>
              <w:t>4.地下水环境质量现状</w:t>
            </w:r>
          </w:p>
          <w:p>
            <w:pPr>
              <w:spacing w:before="120"/>
              <w:ind w:firstLine="480"/>
            </w:pPr>
            <w:r>
              <w:t>根据《建设项目环境影响报告表编制技术指南（污染影响类）（试行）》，原则上不开展地下水环境质量现状调查。本项</w:t>
            </w:r>
            <w:r>
              <w:rPr>
                <w:rFonts w:hint="eastAsia"/>
              </w:rPr>
              <w:t>目生产区域实现场地硬底化，</w:t>
            </w:r>
            <w:r>
              <w:t>正常情况下不存在地下水污染途径，本报告不开展地下水环境现状调查。</w:t>
            </w:r>
          </w:p>
          <w:p>
            <w:pPr>
              <w:spacing w:before="120"/>
              <w:ind w:firstLine="482"/>
            </w:pPr>
            <w:r>
              <w:rPr>
                <w:b/>
                <w:bCs/>
              </w:rPr>
              <w:t>5.土壤环境质量现状</w:t>
            </w:r>
          </w:p>
          <w:p>
            <w:pPr>
              <w:spacing w:before="120"/>
              <w:ind w:firstLine="480"/>
            </w:pPr>
            <w:r>
              <w:t>根据《建设项目环境影响报告表编制技术指南（污染影响类）（试行）》，原则上不开展土壤环境质量现状调查。本</w:t>
            </w:r>
            <w:r>
              <w:rPr>
                <w:rFonts w:hint="eastAsia"/>
              </w:rPr>
              <w:t>项目生产区域实现场地硬底化，</w:t>
            </w:r>
            <w:r>
              <w:t>正常情况下不存在土壤污染途径，本报告不开展土壤环境现状调查。</w:t>
            </w:r>
          </w:p>
          <w:p>
            <w:pPr>
              <w:tabs>
                <w:tab w:val="left" w:pos="1152"/>
              </w:tabs>
              <w:overflowPunct w:val="0"/>
              <w:autoSpaceDE w:val="0"/>
              <w:autoSpaceDN w:val="0"/>
              <w:adjustRightInd w:val="0"/>
              <w:snapToGrid w:val="0"/>
              <w:spacing w:before="120"/>
              <w:ind w:firstLine="482"/>
              <w:textAlignment w:val="baseline"/>
              <w:rPr>
                <w:b/>
                <w:bCs/>
              </w:rPr>
            </w:pPr>
            <w:r>
              <w:rPr>
                <w:b/>
                <w:bCs/>
              </w:rPr>
              <w:t>6.生态环境质量现状</w:t>
            </w:r>
          </w:p>
          <w:p>
            <w:pPr>
              <w:tabs>
                <w:tab w:val="left" w:pos="1152"/>
              </w:tabs>
              <w:overflowPunct w:val="0"/>
              <w:autoSpaceDE w:val="0"/>
              <w:autoSpaceDN w:val="0"/>
              <w:adjustRightInd w:val="0"/>
              <w:snapToGrid w:val="0"/>
              <w:spacing w:before="120"/>
              <w:ind w:firstLine="480"/>
              <w:textAlignment w:val="baseline"/>
            </w:pPr>
            <w:r>
              <w:t>本项目在</w:t>
            </w:r>
            <w:r>
              <w:rPr>
                <w:rFonts w:hint="eastAsia"/>
              </w:rPr>
              <w:t>韶关市仁化县董塘镇坪岗工业区</w:t>
            </w:r>
            <w:r>
              <w:t>内，项目</w:t>
            </w:r>
            <w:r>
              <w:rPr>
                <w:rFonts w:hint="eastAsia"/>
              </w:rPr>
              <w:t>所在</w:t>
            </w:r>
            <w:r>
              <w:t>地块</w:t>
            </w:r>
            <w:r>
              <w:rPr>
                <w:rFonts w:hint="eastAsia"/>
              </w:rPr>
              <w:t>周边区域</w:t>
            </w:r>
            <w:r>
              <w:t>以人工种植的林地为主，动物物种简单，以蛇、鼠等为主，区域内无国家保护动植物种</w:t>
            </w:r>
            <w:r>
              <w:rPr>
                <w:rFonts w:hint="eastAsia"/>
              </w:rPr>
              <w:t>；</w:t>
            </w:r>
            <w:r>
              <w:t>不涉及自然保护区、风景名胜区、世界文化和自然遗产地、饮用水源保护区和其他需要特殊保护的区域，因此，本项目不开展生态环境现状调查。</w:t>
            </w:r>
          </w:p>
          <w:p>
            <w:pPr>
              <w:tabs>
                <w:tab w:val="left" w:pos="1152"/>
              </w:tabs>
              <w:overflowPunct w:val="0"/>
              <w:autoSpaceDE w:val="0"/>
              <w:autoSpaceDN w:val="0"/>
              <w:adjustRightInd w:val="0"/>
              <w:snapToGrid w:val="0"/>
              <w:spacing w:before="120"/>
              <w:ind w:firstLine="482"/>
              <w:textAlignment w:val="baseline"/>
              <w:rPr>
                <w:b/>
              </w:rPr>
            </w:pPr>
            <w:r>
              <w:rPr>
                <w:b/>
              </w:rPr>
              <w:t>综上所述，该项目所在区域环境质量现状总体</w:t>
            </w:r>
            <w:r>
              <w:rPr>
                <w:rFonts w:hint="eastAsia"/>
                <w:b/>
              </w:rPr>
              <w:t>一般</w:t>
            </w:r>
            <w:r>
              <w:rPr>
                <w:b/>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117" w:hRule="atLeast"/>
          <w:jc w:val="center"/>
        </w:trPr>
        <w:tc>
          <w:tcPr>
            <w:tcW w:w="335" w:type="pct"/>
            <w:vAlign w:val="center"/>
          </w:tcPr>
          <w:p>
            <w:pPr>
              <w:adjustRightInd w:val="0"/>
              <w:snapToGrid w:val="0"/>
              <w:spacing w:before="120"/>
              <w:ind w:firstLine="0" w:firstLineChars="0"/>
              <w:jc w:val="left"/>
              <w:rPr>
                <w:szCs w:val="21"/>
              </w:rPr>
            </w:pPr>
            <w:r>
              <w:rPr>
                <w:szCs w:val="21"/>
              </w:rPr>
              <w:t>环境</w:t>
            </w:r>
          </w:p>
          <w:p>
            <w:pPr>
              <w:adjustRightInd w:val="0"/>
              <w:snapToGrid w:val="0"/>
              <w:spacing w:before="120"/>
              <w:ind w:firstLine="0" w:firstLineChars="0"/>
              <w:jc w:val="left"/>
              <w:rPr>
                <w:szCs w:val="21"/>
              </w:rPr>
            </w:pPr>
            <w:r>
              <w:rPr>
                <w:szCs w:val="21"/>
              </w:rPr>
              <w:t>保护</w:t>
            </w:r>
          </w:p>
          <w:p>
            <w:pPr>
              <w:adjustRightInd w:val="0"/>
              <w:snapToGrid w:val="0"/>
              <w:spacing w:before="120"/>
              <w:ind w:firstLine="0" w:firstLineChars="0"/>
              <w:jc w:val="left"/>
              <w:rPr>
                <w:szCs w:val="21"/>
              </w:rPr>
            </w:pPr>
            <w:r>
              <w:rPr>
                <w:szCs w:val="21"/>
              </w:rPr>
              <w:t>目标</w:t>
            </w:r>
          </w:p>
        </w:tc>
        <w:tc>
          <w:tcPr>
            <w:tcW w:w="4665" w:type="pct"/>
            <w:tcBorders>
              <w:bottom w:val="single" w:color="000000" w:sz="4" w:space="0"/>
            </w:tcBorders>
            <w:vAlign w:val="center"/>
          </w:tcPr>
          <w:p>
            <w:pPr>
              <w:adjustRightInd w:val="0"/>
              <w:snapToGrid w:val="0"/>
              <w:spacing w:before="240" w:beforeLines="100"/>
              <w:ind w:firstLine="480"/>
            </w:pPr>
            <w:r>
              <w:rPr>
                <w:rFonts w:hint="eastAsia"/>
              </w:rPr>
              <w:t>本项目的主要环境保护目标是保护好项目所在地附近评价区域的环境质量。在项目的建设和运营过程中要采取有效的环保措施，保护项目所在地区域的环境空气质量、水环境质量和声环境质量。</w:t>
            </w:r>
          </w:p>
          <w:p>
            <w:pPr>
              <w:adjustRightInd w:val="0"/>
              <w:snapToGrid w:val="0"/>
              <w:spacing w:before="120"/>
              <w:ind w:firstLine="482"/>
              <w:rPr>
                <w:b/>
                <w:color w:val="000000"/>
                <w:szCs w:val="21"/>
              </w:rPr>
            </w:pPr>
            <w:r>
              <w:rPr>
                <w:b/>
                <w:color w:val="000000"/>
                <w:szCs w:val="21"/>
              </w:rPr>
              <w:t>1、环境空气</w:t>
            </w:r>
          </w:p>
          <w:p>
            <w:pPr>
              <w:adjustRightInd w:val="0"/>
              <w:snapToGrid w:val="0"/>
              <w:spacing w:before="240" w:beforeLines="100"/>
              <w:ind w:firstLine="480"/>
            </w:pPr>
            <w:r>
              <w:rPr>
                <w:rFonts w:hint="eastAsia"/>
              </w:rPr>
              <w:t>大气环境保护目标是保护本项目厂界外</w:t>
            </w:r>
            <w:r>
              <w:t>500</w:t>
            </w:r>
            <w:r>
              <w:rPr>
                <w:rFonts w:hint="eastAsia"/>
              </w:rPr>
              <w:t>米范围内区域，环境空气质量满足《环境空气质量标准》（</w:t>
            </w:r>
            <w:r>
              <w:t>GB3095-2012</w:t>
            </w:r>
            <w:r>
              <w:rPr>
                <w:rFonts w:hint="eastAsia"/>
              </w:rPr>
              <w:t>）及其修改单规定的二级标准，本项目厂界外</w:t>
            </w:r>
            <w:r>
              <w:t>500</w:t>
            </w:r>
            <w:r>
              <w:rPr>
                <w:rFonts w:hint="eastAsia"/>
              </w:rPr>
              <w:t>米范围内大气环境保护目标详见图</w:t>
            </w:r>
            <w:r>
              <w:t>3-1</w:t>
            </w:r>
            <w:r>
              <w:rPr>
                <w:rFonts w:hint="eastAsia"/>
              </w:rPr>
              <w:t>。</w:t>
            </w:r>
          </w:p>
          <w:p>
            <w:pPr>
              <w:adjustRightInd w:val="0"/>
              <w:snapToGrid w:val="0"/>
              <w:spacing w:before="120"/>
              <w:ind w:firstLine="0" w:firstLineChars="0"/>
              <w:jc w:val="center"/>
              <w:rPr>
                <w:color w:val="000000"/>
                <w:szCs w:val="21"/>
              </w:rPr>
            </w:pPr>
            <w:r>
              <w:rPr>
                <w:rFonts w:hint="eastAsia"/>
                <w:color w:val="000000"/>
                <w:szCs w:val="21"/>
              </w:rPr>
              <w:drawing>
                <wp:inline distT="0" distB="0" distL="114300" distR="114300">
                  <wp:extent cx="3723640" cy="3568065"/>
                  <wp:effectExtent l="0" t="0" r="10160" b="13335"/>
                  <wp:docPr id="16" name="图片 16" descr="0e69fee6c2d560b05d45931832dc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e69fee6c2d560b05d45931832dccc0"/>
                          <pic:cNvPicPr>
                            <a:picLocks noChangeAspect="1"/>
                          </pic:cNvPicPr>
                        </pic:nvPicPr>
                        <pic:blipFill>
                          <a:blip r:embed="rId29"/>
                          <a:stretch>
                            <a:fillRect/>
                          </a:stretch>
                        </pic:blipFill>
                        <pic:spPr>
                          <a:xfrm>
                            <a:off x="0" y="0"/>
                            <a:ext cx="3723640" cy="3568065"/>
                          </a:xfrm>
                          <a:prstGeom prst="rect">
                            <a:avLst/>
                          </a:prstGeom>
                        </pic:spPr>
                      </pic:pic>
                    </a:graphicData>
                  </a:graphic>
                </wp:inline>
              </w:drawing>
            </w:r>
          </w:p>
          <w:p>
            <w:pPr>
              <w:adjustRightInd w:val="0"/>
              <w:snapToGrid w:val="0"/>
              <w:spacing w:before="120"/>
              <w:ind w:firstLine="480"/>
              <w:jc w:val="center"/>
              <w:rPr>
                <w:bCs/>
                <w:color w:val="000000"/>
                <w:szCs w:val="21"/>
              </w:rPr>
            </w:pPr>
            <w:r>
              <w:rPr>
                <w:rFonts w:hint="eastAsia"/>
                <w:bCs/>
                <w:color w:val="000000"/>
                <w:szCs w:val="21"/>
              </w:rPr>
              <w:t>图</w:t>
            </w:r>
            <w:r>
              <w:rPr>
                <w:bCs/>
                <w:color w:val="000000"/>
                <w:szCs w:val="21"/>
              </w:rPr>
              <w:t xml:space="preserve">3-1  </w:t>
            </w:r>
            <w:r>
              <w:rPr>
                <w:rFonts w:hint="eastAsia"/>
                <w:bCs/>
                <w:color w:val="000000"/>
                <w:szCs w:val="21"/>
              </w:rPr>
              <w:t>本项目环境保护目标分布图</w:t>
            </w:r>
          </w:p>
          <w:p>
            <w:pPr>
              <w:adjustRightInd w:val="0"/>
              <w:snapToGrid w:val="0"/>
              <w:spacing w:before="120"/>
              <w:ind w:firstLine="482"/>
              <w:rPr>
                <w:b/>
                <w:color w:val="000000"/>
                <w:szCs w:val="21"/>
              </w:rPr>
            </w:pPr>
            <w:r>
              <w:rPr>
                <w:b/>
                <w:color w:val="000000"/>
                <w:szCs w:val="21"/>
              </w:rPr>
              <w:t>2、地表水</w:t>
            </w:r>
          </w:p>
          <w:p>
            <w:pPr>
              <w:adjustRightInd w:val="0"/>
              <w:snapToGrid w:val="0"/>
              <w:spacing w:before="240" w:beforeLines="100"/>
              <w:ind w:firstLine="480"/>
            </w:pPr>
            <w:r>
              <w:rPr>
                <w:rFonts w:hint="eastAsia"/>
              </w:rPr>
              <w:t>项目附近地表水为董塘水（仁化后落山下~仁化石下）河段，执行《地表水环境质量标准》（GB3838-2002）中Ⅲ类标准</w:t>
            </w:r>
            <w:r>
              <w:t>。</w:t>
            </w:r>
          </w:p>
          <w:p>
            <w:pPr>
              <w:adjustRightInd w:val="0"/>
              <w:snapToGrid w:val="0"/>
              <w:spacing w:before="120"/>
              <w:ind w:firstLine="482"/>
              <w:rPr>
                <w:b/>
                <w:color w:val="000000"/>
                <w:szCs w:val="21"/>
              </w:rPr>
            </w:pPr>
            <w:r>
              <w:rPr>
                <w:b/>
                <w:color w:val="000000"/>
                <w:szCs w:val="21"/>
              </w:rPr>
              <w:t>3、地下水</w:t>
            </w:r>
          </w:p>
          <w:p>
            <w:pPr>
              <w:adjustRightInd w:val="0"/>
              <w:snapToGrid w:val="0"/>
              <w:spacing w:before="240" w:beforeLines="100"/>
              <w:ind w:firstLine="480"/>
            </w:pPr>
            <w:r>
              <w:t>本项目厂界外500米范围内不存在地下水集中式饮用水水源和热水、矿泉水、温泉等特殊地下水资源。</w:t>
            </w:r>
          </w:p>
          <w:p>
            <w:pPr>
              <w:adjustRightInd w:val="0"/>
              <w:snapToGrid w:val="0"/>
              <w:spacing w:before="120"/>
              <w:ind w:firstLine="482"/>
              <w:rPr>
                <w:b/>
                <w:color w:val="000000"/>
                <w:szCs w:val="21"/>
              </w:rPr>
            </w:pPr>
            <w:r>
              <w:rPr>
                <w:b/>
                <w:color w:val="000000"/>
                <w:szCs w:val="21"/>
              </w:rPr>
              <w:t>4、声环境</w:t>
            </w:r>
          </w:p>
          <w:p>
            <w:pPr>
              <w:adjustRightInd w:val="0"/>
              <w:snapToGrid w:val="0"/>
              <w:spacing w:before="240" w:beforeLines="100"/>
              <w:ind w:firstLine="480"/>
            </w:pPr>
            <w:r>
              <w:t>本项目厂界外50米范围内无声环境保护目标，详见图3-1。</w:t>
            </w:r>
          </w:p>
          <w:p>
            <w:pPr>
              <w:adjustRightInd w:val="0"/>
              <w:snapToGrid w:val="0"/>
              <w:spacing w:before="120"/>
              <w:ind w:firstLine="482"/>
              <w:rPr>
                <w:b/>
                <w:color w:val="000000"/>
                <w:szCs w:val="21"/>
              </w:rPr>
            </w:pPr>
            <w:r>
              <w:rPr>
                <w:b/>
                <w:color w:val="000000"/>
                <w:szCs w:val="21"/>
              </w:rPr>
              <w:t>5、生态环境</w:t>
            </w:r>
          </w:p>
          <w:p>
            <w:pPr>
              <w:adjustRightInd w:val="0"/>
              <w:snapToGrid w:val="0"/>
              <w:spacing w:before="240" w:beforeLines="100"/>
              <w:ind w:firstLine="480"/>
            </w:pPr>
            <w:r>
              <w:t>根据现场踏勘，项目位于</w:t>
            </w:r>
            <w:r>
              <w:rPr>
                <w:rFonts w:hint="eastAsia"/>
              </w:rPr>
              <w:t>韶关市仁化县董塘镇坪岗工业区</w:t>
            </w:r>
            <w:r>
              <w:t>内，属工业用地</w:t>
            </w:r>
            <w:r>
              <w:rPr>
                <w:rFonts w:hint="eastAsia"/>
              </w:rPr>
              <w:t>，评价范围内无国家级、自治区级濒危动、植物及特殊栖息地保护区，自然保护区，文物古迹，风景名胜等敏感区域及目标，无生态环境保护目标</w:t>
            </w:r>
            <w:r>
              <w:t>。</w:t>
            </w:r>
          </w:p>
          <w:p>
            <w:pPr>
              <w:adjustRightInd w:val="0"/>
              <w:snapToGrid w:val="0"/>
              <w:spacing w:before="240" w:beforeLines="100"/>
              <w:ind w:firstLine="480"/>
            </w:pPr>
            <w:r>
              <w:rPr>
                <w:rFonts w:hint="eastAsia"/>
              </w:rPr>
              <w:t>根据以上分析，本项目周边环境保护目标和方位详见表3-</w:t>
            </w:r>
            <w:r>
              <w:t>2</w:t>
            </w:r>
            <w:r>
              <w:rPr>
                <w:rFonts w:hint="eastAsia"/>
              </w:rPr>
              <w:t>、图3-1：</w:t>
            </w:r>
          </w:p>
          <w:p>
            <w:pPr>
              <w:spacing w:before="120"/>
              <w:ind w:firstLine="0" w:firstLineChars="0"/>
              <w:jc w:val="center"/>
            </w:pPr>
            <w:r>
              <w:t>表 3-2  项目周边环境</w:t>
            </w:r>
            <w:r>
              <w:rPr>
                <w:rFonts w:hint="eastAsia"/>
              </w:rPr>
              <w:t>保护目标</w:t>
            </w:r>
            <w:r>
              <w:t>分布情况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253"/>
              <w:gridCol w:w="1114"/>
              <w:gridCol w:w="1810"/>
              <w:gridCol w:w="125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jc w:val="center"/>
              </w:trPr>
              <w:tc>
                <w:tcPr>
                  <w:tcW w:w="1282" w:type="dxa"/>
                  <w:vMerge w:val="restart"/>
                  <w:shd w:val="clear" w:color="auto" w:fill="auto"/>
                  <w:vAlign w:val="center"/>
                </w:tcPr>
                <w:p>
                  <w:pPr>
                    <w:spacing w:before="0" w:beforeLines="0" w:line="240" w:lineRule="auto"/>
                    <w:ind w:firstLine="0" w:firstLineChars="0"/>
                    <w:jc w:val="center"/>
                    <w:rPr>
                      <w:snapToGrid w:val="0"/>
                      <w:sz w:val="21"/>
                    </w:rPr>
                  </w:pPr>
                  <w:r>
                    <w:rPr>
                      <w:snapToGrid w:val="0"/>
                      <w:sz w:val="21"/>
                    </w:rPr>
                    <w:t>名称</w:t>
                  </w:r>
                </w:p>
              </w:tc>
              <w:tc>
                <w:tcPr>
                  <w:tcW w:w="1253" w:type="dxa"/>
                  <w:vMerge w:val="restart"/>
                  <w:shd w:val="clear" w:color="auto" w:fill="auto"/>
                  <w:vAlign w:val="center"/>
                </w:tcPr>
                <w:p>
                  <w:pPr>
                    <w:spacing w:before="0" w:beforeLines="0" w:line="240" w:lineRule="auto"/>
                    <w:ind w:firstLine="0" w:firstLineChars="0"/>
                    <w:jc w:val="center"/>
                    <w:rPr>
                      <w:snapToGrid w:val="0"/>
                      <w:sz w:val="21"/>
                    </w:rPr>
                  </w:pPr>
                  <w:r>
                    <w:rPr>
                      <w:snapToGrid w:val="0"/>
                      <w:sz w:val="21"/>
                    </w:rPr>
                    <w:t>保护对象</w:t>
                  </w:r>
                </w:p>
              </w:tc>
              <w:tc>
                <w:tcPr>
                  <w:tcW w:w="1114" w:type="dxa"/>
                  <w:vMerge w:val="restart"/>
                  <w:shd w:val="clear" w:color="auto" w:fill="auto"/>
                  <w:vAlign w:val="center"/>
                </w:tcPr>
                <w:p>
                  <w:pPr>
                    <w:spacing w:before="0" w:beforeLines="0" w:line="240" w:lineRule="auto"/>
                    <w:ind w:firstLine="0" w:firstLineChars="0"/>
                    <w:jc w:val="center"/>
                    <w:rPr>
                      <w:snapToGrid w:val="0"/>
                      <w:sz w:val="21"/>
                    </w:rPr>
                  </w:pPr>
                  <w:r>
                    <w:rPr>
                      <w:snapToGrid w:val="0"/>
                      <w:sz w:val="21"/>
                    </w:rPr>
                    <w:t>保护内容</w:t>
                  </w:r>
                </w:p>
              </w:tc>
              <w:tc>
                <w:tcPr>
                  <w:tcW w:w="1810" w:type="dxa"/>
                  <w:vMerge w:val="restart"/>
                  <w:shd w:val="clear" w:color="auto" w:fill="auto"/>
                  <w:vAlign w:val="center"/>
                </w:tcPr>
                <w:p>
                  <w:pPr>
                    <w:spacing w:before="0" w:beforeLines="0" w:line="240" w:lineRule="auto"/>
                    <w:ind w:firstLine="0" w:firstLineChars="0"/>
                    <w:jc w:val="center"/>
                    <w:rPr>
                      <w:snapToGrid w:val="0"/>
                      <w:sz w:val="21"/>
                    </w:rPr>
                  </w:pPr>
                  <w:r>
                    <w:rPr>
                      <w:snapToGrid w:val="0"/>
                      <w:sz w:val="21"/>
                    </w:rPr>
                    <w:t>环境功能区</w:t>
                  </w:r>
                </w:p>
              </w:tc>
              <w:tc>
                <w:tcPr>
                  <w:tcW w:w="1253" w:type="dxa"/>
                  <w:vMerge w:val="restart"/>
                  <w:shd w:val="clear" w:color="auto" w:fill="auto"/>
                  <w:vAlign w:val="center"/>
                </w:tcPr>
                <w:p>
                  <w:pPr>
                    <w:spacing w:before="0" w:beforeLines="0" w:line="240" w:lineRule="auto"/>
                    <w:ind w:firstLine="0" w:firstLineChars="0"/>
                    <w:jc w:val="center"/>
                    <w:rPr>
                      <w:snapToGrid w:val="0"/>
                      <w:sz w:val="21"/>
                    </w:rPr>
                  </w:pPr>
                  <w:r>
                    <w:rPr>
                      <w:snapToGrid w:val="0"/>
                      <w:sz w:val="21"/>
                    </w:rPr>
                    <w:t>相对厂</w:t>
                  </w:r>
                </w:p>
                <w:p>
                  <w:pPr>
                    <w:spacing w:before="0" w:beforeLines="0" w:line="240" w:lineRule="auto"/>
                    <w:ind w:firstLine="0" w:firstLineChars="0"/>
                    <w:jc w:val="center"/>
                    <w:rPr>
                      <w:snapToGrid w:val="0"/>
                      <w:sz w:val="21"/>
                    </w:rPr>
                  </w:pPr>
                  <w:r>
                    <w:rPr>
                      <w:snapToGrid w:val="0"/>
                      <w:sz w:val="21"/>
                    </w:rPr>
                    <w:t>址方位</w:t>
                  </w:r>
                </w:p>
              </w:tc>
              <w:tc>
                <w:tcPr>
                  <w:tcW w:w="1183" w:type="dxa"/>
                  <w:vMerge w:val="restart"/>
                  <w:shd w:val="clear" w:color="auto" w:fill="auto"/>
                  <w:vAlign w:val="center"/>
                </w:tcPr>
                <w:p>
                  <w:pPr>
                    <w:spacing w:before="0" w:beforeLines="0" w:line="240" w:lineRule="auto"/>
                    <w:ind w:firstLine="0" w:firstLineChars="0"/>
                    <w:jc w:val="center"/>
                    <w:rPr>
                      <w:snapToGrid w:val="0"/>
                      <w:sz w:val="21"/>
                    </w:rPr>
                  </w:pPr>
                  <w:r>
                    <w:rPr>
                      <w:snapToGrid w:val="0"/>
                      <w:sz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82" w:type="dxa"/>
                  <w:vMerge w:val="continue"/>
                  <w:shd w:val="clear" w:color="auto" w:fill="auto"/>
                  <w:vAlign w:val="center"/>
                </w:tcPr>
                <w:p>
                  <w:pPr>
                    <w:spacing w:before="0" w:beforeLines="0" w:line="240" w:lineRule="auto"/>
                    <w:ind w:firstLine="0" w:firstLineChars="0"/>
                    <w:jc w:val="center"/>
                    <w:rPr>
                      <w:snapToGrid w:val="0"/>
                      <w:sz w:val="21"/>
                    </w:rPr>
                  </w:pPr>
                </w:p>
              </w:tc>
              <w:tc>
                <w:tcPr>
                  <w:tcW w:w="1253" w:type="dxa"/>
                  <w:vMerge w:val="continue"/>
                  <w:shd w:val="clear" w:color="auto" w:fill="auto"/>
                  <w:vAlign w:val="center"/>
                </w:tcPr>
                <w:p>
                  <w:pPr>
                    <w:spacing w:before="0" w:beforeLines="0" w:line="240" w:lineRule="auto"/>
                    <w:ind w:firstLine="0" w:firstLineChars="0"/>
                    <w:jc w:val="center"/>
                    <w:rPr>
                      <w:snapToGrid w:val="0"/>
                      <w:sz w:val="21"/>
                    </w:rPr>
                  </w:pPr>
                </w:p>
              </w:tc>
              <w:tc>
                <w:tcPr>
                  <w:tcW w:w="1114" w:type="dxa"/>
                  <w:vMerge w:val="continue"/>
                  <w:shd w:val="clear" w:color="auto" w:fill="auto"/>
                  <w:vAlign w:val="center"/>
                </w:tcPr>
                <w:p>
                  <w:pPr>
                    <w:spacing w:before="0" w:beforeLines="0" w:line="240" w:lineRule="auto"/>
                    <w:ind w:firstLine="0" w:firstLineChars="0"/>
                    <w:jc w:val="center"/>
                    <w:rPr>
                      <w:snapToGrid w:val="0"/>
                      <w:sz w:val="21"/>
                    </w:rPr>
                  </w:pPr>
                </w:p>
              </w:tc>
              <w:tc>
                <w:tcPr>
                  <w:tcW w:w="1810" w:type="dxa"/>
                  <w:vMerge w:val="continue"/>
                  <w:shd w:val="clear" w:color="auto" w:fill="auto"/>
                  <w:vAlign w:val="center"/>
                </w:tcPr>
                <w:p>
                  <w:pPr>
                    <w:spacing w:before="0" w:beforeLines="0" w:line="240" w:lineRule="auto"/>
                    <w:ind w:firstLine="0" w:firstLineChars="0"/>
                    <w:jc w:val="center"/>
                    <w:rPr>
                      <w:snapToGrid w:val="0"/>
                      <w:sz w:val="21"/>
                    </w:rPr>
                  </w:pPr>
                </w:p>
              </w:tc>
              <w:tc>
                <w:tcPr>
                  <w:tcW w:w="1253" w:type="dxa"/>
                  <w:vMerge w:val="continue"/>
                  <w:shd w:val="clear" w:color="auto" w:fill="auto"/>
                  <w:vAlign w:val="center"/>
                </w:tcPr>
                <w:p>
                  <w:pPr>
                    <w:spacing w:before="0" w:beforeLines="0" w:line="240" w:lineRule="auto"/>
                    <w:ind w:firstLine="0" w:firstLineChars="0"/>
                    <w:jc w:val="center"/>
                    <w:rPr>
                      <w:snapToGrid w:val="0"/>
                      <w:sz w:val="21"/>
                    </w:rPr>
                  </w:pPr>
                </w:p>
              </w:tc>
              <w:tc>
                <w:tcPr>
                  <w:tcW w:w="1183" w:type="dxa"/>
                  <w:vMerge w:val="continue"/>
                  <w:shd w:val="clear" w:color="auto" w:fill="auto"/>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82" w:type="dxa"/>
                  <w:shd w:val="clear" w:color="auto" w:fill="auto"/>
                  <w:vAlign w:val="center"/>
                </w:tcPr>
                <w:p>
                  <w:pPr>
                    <w:spacing w:before="0" w:beforeLines="0" w:line="240" w:lineRule="auto"/>
                    <w:ind w:firstLine="0" w:firstLineChars="0"/>
                    <w:jc w:val="center"/>
                    <w:rPr>
                      <w:snapToGrid w:val="0"/>
                      <w:color w:val="000000"/>
                      <w:sz w:val="21"/>
                    </w:rPr>
                  </w:pPr>
                  <w:r>
                    <w:rPr>
                      <w:rFonts w:hint="eastAsia"/>
                      <w:snapToGrid w:val="0"/>
                      <w:color w:val="000000"/>
                      <w:sz w:val="21"/>
                    </w:rPr>
                    <w:t>坪岗村</w:t>
                  </w:r>
                </w:p>
              </w:tc>
              <w:tc>
                <w:tcPr>
                  <w:tcW w:w="1253" w:type="dxa"/>
                  <w:shd w:val="clear" w:color="auto" w:fill="auto"/>
                  <w:vAlign w:val="center"/>
                </w:tcPr>
                <w:p>
                  <w:pPr>
                    <w:spacing w:before="0" w:beforeLines="0" w:line="240" w:lineRule="auto"/>
                    <w:ind w:firstLine="0" w:firstLineChars="0"/>
                    <w:jc w:val="center"/>
                    <w:rPr>
                      <w:snapToGrid w:val="0"/>
                      <w:color w:val="000000"/>
                      <w:sz w:val="21"/>
                    </w:rPr>
                  </w:pPr>
                  <w:r>
                    <w:rPr>
                      <w:snapToGrid w:val="0"/>
                      <w:color w:val="000000"/>
                      <w:sz w:val="21"/>
                    </w:rPr>
                    <w:t>居民区</w:t>
                  </w:r>
                </w:p>
              </w:tc>
              <w:tc>
                <w:tcPr>
                  <w:tcW w:w="1114" w:type="dxa"/>
                  <w:vMerge w:val="restart"/>
                  <w:shd w:val="clear" w:color="auto" w:fill="auto"/>
                  <w:vAlign w:val="center"/>
                </w:tcPr>
                <w:p>
                  <w:pPr>
                    <w:spacing w:before="0" w:beforeLines="0" w:line="240" w:lineRule="auto"/>
                    <w:ind w:firstLine="0" w:firstLineChars="0"/>
                    <w:jc w:val="center"/>
                    <w:rPr>
                      <w:snapToGrid w:val="0"/>
                      <w:color w:val="000000"/>
                      <w:sz w:val="21"/>
                    </w:rPr>
                  </w:pPr>
                  <w:r>
                    <w:rPr>
                      <w:rFonts w:hint="eastAsia"/>
                      <w:snapToGrid w:val="0"/>
                      <w:color w:val="000000"/>
                      <w:sz w:val="21"/>
                    </w:rPr>
                    <w:t>环境空气质量</w:t>
                  </w:r>
                </w:p>
              </w:tc>
              <w:tc>
                <w:tcPr>
                  <w:tcW w:w="1810" w:type="dxa"/>
                  <w:vMerge w:val="restart"/>
                  <w:shd w:val="clear" w:color="auto" w:fill="auto"/>
                  <w:vAlign w:val="center"/>
                </w:tcPr>
                <w:p>
                  <w:pPr>
                    <w:spacing w:before="0" w:beforeLines="0" w:line="240" w:lineRule="auto"/>
                    <w:ind w:firstLine="0" w:firstLineChars="0"/>
                    <w:jc w:val="center"/>
                    <w:rPr>
                      <w:snapToGrid w:val="0"/>
                      <w:color w:val="000000"/>
                      <w:sz w:val="21"/>
                    </w:rPr>
                  </w:pPr>
                  <w:r>
                    <w:rPr>
                      <w:snapToGrid w:val="0"/>
                      <w:color w:val="000000"/>
                      <w:sz w:val="21"/>
                    </w:rPr>
                    <w:t>环境空气二类区</w:t>
                  </w:r>
                </w:p>
                <w:p>
                  <w:pPr>
                    <w:spacing w:before="0" w:beforeLines="0" w:line="240" w:lineRule="auto"/>
                    <w:ind w:firstLine="0" w:firstLineChars="0"/>
                    <w:jc w:val="center"/>
                    <w:rPr>
                      <w:snapToGrid w:val="0"/>
                      <w:color w:val="000000"/>
                      <w:sz w:val="21"/>
                    </w:rPr>
                  </w:pPr>
                  <w:r>
                    <w:rPr>
                      <w:rFonts w:hint="eastAsia"/>
                      <w:snapToGrid w:val="0"/>
                      <w:color w:val="000000"/>
                      <w:sz w:val="21"/>
                    </w:rPr>
                    <w:t>声环境二级</w:t>
                  </w:r>
                </w:p>
              </w:tc>
              <w:tc>
                <w:tcPr>
                  <w:tcW w:w="1253" w:type="dxa"/>
                  <w:shd w:val="clear" w:color="auto" w:fill="auto"/>
                  <w:vAlign w:val="center"/>
                </w:tcPr>
                <w:p>
                  <w:pPr>
                    <w:spacing w:before="0" w:beforeLines="0" w:line="240" w:lineRule="auto"/>
                    <w:ind w:firstLine="0" w:firstLineChars="0"/>
                    <w:jc w:val="center"/>
                    <w:rPr>
                      <w:snapToGrid w:val="0"/>
                      <w:color w:val="000000"/>
                      <w:sz w:val="21"/>
                    </w:rPr>
                  </w:pPr>
                  <w:r>
                    <w:rPr>
                      <w:rFonts w:hint="eastAsia"/>
                      <w:snapToGrid w:val="0"/>
                      <w:color w:val="000000"/>
                      <w:sz w:val="21"/>
                    </w:rPr>
                    <w:t>N</w:t>
                  </w:r>
                  <w:r>
                    <w:rPr>
                      <w:snapToGrid w:val="0"/>
                      <w:color w:val="000000"/>
                      <w:sz w:val="21"/>
                    </w:rPr>
                    <w:t>W</w:t>
                  </w:r>
                  <w:r>
                    <w:rPr>
                      <w:rFonts w:hint="eastAsia"/>
                      <w:snapToGrid w:val="0"/>
                      <w:color w:val="000000"/>
                      <w:sz w:val="21"/>
                    </w:rPr>
                    <w:t>、N</w:t>
                  </w:r>
                  <w:r>
                    <w:rPr>
                      <w:snapToGrid w:val="0"/>
                      <w:color w:val="000000"/>
                      <w:sz w:val="21"/>
                    </w:rPr>
                    <w:t>E</w:t>
                  </w:r>
                </w:p>
              </w:tc>
              <w:tc>
                <w:tcPr>
                  <w:tcW w:w="1183" w:type="dxa"/>
                  <w:shd w:val="clear" w:color="auto" w:fill="auto"/>
                  <w:vAlign w:val="center"/>
                </w:tcPr>
                <w:p>
                  <w:pPr>
                    <w:spacing w:before="0" w:beforeLines="0" w:line="240" w:lineRule="auto"/>
                    <w:ind w:firstLine="0" w:firstLineChars="0"/>
                    <w:jc w:val="center"/>
                    <w:rPr>
                      <w:snapToGrid w:val="0"/>
                      <w:color w:val="000000"/>
                      <w:sz w:val="21"/>
                    </w:rPr>
                  </w:pPr>
                  <w:r>
                    <w:rPr>
                      <w:rFonts w:hint="eastAsia"/>
                      <w:snapToGrid w:val="0"/>
                      <w:color w:val="000000"/>
                      <w:sz w:val="21"/>
                    </w:rPr>
                    <w:t>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1282" w:type="dxa"/>
                  <w:shd w:val="clear" w:color="auto" w:fill="auto"/>
                  <w:vAlign w:val="center"/>
                </w:tcPr>
                <w:p>
                  <w:pPr>
                    <w:spacing w:before="0" w:beforeLines="0" w:line="240" w:lineRule="auto"/>
                    <w:ind w:firstLine="0" w:firstLineChars="0"/>
                    <w:jc w:val="center"/>
                    <w:rPr>
                      <w:snapToGrid w:val="0"/>
                      <w:color w:val="000000"/>
                      <w:sz w:val="21"/>
                    </w:rPr>
                  </w:pPr>
                  <w:r>
                    <w:rPr>
                      <w:rFonts w:hint="eastAsia"/>
                      <w:snapToGrid w:val="0"/>
                      <w:color w:val="000000"/>
                      <w:sz w:val="21"/>
                    </w:rPr>
                    <w:t>岩头村</w:t>
                  </w:r>
                </w:p>
              </w:tc>
              <w:tc>
                <w:tcPr>
                  <w:tcW w:w="1253" w:type="dxa"/>
                  <w:shd w:val="clear" w:color="auto" w:fill="auto"/>
                  <w:vAlign w:val="center"/>
                </w:tcPr>
                <w:p>
                  <w:pPr>
                    <w:spacing w:before="0" w:beforeLines="0" w:line="240" w:lineRule="auto"/>
                    <w:ind w:firstLine="0" w:firstLineChars="0"/>
                    <w:jc w:val="center"/>
                    <w:rPr>
                      <w:snapToGrid w:val="0"/>
                      <w:color w:val="000000"/>
                      <w:sz w:val="21"/>
                    </w:rPr>
                  </w:pPr>
                  <w:r>
                    <w:rPr>
                      <w:snapToGrid w:val="0"/>
                      <w:color w:val="000000"/>
                      <w:sz w:val="21"/>
                    </w:rPr>
                    <w:t>居民区</w:t>
                  </w:r>
                </w:p>
              </w:tc>
              <w:tc>
                <w:tcPr>
                  <w:tcW w:w="1114" w:type="dxa"/>
                  <w:vMerge w:val="continue"/>
                  <w:shd w:val="clear" w:color="auto" w:fill="auto"/>
                  <w:vAlign w:val="center"/>
                </w:tcPr>
                <w:p>
                  <w:pPr>
                    <w:spacing w:before="0" w:beforeLines="0" w:line="240" w:lineRule="auto"/>
                    <w:ind w:firstLine="0" w:firstLineChars="0"/>
                    <w:jc w:val="center"/>
                    <w:rPr>
                      <w:snapToGrid w:val="0"/>
                      <w:color w:val="000000"/>
                      <w:sz w:val="21"/>
                    </w:rPr>
                  </w:pPr>
                </w:p>
              </w:tc>
              <w:tc>
                <w:tcPr>
                  <w:tcW w:w="1810" w:type="dxa"/>
                  <w:vMerge w:val="continue"/>
                  <w:shd w:val="clear" w:color="auto" w:fill="auto"/>
                  <w:vAlign w:val="center"/>
                </w:tcPr>
                <w:p>
                  <w:pPr>
                    <w:spacing w:before="0" w:beforeLines="0" w:line="240" w:lineRule="auto"/>
                    <w:ind w:firstLine="0" w:firstLineChars="0"/>
                    <w:jc w:val="center"/>
                    <w:rPr>
                      <w:snapToGrid w:val="0"/>
                      <w:color w:val="000000"/>
                      <w:sz w:val="21"/>
                    </w:rPr>
                  </w:pPr>
                </w:p>
              </w:tc>
              <w:tc>
                <w:tcPr>
                  <w:tcW w:w="1253" w:type="dxa"/>
                  <w:shd w:val="clear" w:color="auto" w:fill="auto"/>
                  <w:vAlign w:val="center"/>
                </w:tcPr>
                <w:p>
                  <w:pPr>
                    <w:spacing w:before="0" w:beforeLines="0" w:line="240" w:lineRule="auto"/>
                    <w:ind w:firstLine="0" w:firstLineChars="0"/>
                    <w:jc w:val="center"/>
                    <w:rPr>
                      <w:snapToGrid w:val="0"/>
                      <w:color w:val="000000"/>
                      <w:sz w:val="21"/>
                    </w:rPr>
                  </w:pPr>
                  <w:r>
                    <w:rPr>
                      <w:rFonts w:hint="eastAsia"/>
                      <w:snapToGrid w:val="0"/>
                      <w:color w:val="000000"/>
                      <w:sz w:val="21"/>
                    </w:rPr>
                    <w:t>S</w:t>
                  </w:r>
                  <w:r>
                    <w:rPr>
                      <w:snapToGrid w:val="0"/>
                      <w:color w:val="000000"/>
                      <w:sz w:val="21"/>
                    </w:rPr>
                    <w:t>W</w:t>
                  </w:r>
                  <w:r>
                    <w:rPr>
                      <w:rFonts w:hint="eastAsia"/>
                      <w:snapToGrid w:val="0"/>
                      <w:color w:val="000000"/>
                      <w:sz w:val="21"/>
                    </w:rPr>
                    <w:t>、S</w:t>
                  </w:r>
                </w:p>
              </w:tc>
              <w:tc>
                <w:tcPr>
                  <w:tcW w:w="1183" w:type="dxa"/>
                  <w:shd w:val="clear" w:color="auto" w:fill="auto"/>
                  <w:vAlign w:val="center"/>
                </w:tcPr>
                <w:p>
                  <w:pPr>
                    <w:spacing w:before="0" w:beforeLines="0" w:line="240" w:lineRule="auto"/>
                    <w:ind w:firstLine="0" w:firstLineChars="0"/>
                    <w:jc w:val="center"/>
                    <w:rPr>
                      <w:snapToGrid w:val="0"/>
                      <w:color w:val="000000"/>
                      <w:sz w:val="21"/>
                    </w:rPr>
                  </w:pPr>
                  <w:r>
                    <w:rPr>
                      <w:rFonts w:hint="eastAsia"/>
                      <w:snapToGrid w:val="0"/>
                      <w:color w:val="000000"/>
                      <w:sz w:val="21"/>
                    </w:rPr>
                    <w:t>1</w:t>
                  </w:r>
                  <w:r>
                    <w:rPr>
                      <w:snapToGrid w:val="0"/>
                      <w:color w:val="000000"/>
                      <w:sz w:val="21"/>
                    </w:rPr>
                    <w:t>2</w:t>
                  </w:r>
                  <w:r>
                    <w:rPr>
                      <w:rFonts w:hint="eastAsia"/>
                      <w:snapToGrid w:val="0"/>
                      <w:color w:val="000000"/>
                      <w:sz w:val="21"/>
                    </w:rPr>
                    <w:t>9</w:t>
                  </w:r>
                </w:p>
              </w:tc>
            </w:tr>
          </w:tbl>
          <w:p>
            <w:pPr>
              <w:spacing w:before="0" w:beforeLines="0" w:line="240" w:lineRule="auto"/>
              <w:ind w:firstLine="0" w:firstLineChars="0"/>
            </w:pPr>
            <w:r>
              <w:t xml:space="preserve">  </w:t>
            </w:r>
          </w:p>
          <w:p>
            <w:pPr>
              <w:spacing w:before="0" w:beforeLines="0"/>
              <w:ind w:firstLine="0" w:firstLineChars="0"/>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25" w:hRule="atLeast"/>
          <w:jc w:val="center"/>
        </w:trPr>
        <w:tc>
          <w:tcPr>
            <w:tcW w:w="335" w:type="pct"/>
            <w:tcMar>
              <w:left w:w="28" w:type="dxa"/>
              <w:right w:w="28" w:type="dxa"/>
            </w:tcMar>
            <w:vAlign w:val="center"/>
          </w:tcPr>
          <w:p>
            <w:pPr>
              <w:spacing w:before="120"/>
              <w:ind w:firstLine="0" w:firstLineChars="0"/>
              <w:jc w:val="center"/>
            </w:pPr>
            <w:r>
              <w:t>污染</w:t>
            </w:r>
          </w:p>
          <w:p>
            <w:pPr>
              <w:spacing w:before="120"/>
              <w:ind w:firstLine="0" w:firstLineChars="0"/>
              <w:jc w:val="center"/>
            </w:pPr>
            <w:r>
              <w:t>物排</w:t>
            </w:r>
          </w:p>
          <w:p>
            <w:pPr>
              <w:spacing w:before="120"/>
              <w:ind w:firstLine="0" w:firstLineChars="0"/>
              <w:jc w:val="center"/>
            </w:pPr>
            <w:r>
              <w:t>放控</w:t>
            </w:r>
          </w:p>
          <w:p>
            <w:pPr>
              <w:spacing w:before="120"/>
              <w:ind w:firstLine="0" w:firstLineChars="0"/>
              <w:jc w:val="center"/>
            </w:pPr>
            <w:r>
              <w:t>制标</w:t>
            </w:r>
          </w:p>
          <w:p>
            <w:pPr>
              <w:spacing w:before="120"/>
              <w:ind w:firstLine="0" w:firstLineChars="0"/>
              <w:jc w:val="center"/>
            </w:pPr>
            <w:r>
              <w:t>准</w:t>
            </w:r>
          </w:p>
          <w:p>
            <w:pPr>
              <w:adjustRightInd w:val="0"/>
              <w:snapToGrid w:val="0"/>
              <w:spacing w:before="120"/>
              <w:ind w:firstLine="0" w:firstLineChars="0"/>
              <w:rPr>
                <w:szCs w:val="21"/>
              </w:rPr>
            </w:pPr>
          </w:p>
        </w:tc>
        <w:tc>
          <w:tcPr>
            <w:tcW w:w="4665" w:type="pct"/>
            <w:tcBorders>
              <w:top w:val="single" w:color="000000" w:sz="4" w:space="0"/>
              <w:bottom w:val="single" w:color="auto" w:sz="4" w:space="0"/>
            </w:tcBorders>
            <w:vAlign w:val="center"/>
          </w:tcPr>
          <w:p>
            <w:pPr>
              <w:adjustRightInd w:val="0"/>
              <w:snapToGrid w:val="0"/>
              <w:spacing w:before="240" w:beforeLines="100"/>
              <w:ind w:firstLine="482"/>
              <w:rPr>
                <w:b/>
                <w:bCs/>
                <w:color w:val="000000"/>
              </w:rPr>
            </w:pPr>
            <w:r>
              <w:rPr>
                <w:b/>
                <w:bCs/>
                <w:color w:val="000000"/>
              </w:rPr>
              <w:t>1、大气污染物</w:t>
            </w:r>
          </w:p>
          <w:p>
            <w:pPr>
              <w:spacing w:before="120"/>
              <w:ind w:firstLine="480"/>
            </w:pPr>
            <w:r>
              <w:t>施工期：</w:t>
            </w:r>
          </w:p>
          <w:p>
            <w:pPr>
              <w:spacing w:before="120"/>
              <w:ind w:firstLine="480"/>
            </w:pPr>
            <w:r>
              <w:t>本项目施工期车辆运输、土建、设备安装产生的施工扬尘，属于无组织排放源，执行广东省《大气污染物排放限值》（DB 44/27-2001）第二时段无组织排放监控浓度限值。</w:t>
            </w:r>
          </w:p>
          <w:p>
            <w:pPr>
              <w:spacing w:before="120"/>
              <w:ind w:firstLine="480"/>
            </w:pPr>
            <w:r>
              <w:t>运营期：</w:t>
            </w:r>
          </w:p>
          <w:p>
            <w:pPr>
              <w:spacing w:before="120"/>
              <w:ind w:firstLine="480"/>
            </w:pPr>
            <w:r>
              <w:rPr>
                <w:rFonts w:hint="eastAsia"/>
              </w:rPr>
              <w:t>本项目运营期过程产生的恶臭污染物执行《恶臭污染物排放标准》（GB14554-93）表2排放标准限值，无组织排放的NH</w:t>
            </w:r>
            <w:r>
              <w:rPr>
                <w:rFonts w:hint="eastAsia"/>
                <w:vertAlign w:val="subscript"/>
              </w:rPr>
              <w:t>3</w:t>
            </w:r>
            <w:r>
              <w:rPr>
                <w:rFonts w:hint="eastAsia"/>
              </w:rPr>
              <w:t>、H</w:t>
            </w:r>
            <w:r>
              <w:rPr>
                <w:rFonts w:hint="eastAsia"/>
                <w:vertAlign w:val="subscript"/>
              </w:rPr>
              <w:t>2</w:t>
            </w:r>
            <w:r>
              <w:rPr>
                <w:rFonts w:hint="eastAsia"/>
              </w:rPr>
              <w:t>S、臭气浓度执行《恶臭污染物排放标准》（GB14554-93）中表1中二级标准新扩改建限值。</w:t>
            </w:r>
          </w:p>
          <w:p>
            <w:pPr>
              <w:spacing w:before="240" w:beforeLines="100"/>
              <w:ind w:firstLine="0" w:firstLineChars="0"/>
              <w:jc w:val="center"/>
              <w:rPr>
                <w:b/>
                <w:color w:val="000000"/>
                <w:kern w:val="28"/>
                <w:sz w:val="21"/>
                <w:szCs w:val="21"/>
              </w:rPr>
            </w:pPr>
            <w:r>
              <w:rPr>
                <w:b/>
                <w:color w:val="000000"/>
                <w:kern w:val="28"/>
                <w:sz w:val="21"/>
                <w:szCs w:val="21"/>
              </w:rPr>
              <w:t xml:space="preserve">表3-3  </w:t>
            </w:r>
            <w:r>
              <w:rPr>
                <w:rFonts w:hint="eastAsia"/>
                <w:b/>
                <w:color w:val="000000"/>
                <w:kern w:val="28"/>
                <w:sz w:val="21"/>
                <w:szCs w:val="21"/>
              </w:rPr>
              <w:t>本项目生产过程产生的废气排放执行标准</w:t>
            </w:r>
          </w:p>
          <w:tbl>
            <w:tblPr>
              <w:tblStyle w:val="23"/>
              <w:tblW w:w="7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2366"/>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2533" w:type="dxa"/>
                  <w:vMerge w:val="restart"/>
                  <w:vAlign w:val="center"/>
                </w:tcPr>
                <w:p>
                  <w:pPr>
                    <w:pStyle w:val="97"/>
                  </w:pPr>
                  <w:r>
                    <w:rPr>
                      <w:rFonts w:hint="eastAsia"/>
                    </w:rPr>
                    <w:t>污染物</w:t>
                  </w:r>
                </w:p>
              </w:tc>
              <w:tc>
                <w:tcPr>
                  <w:tcW w:w="2366" w:type="dxa"/>
                  <w:vAlign w:val="center"/>
                </w:tcPr>
                <w:p>
                  <w:pPr>
                    <w:pStyle w:val="97"/>
                  </w:pPr>
                  <w:r>
                    <w:rPr>
                      <w:rFonts w:hint="eastAsia"/>
                    </w:rPr>
                    <w:t>有组织排放限值</w:t>
                  </w:r>
                </w:p>
              </w:tc>
              <w:tc>
                <w:tcPr>
                  <w:tcW w:w="2366" w:type="dxa"/>
                  <w:vMerge w:val="restart"/>
                  <w:vAlign w:val="center"/>
                </w:tcPr>
                <w:p>
                  <w:pPr>
                    <w:pStyle w:val="97"/>
                  </w:pPr>
                  <w:r>
                    <w:rPr>
                      <w:rFonts w:hint="eastAsia"/>
                    </w:rPr>
                    <w:t>厂界无组织排放监控浓度限值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533" w:type="dxa"/>
                  <w:vMerge w:val="continue"/>
                  <w:vAlign w:val="center"/>
                </w:tcPr>
                <w:p>
                  <w:pPr>
                    <w:pStyle w:val="97"/>
                  </w:pPr>
                </w:p>
              </w:tc>
              <w:tc>
                <w:tcPr>
                  <w:tcW w:w="2366" w:type="dxa"/>
                  <w:vAlign w:val="center"/>
                </w:tcPr>
                <w:p>
                  <w:pPr>
                    <w:pStyle w:val="97"/>
                  </w:pPr>
                  <w:r>
                    <w:rPr>
                      <w:rFonts w:hint="eastAsia"/>
                    </w:rPr>
                    <w:t>1</w:t>
                  </w:r>
                  <w:r>
                    <w:t>5m排气筒</w:t>
                  </w:r>
                </w:p>
              </w:tc>
              <w:tc>
                <w:tcPr>
                  <w:tcW w:w="2366" w:type="dxa"/>
                  <w:vMerge w:val="continue"/>
                  <w:vAlign w:val="center"/>
                </w:tcPr>
                <w:p>
                  <w:pPr>
                    <w:pStyle w:val="9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2533" w:type="dxa"/>
                  <w:vAlign w:val="center"/>
                </w:tcPr>
                <w:p>
                  <w:pPr>
                    <w:pStyle w:val="97"/>
                  </w:pPr>
                  <w:r>
                    <w:rPr>
                      <w:rFonts w:hint="eastAsia"/>
                    </w:rPr>
                    <w:t>NH</w:t>
                  </w:r>
                  <w:r>
                    <w:rPr>
                      <w:vertAlign w:val="subscript"/>
                    </w:rPr>
                    <w:t>3</w:t>
                  </w:r>
                </w:p>
              </w:tc>
              <w:tc>
                <w:tcPr>
                  <w:tcW w:w="2366" w:type="dxa"/>
                  <w:vAlign w:val="center"/>
                </w:tcPr>
                <w:p>
                  <w:pPr>
                    <w:pStyle w:val="97"/>
                  </w:pPr>
                  <w:r>
                    <w:rPr>
                      <w:rFonts w:hint="eastAsia"/>
                    </w:rPr>
                    <w:t>4</w:t>
                  </w:r>
                  <w:r>
                    <w:t>.9kg/h</w:t>
                  </w:r>
                </w:p>
              </w:tc>
              <w:tc>
                <w:tcPr>
                  <w:tcW w:w="2366" w:type="dxa"/>
                  <w:vAlign w:val="center"/>
                </w:tcPr>
                <w:p>
                  <w:pPr>
                    <w:pStyle w:val="97"/>
                  </w:pPr>
                  <w:r>
                    <w:rPr>
                      <w:rFonts w:hint="eastAsia"/>
                    </w:rPr>
                    <w:t>1</w:t>
                  </w:r>
                  <w:r>
                    <w:t>.5mg/m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2533" w:type="dxa"/>
                  <w:vAlign w:val="center"/>
                </w:tcPr>
                <w:p>
                  <w:pPr>
                    <w:pStyle w:val="97"/>
                  </w:pPr>
                  <w:r>
                    <w:rPr>
                      <w:rFonts w:hint="eastAsia"/>
                    </w:rPr>
                    <w:t>H</w:t>
                  </w:r>
                  <w:r>
                    <w:rPr>
                      <w:vertAlign w:val="subscript"/>
                    </w:rPr>
                    <w:t>2</w:t>
                  </w:r>
                  <w:r>
                    <w:t>S</w:t>
                  </w:r>
                </w:p>
              </w:tc>
              <w:tc>
                <w:tcPr>
                  <w:tcW w:w="2366" w:type="dxa"/>
                  <w:vAlign w:val="center"/>
                </w:tcPr>
                <w:p>
                  <w:pPr>
                    <w:pStyle w:val="97"/>
                  </w:pPr>
                  <w:r>
                    <w:rPr>
                      <w:rFonts w:hint="eastAsia"/>
                    </w:rPr>
                    <w:t>0</w:t>
                  </w:r>
                  <w:r>
                    <w:t>.33kg/h</w:t>
                  </w:r>
                </w:p>
              </w:tc>
              <w:tc>
                <w:tcPr>
                  <w:tcW w:w="2366" w:type="dxa"/>
                  <w:vAlign w:val="center"/>
                </w:tcPr>
                <w:p>
                  <w:pPr>
                    <w:pStyle w:val="97"/>
                  </w:pPr>
                  <w:r>
                    <w:rPr>
                      <w:rFonts w:hint="eastAsia"/>
                    </w:rPr>
                    <w:t>0</w:t>
                  </w:r>
                  <w:r>
                    <w:t>.06mg/m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533" w:type="dxa"/>
                  <w:vAlign w:val="center"/>
                </w:tcPr>
                <w:p>
                  <w:pPr>
                    <w:pStyle w:val="97"/>
                    <w:spacing w:line="0" w:lineRule="atLeast"/>
                  </w:pPr>
                  <w:r>
                    <w:t>臭气浓度</w:t>
                  </w:r>
                </w:p>
              </w:tc>
              <w:tc>
                <w:tcPr>
                  <w:tcW w:w="2366" w:type="dxa"/>
                  <w:vAlign w:val="center"/>
                </w:tcPr>
                <w:p>
                  <w:pPr>
                    <w:pStyle w:val="97"/>
                    <w:spacing w:line="0" w:lineRule="atLeast"/>
                  </w:pPr>
                  <w:r>
                    <w:rPr>
                      <w:rFonts w:hint="eastAsia"/>
                    </w:rPr>
                    <w:t>2</w:t>
                  </w:r>
                  <w:r>
                    <w:t>000（无量纲）</w:t>
                  </w:r>
                </w:p>
              </w:tc>
              <w:tc>
                <w:tcPr>
                  <w:tcW w:w="2366" w:type="dxa"/>
                  <w:vAlign w:val="center"/>
                </w:tcPr>
                <w:p>
                  <w:pPr>
                    <w:pStyle w:val="97"/>
                    <w:spacing w:line="0" w:lineRule="atLeast"/>
                  </w:pPr>
                  <w:r>
                    <w:rPr>
                      <w:rFonts w:hint="eastAsia"/>
                    </w:rPr>
                    <w:t>2</w:t>
                  </w:r>
                  <w:r>
                    <w:t>0（无量纲）</w:t>
                  </w:r>
                </w:p>
              </w:tc>
            </w:tr>
          </w:tbl>
          <w:p>
            <w:pPr>
              <w:adjustRightInd w:val="0"/>
              <w:snapToGrid w:val="0"/>
              <w:spacing w:before="240" w:beforeLines="100"/>
              <w:ind w:firstLine="480"/>
            </w:pPr>
            <w:r>
              <w:rPr>
                <w:rFonts w:hint="eastAsia"/>
              </w:rPr>
              <w:t>食堂产生的油烟废气执行《饮食业油烟标准排放标准（试行）》（GB18483-2001）的排放浓度限值规定（小型：净化设施最低去除效率</w:t>
            </w:r>
            <w:r>
              <w:t>60</w:t>
            </w:r>
            <w:r>
              <w:rPr>
                <w:rFonts w:hint="eastAsia"/>
              </w:rPr>
              <w:t>%，最高允许排放浓度为2.0mg/m</w:t>
            </w:r>
            <w:r>
              <w:rPr>
                <w:rFonts w:hint="eastAsia"/>
                <w:vertAlign w:val="superscript"/>
              </w:rPr>
              <w:t>3</w:t>
            </w:r>
            <w:r>
              <w:rPr>
                <w:rFonts w:hint="eastAsia"/>
              </w:rPr>
              <w:t>）。</w:t>
            </w:r>
          </w:p>
          <w:p>
            <w:pPr>
              <w:spacing w:before="240" w:beforeLines="100"/>
              <w:ind w:firstLine="0" w:firstLineChars="0"/>
              <w:jc w:val="center"/>
              <w:rPr>
                <w:b/>
                <w:color w:val="000000"/>
                <w:kern w:val="28"/>
                <w:sz w:val="21"/>
                <w:szCs w:val="21"/>
              </w:rPr>
            </w:pPr>
            <w:r>
              <w:rPr>
                <w:b/>
                <w:color w:val="000000"/>
                <w:kern w:val="28"/>
                <w:sz w:val="21"/>
                <w:szCs w:val="21"/>
              </w:rPr>
              <w:t xml:space="preserve">表3-4  </w:t>
            </w:r>
            <w:r>
              <w:rPr>
                <w:rFonts w:hint="eastAsia"/>
                <w:b/>
                <w:color w:val="000000"/>
                <w:kern w:val="28"/>
                <w:sz w:val="21"/>
                <w:szCs w:val="21"/>
              </w:rPr>
              <w:t>《饮食业油烟排放标准（试行）》（GB18483-2001）</w:t>
            </w:r>
          </w:p>
          <w:tbl>
            <w:tblPr>
              <w:tblStyle w:val="22"/>
              <w:tblW w:w="7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7"/>
              <w:gridCol w:w="1314"/>
              <w:gridCol w:w="15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217"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bCs/>
                      <w:kern w:val="2"/>
                      <w:sz w:val="21"/>
                      <w:szCs w:val="21"/>
                    </w:rPr>
                    <w:t>规模</w:t>
                  </w:r>
                </w:p>
              </w:tc>
              <w:tc>
                <w:tcPr>
                  <w:tcW w:w="1314"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bCs/>
                      <w:kern w:val="2"/>
                      <w:sz w:val="21"/>
                      <w:szCs w:val="21"/>
                    </w:rPr>
                    <w:t>小型</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bCs/>
                      <w:kern w:val="2"/>
                      <w:sz w:val="21"/>
                      <w:szCs w:val="21"/>
                    </w:rPr>
                    <w:t>中型</w:t>
                  </w:r>
                </w:p>
              </w:tc>
              <w:tc>
                <w:tcPr>
                  <w:tcW w:w="1559"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bCs/>
                      <w:kern w:val="2"/>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217" w:type="dxa"/>
                  <w:tcBorders>
                    <w:top w:val="single" w:color="auto" w:sz="4" w:space="0"/>
                    <w:left w:val="single" w:color="auto" w:sz="4" w:space="0"/>
                    <w:bottom w:val="single" w:color="auto" w:sz="4" w:space="0"/>
                    <w:right w:val="single" w:color="auto" w:sz="4" w:space="0"/>
                  </w:tcBorders>
                  <w:vAlign w:val="center"/>
                </w:tcPr>
                <w:p>
                  <w:pPr>
                    <w:snapToGrid w:val="0"/>
                    <w:spacing w:before="0" w:beforeLines="0" w:line="240" w:lineRule="auto"/>
                    <w:ind w:firstLine="0" w:firstLineChars="0"/>
                    <w:jc w:val="center"/>
                    <w:rPr>
                      <w:bCs/>
                      <w:kern w:val="2"/>
                      <w:sz w:val="21"/>
                      <w:szCs w:val="21"/>
                    </w:rPr>
                  </w:pPr>
                  <w:r>
                    <w:rPr>
                      <w:bCs/>
                      <w:kern w:val="2"/>
                      <w:sz w:val="21"/>
                      <w:szCs w:val="21"/>
                    </w:rPr>
                    <w:t>油烟最高允许排放浓度（mg/m</w:t>
                  </w:r>
                  <w:r>
                    <w:rPr>
                      <w:bCs/>
                      <w:kern w:val="2"/>
                      <w:sz w:val="21"/>
                      <w:szCs w:val="21"/>
                      <w:vertAlign w:val="superscript"/>
                    </w:rPr>
                    <w:t>3</w:t>
                  </w:r>
                  <w:r>
                    <w:rPr>
                      <w:bCs/>
                      <w:kern w:val="2"/>
                      <w:sz w:val="21"/>
                      <w:szCs w:val="21"/>
                    </w:rPr>
                    <w:t>）</w:t>
                  </w:r>
                </w:p>
              </w:tc>
              <w:tc>
                <w:tcPr>
                  <w:tcW w:w="4433" w:type="dxa"/>
                  <w:gridSpan w:val="3"/>
                  <w:tcBorders>
                    <w:top w:val="single" w:color="auto" w:sz="4" w:space="0"/>
                    <w:left w:val="single" w:color="auto" w:sz="4" w:space="0"/>
                    <w:bottom w:val="single" w:color="auto" w:sz="4" w:space="0"/>
                    <w:right w:val="single" w:color="auto" w:sz="4" w:space="0"/>
                  </w:tcBorders>
                  <w:vAlign w:val="center"/>
                </w:tcPr>
                <w:p>
                  <w:pPr>
                    <w:snapToGrid w:val="0"/>
                    <w:spacing w:before="0" w:beforeLines="0" w:line="240" w:lineRule="auto"/>
                    <w:ind w:firstLine="0" w:firstLineChars="0"/>
                    <w:jc w:val="center"/>
                    <w:rPr>
                      <w:bCs/>
                      <w:kern w:val="2"/>
                      <w:sz w:val="21"/>
                      <w:szCs w:val="21"/>
                    </w:rPr>
                  </w:pPr>
                  <w:r>
                    <w:rPr>
                      <w:rFonts w:hint="eastAsia"/>
                      <w:bCs/>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217"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bCs/>
                      <w:kern w:val="2"/>
                      <w:sz w:val="21"/>
                      <w:szCs w:val="21"/>
                    </w:rPr>
                    <w:t>净化设施最低去除效率（%）</w:t>
                  </w:r>
                </w:p>
              </w:tc>
              <w:tc>
                <w:tcPr>
                  <w:tcW w:w="1314"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rFonts w:hint="eastAsia"/>
                      <w:bCs/>
                      <w:kern w:val="2"/>
                      <w:sz w:val="21"/>
                      <w:szCs w:val="21"/>
                    </w:rPr>
                    <w:t>60</w:t>
                  </w:r>
                </w:p>
              </w:tc>
              <w:tc>
                <w:tcPr>
                  <w:tcW w:w="1560"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rFonts w:hint="eastAsia"/>
                      <w:bCs/>
                      <w:kern w:val="2"/>
                      <w:sz w:val="21"/>
                      <w:szCs w:val="21"/>
                    </w:rPr>
                    <w:t>75</w:t>
                  </w:r>
                </w:p>
              </w:tc>
              <w:tc>
                <w:tcPr>
                  <w:tcW w:w="1559" w:type="dxa"/>
                  <w:tcBorders>
                    <w:top w:val="single" w:color="auto" w:sz="4" w:space="0"/>
                    <w:left w:val="single" w:color="auto" w:sz="4" w:space="0"/>
                    <w:bottom w:val="single" w:color="auto" w:sz="4" w:space="0"/>
                    <w:right w:val="single" w:color="auto" w:sz="4" w:space="0"/>
                  </w:tcBorders>
                  <w:vAlign w:val="center"/>
                </w:tcPr>
                <w:p>
                  <w:pPr>
                    <w:spacing w:before="0" w:beforeLines="0" w:line="360" w:lineRule="exact"/>
                    <w:ind w:firstLine="0" w:firstLineChars="0"/>
                    <w:jc w:val="center"/>
                    <w:rPr>
                      <w:bCs/>
                      <w:kern w:val="2"/>
                      <w:sz w:val="21"/>
                      <w:szCs w:val="21"/>
                    </w:rPr>
                  </w:pPr>
                  <w:r>
                    <w:rPr>
                      <w:rFonts w:hint="eastAsia"/>
                      <w:bCs/>
                      <w:kern w:val="2"/>
                      <w:sz w:val="21"/>
                      <w:szCs w:val="21"/>
                    </w:rPr>
                    <w:t>85</w:t>
                  </w:r>
                </w:p>
              </w:tc>
            </w:tr>
          </w:tbl>
          <w:p>
            <w:pPr>
              <w:adjustRightInd w:val="0"/>
              <w:snapToGrid w:val="0"/>
              <w:spacing w:before="240" w:beforeLines="100"/>
              <w:ind w:firstLine="482"/>
              <w:rPr>
                <w:b/>
                <w:bCs/>
              </w:rPr>
            </w:pPr>
            <w:r>
              <w:rPr>
                <w:b/>
                <w:bCs/>
              </w:rPr>
              <w:t>2、水污染物</w:t>
            </w:r>
          </w:p>
          <w:p>
            <w:pPr>
              <w:spacing w:before="120"/>
              <w:ind w:firstLine="480"/>
              <w:rPr>
                <w:bCs/>
                <w:color w:val="000000"/>
                <w:kern w:val="2"/>
                <w:szCs w:val="22"/>
              </w:rPr>
            </w:pPr>
            <w:r>
              <w:rPr>
                <w:rFonts w:hint="eastAsia"/>
                <w:bCs/>
                <w:color w:val="000000"/>
                <w:kern w:val="2"/>
                <w:szCs w:val="22"/>
              </w:rPr>
              <w:t>本项目施工期废水经临时沉淀池处理后回用于施工现场及进出道路扬尘点洒水，不外排。</w:t>
            </w:r>
          </w:p>
          <w:p>
            <w:pPr>
              <w:spacing w:before="120"/>
              <w:ind w:firstLine="480"/>
              <w:rPr>
                <w:bCs/>
                <w:color w:val="000000"/>
                <w:kern w:val="2"/>
                <w:szCs w:val="22"/>
              </w:rPr>
            </w:pPr>
            <w:r>
              <w:rPr>
                <w:rFonts w:hint="eastAsia"/>
                <w:bCs/>
                <w:color w:val="000000"/>
                <w:kern w:val="2"/>
                <w:szCs w:val="22"/>
              </w:rPr>
              <w:t>本项目运营期产生的废水包括车辆消毒废水、车辆清洗废水、待宰栏废水、生物（或碱）喷淋塔、屠宰间废水、生活污水及初期雨水。本项目生活污水经三级化粪池预处理后与生产综合废水、初期雨水合并进入自建污水处理站处理。经自建污水处理站处理后的废水存入蓄水池用于厂区绿化及周边林地浇灌，不外排。</w:t>
            </w:r>
          </w:p>
          <w:p>
            <w:pPr>
              <w:keepNext/>
              <w:keepLines/>
              <w:topLinePunct/>
              <w:adjustRightInd w:val="0"/>
              <w:snapToGrid w:val="0"/>
              <w:spacing w:before="120"/>
              <w:ind w:firstLine="0" w:firstLineChars="0"/>
              <w:jc w:val="center"/>
              <w:rPr>
                <w:b/>
                <w:kern w:val="2"/>
                <w:sz w:val="21"/>
                <w:szCs w:val="21"/>
              </w:rPr>
            </w:pPr>
            <w:r>
              <w:rPr>
                <w:b/>
                <w:kern w:val="2"/>
                <w:sz w:val="21"/>
                <w:szCs w:val="21"/>
              </w:rPr>
              <w:t>表3-</w:t>
            </w:r>
            <w:r>
              <w:rPr>
                <w:rFonts w:hint="eastAsia"/>
                <w:b/>
                <w:kern w:val="2"/>
                <w:sz w:val="21"/>
                <w:szCs w:val="21"/>
              </w:rPr>
              <w:t xml:space="preserve">5《肉类加工工业水污染物排放标准》（GB13457-92）（摘录） </w:t>
            </w:r>
            <w:r>
              <w:rPr>
                <w:b/>
                <w:kern w:val="2"/>
                <w:sz w:val="21"/>
                <w:szCs w:val="21"/>
              </w:rPr>
              <w:t>mg/L</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179"/>
              <w:gridCol w:w="1275"/>
              <w:gridCol w:w="1275"/>
              <w:gridCol w:w="120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jc w:val="center"/>
              </w:trPr>
              <w:tc>
                <w:tcPr>
                  <w:tcW w:w="1040" w:type="dxa"/>
                  <w:vAlign w:val="center"/>
                </w:tcPr>
                <w:p>
                  <w:pPr>
                    <w:keepNext/>
                    <w:keepLines/>
                    <w:topLinePunct/>
                    <w:adjustRightInd w:val="0"/>
                    <w:snapToGrid w:val="0"/>
                    <w:spacing w:before="0" w:beforeLines="0" w:line="240" w:lineRule="auto"/>
                    <w:ind w:firstLine="0" w:firstLineChars="0"/>
                    <w:jc w:val="center"/>
                    <w:rPr>
                      <w:bCs/>
                      <w:kern w:val="2"/>
                      <w:sz w:val="21"/>
                      <w:szCs w:val="21"/>
                    </w:rPr>
                  </w:pPr>
                  <w:r>
                    <w:rPr>
                      <w:rFonts w:hint="eastAsia"/>
                      <w:bCs/>
                      <w:kern w:val="2"/>
                      <w:sz w:val="21"/>
                      <w:szCs w:val="21"/>
                    </w:rPr>
                    <w:t>污染物项目</w:t>
                  </w:r>
                </w:p>
              </w:tc>
              <w:tc>
                <w:tcPr>
                  <w:tcW w:w="1179" w:type="dxa"/>
                  <w:vAlign w:val="center"/>
                </w:tcPr>
                <w:p>
                  <w:pPr>
                    <w:widowControl/>
                    <w:spacing w:before="0" w:beforeLines="0" w:line="240" w:lineRule="auto"/>
                    <w:ind w:firstLine="0" w:firstLineChars="0"/>
                    <w:jc w:val="center"/>
                    <w:rPr>
                      <w:bCs/>
                      <w:kern w:val="2"/>
                      <w:sz w:val="21"/>
                      <w:szCs w:val="21"/>
                    </w:rPr>
                  </w:pPr>
                  <w:r>
                    <w:rPr>
                      <w:color w:val="000000"/>
                      <w:sz w:val="21"/>
                      <w:szCs w:val="21"/>
                    </w:rPr>
                    <w:t>CODcr</w:t>
                  </w:r>
                </w:p>
              </w:tc>
              <w:tc>
                <w:tcPr>
                  <w:tcW w:w="1275" w:type="dxa"/>
                  <w:vAlign w:val="center"/>
                </w:tcPr>
                <w:p>
                  <w:pPr>
                    <w:widowControl/>
                    <w:spacing w:before="0" w:beforeLines="0" w:line="240" w:lineRule="auto"/>
                    <w:ind w:firstLine="0" w:firstLineChars="0"/>
                    <w:jc w:val="center"/>
                    <w:rPr>
                      <w:bCs/>
                      <w:kern w:val="2"/>
                      <w:sz w:val="21"/>
                      <w:szCs w:val="21"/>
                    </w:rPr>
                  </w:pPr>
                  <w:r>
                    <w:rPr>
                      <w:color w:val="000000"/>
                      <w:sz w:val="21"/>
                      <w:szCs w:val="21"/>
                    </w:rPr>
                    <w:t>BOD</w:t>
                  </w:r>
                  <w:r>
                    <w:rPr>
                      <w:color w:val="000000"/>
                      <w:sz w:val="21"/>
                      <w:szCs w:val="21"/>
                      <w:vertAlign w:val="subscript"/>
                    </w:rPr>
                    <w:t>5</w:t>
                  </w:r>
                </w:p>
              </w:tc>
              <w:tc>
                <w:tcPr>
                  <w:tcW w:w="1275" w:type="dxa"/>
                  <w:vAlign w:val="center"/>
                </w:tcPr>
                <w:p>
                  <w:pPr>
                    <w:widowControl/>
                    <w:spacing w:before="0" w:beforeLines="0" w:line="240" w:lineRule="auto"/>
                    <w:ind w:firstLine="0" w:firstLineChars="0"/>
                    <w:jc w:val="center"/>
                    <w:rPr>
                      <w:bCs/>
                      <w:kern w:val="2"/>
                      <w:sz w:val="21"/>
                      <w:szCs w:val="21"/>
                    </w:rPr>
                  </w:pPr>
                  <w:r>
                    <w:rPr>
                      <w:color w:val="000000"/>
                      <w:sz w:val="21"/>
                      <w:szCs w:val="21"/>
                    </w:rPr>
                    <w:t>SS</w:t>
                  </w:r>
                </w:p>
              </w:tc>
              <w:tc>
                <w:tcPr>
                  <w:tcW w:w="1200" w:type="dxa"/>
                  <w:vAlign w:val="center"/>
                </w:tcPr>
                <w:p>
                  <w:pPr>
                    <w:widowControl/>
                    <w:spacing w:before="0" w:beforeLines="0" w:line="240" w:lineRule="auto"/>
                    <w:ind w:firstLine="0" w:firstLineChars="0"/>
                    <w:jc w:val="center"/>
                    <w:rPr>
                      <w:bCs/>
                      <w:kern w:val="2"/>
                      <w:sz w:val="21"/>
                      <w:szCs w:val="21"/>
                    </w:rPr>
                  </w:pPr>
                  <w:r>
                    <w:rPr>
                      <w:color w:val="000000"/>
                      <w:sz w:val="21"/>
                      <w:szCs w:val="21"/>
                    </w:rPr>
                    <w:t>NH</w:t>
                  </w:r>
                  <w:r>
                    <w:rPr>
                      <w:color w:val="000000"/>
                      <w:sz w:val="21"/>
                      <w:szCs w:val="21"/>
                      <w:vertAlign w:val="subscript"/>
                    </w:rPr>
                    <w:t>3</w:t>
                  </w:r>
                  <w:r>
                    <w:rPr>
                      <w:color w:val="000000"/>
                      <w:sz w:val="21"/>
                      <w:szCs w:val="21"/>
                    </w:rPr>
                    <w:t>-N</w:t>
                  </w:r>
                </w:p>
              </w:tc>
              <w:tc>
                <w:tcPr>
                  <w:tcW w:w="1350" w:type="dxa"/>
                  <w:vAlign w:val="center"/>
                </w:tcPr>
                <w:p>
                  <w:pPr>
                    <w:widowControl/>
                    <w:spacing w:before="0" w:beforeLines="0" w:line="240" w:lineRule="auto"/>
                    <w:ind w:firstLine="0" w:firstLineChars="0"/>
                    <w:jc w:val="center"/>
                    <w:rPr>
                      <w:bCs/>
                      <w:kern w:val="2"/>
                      <w:sz w:val="21"/>
                      <w:szCs w:val="21"/>
                    </w:rPr>
                  </w:pPr>
                  <w:r>
                    <w:rPr>
                      <w:rFonts w:hint="eastAsia" w:cs="宋体"/>
                      <w:color w:val="000000"/>
                      <w:sz w:val="2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40" w:type="dxa"/>
                  <w:vAlign w:val="center"/>
                </w:tcPr>
                <w:p>
                  <w:pPr>
                    <w:keepNext/>
                    <w:keepLines/>
                    <w:topLinePunct/>
                    <w:adjustRightInd w:val="0"/>
                    <w:snapToGrid w:val="0"/>
                    <w:spacing w:before="0" w:beforeLines="0" w:line="240" w:lineRule="auto"/>
                    <w:ind w:firstLine="0" w:firstLineChars="0"/>
                    <w:jc w:val="center"/>
                    <w:rPr>
                      <w:bCs/>
                      <w:kern w:val="2"/>
                      <w:sz w:val="21"/>
                      <w:szCs w:val="21"/>
                    </w:rPr>
                  </w:pPr>
                  <w:r>
                    <w:rPr>
                      <w:rFonts w:hint="eastAsia"/>
                      <w:bCs/>
                      <w:kern w:val="2"/>
                      <w:sz w:val="21"/>
                      <w:szCs w:val="21"/>
                    </w:rPr>
                    <w:t>限值</w:t>
                  </w:r>
                </w:p>
              </w:tc>
              <w:tc>
                <w:tcPr>
                  <w:tcW w:w="1179" w:type="dxa"/>
                  <w:vAlign w:val="center"/>
                </w:tcPr>
                <w:p>
                  <w:pPr>
                    <w:keepNext/>
                    <w:keepLines/>
                    <w:topLinePunct/>
                    <w:adjustRightInd w:val="0"/>
                    <w:snapToGrid w:val="0"/>
                    <w:spacing w:before="0" w:beforeLines="0" w:line="240" w:lineRule="auto"/>
                    <w:ind w:firstLine="0" w:firstLineChars="0"/>
                    <w:jc w:val="center"/>
                    <w:rPr>
                      <w:bCs/>
                      <w:kern w:val="2"/>
                      <w:sz w:val="21"/>
                      <w:szCs w:val="21"/>
                    </w:rPr>
                  </w:pPr>
                  <w:r>
                    <w:rPr>
                      <w:rFonts w:hint="eastAsia"/>
                      <w:bCs/>
                      <w:kern w:val="2"/>
                      <w:sz w:val="21"/>
                      <w:szCs w:val="21"/>
                    </w:rPr>
                    <w:t>120</w:t>
                  </w:r>
                </w:p>
              </w:tc>
              <w:tc>
                <w:tcPr>
                  <w:tcW w:w="1275" w:type="dxa"/>
                  <w:vAlign w:val="center"/>
                </w:tcPr>
                <w:p>
                  <w:pPr>
                    <w:keepNext/>
                    <w:keepLines/>
                    <w:topLinePunct/>
                    <w:adjustRightInd w:val="0"/>
                    <w:snapToGrid w:val="0"/>
                    <w:spacing w:before="0" w:beforeLines="0" w:line="240" w:lineRule="auto"/>
                    <w:ind w:firstLine="0" w:firstLineChars="0"/>
                    <w:jc w:val="center"/>
                    <w:rPr>
                      <w:kern w:val="2"/>
                      <w:sz w:val="21"/>
                      <w:szCs w:val="21"/>
                    </w:rPr>
                  </w:pPr>
                  <w:r>
                    <w:rPr>
                      <w:rFonts w:hint="eastAsia"/>
                      <w:kern w:val="2"/>
                      <w:sz w:val="21"/>
                      <w:szCs w:val="21"/>
                    </w:rPr>
                    <w:t>60</w:t>
                  </w:r>
                </w:p>
              </w:tc>
              <w:tc>
                <w:tcPr>
                  <w:tcW w:w="1275" w:type="dxa"/>
                  <w:vAlign w:val="center"/>
                </w:tcPr>
                <w:p>
                  <w:pPr>
                    <w:keepNext/>
                    <w:keepLines/>
                    <w:topLinePunct/>
                    <w:adjustRightInd w:val="0"/>
                    <w:snapToGrid w:val="0"/>
                    <w:spacing w:before="0" w:beforeLines="0" w:line="240" w:lineRule="auto"/>
                    <w:ind w:firstLine="0" w:firstLineChars="0"/>
                    <w:jc w:val="center"/>
                    <w:rPr>
                      <w:bCs/>
                      <w:kern w:val="2"/>
                      <w:sz w:val="21"/>
                      <w:szCs w:val="21"/>
                    </w:rPr>
                  </w:pPr>
                  <w:r>
                    <w:rPr>
                      <w:rFonts w:hint="eastAsia"/>
                      <w:kern w:val="2"/>
                      <w:sz w:val="21"/>
                      <w:szCs w:val="21"/>
                    </w:rPr>
                    <w:t>120</w:t>
                  </w:r>
                </w:p>
              </w:tc>
              <w:tc>
                <w:tcPr>
                  <w:tcW w:w="1200" w:type="dxa"/>
                  <w:vAlign w:val="center"/>
                </w:tcPr>
                <w:p>
                  <w:pPr>
                    <w:keepNext/>
                    <w:keepLines/>
                    <w:topLinePunct/>
                    <w:adjustRightInd w:val="0"/>
                    <w:snapToGrid w:val="0"/>
                    <w:spacing w:before="0" w:beforeLines="0" w:line="240" w:lineRule="auto"/>
                    <w:ind w:firstLine="0" w:firstLineChars="0"/>
                    <w:jc w:val="center"/>
                    <w:rPr>
                      <w:bCs/>
                      <w:kern w:val="2"/>
                      <w:sz w:val="21"/>
                      <w:szCs w:val="21"/>
                    </w:rPr>
                  </w:pPr>
                  <w:r>
                    <w:rPr>
                      <w:rFonts w:hint="eastAsia"/>
                      <w:kern w:val="2"/>
                      <w:sz w:val="21"/>
                      <w:szCs w:val="21"/>
                    </w:rPr>
                    <w:t>25</w:t>
                  </w:r>
                </w:p>
              </w:tc>
              <w:tc>
                <w:tcPr>
                  <w:tcW w:w="1350" w:type="dxa"/>
                  <w:vAlign w:val="center"/>
                </w:tcPr>
                <w:p>
                  <w:pPr>
                    <w:keepNext/>
                    <w:keepLines/>
                    <w:topLinePunct/>
                    <w:adjustRightInd w:val="0"/>
                    <w:snapToGrid w:val="0"/>
                    <w:spacing w:before="0" w:beforeLines="0" w:line="240" w:lineRule="auto"/>
                    <w:ind w:firstLine="0" w:firstLineChars="0"/>
                    <w:jc w:val="center"/>
                    <w:rPr>
                      <w:bCs/>
                      <w:kern w:val="2"/>
                      <w:sz w:val="21"/>
                      <w:szCs w:val="21"/>
                    </w:rPr>
                  </w:pPr>
                  <w:r>
                    <w:rPr>
                      <w:rFonts w:hint="eastAsia"/>
                      <w:kern w:val="2"/>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40" w:type="dxa"/>
                  <w:vAlign w:val="center"/>
                </w:tcPr>
                <w:p>
                  <w:pPr>
                    <w:keepNext/>
                    <w:keepLines/>
                    <w:topLinePunct/>
                    <w:adjustRightInd w:val="0"/>
                    <w:snapToGrid w:val="0"/>
                    <w:spacing w:before="0" w:beforeLines="0" w:line="240" w:lineRule="auto"/>
                    <w:ind w:firstLine="0" w:firstLineChars="0"/>
                    <w:jc w:val="center"/>
                    <w:rPr>
                      <w:bCs/>
                      <w:kern w:val="2"/>
                      <w:sz w:val="21"/>
                      <w:szCs w:val="21"/>
                    </w:rPr>
                  </w:pPr>
                  <w:r>
                    <w:rPr>
                      <w:rFonts w:hint="eastAsia"/>
                      <w:bCs/>
                      <w:kern w:val="2"/>
                      <w:sz w:val="21"/>
                      <w:szCs w:val="21"/>
                    </w:rPr>
                    <w:t>执行标准</w:t>
                  </w:r>
                </w:p>
              </w:tc>
              <w:tc>
                <w:tcPr>
                  <w:tcW w:w="6279" w:type="dxa"/>
                  <w:gridSpan w:val="5"/>
                  <w:vAlign w:val="center"/>
                </w:tcPr>
                <w:p>
                  <w:pPr>
                    <w:keepNext/>
                    <w:keepLines/>
                    <w:topLinePunct/>
                    <w:adjustRightInd w:val="0"/>
                    <w:snapToGrid w:val="0"/>
                    <w:spacing w:before="0" w:beforeLines="0" w:line="240" w:lineRule="auto"/>
                    <w:ind w:firstLine="0" w:firstLineChars="0"/>
                    <w:jc w:val="center"/>
                    <w:rPr>
                      <w:kern w:val="2"/>
                      <w:sz w:val="21"/>
                      <w:szCs w:val="21"/>
                    </w:rPr>
                  </w:pPr>
                  <w:r>
                    <w:rPr>
                      <w:rFonts w:hint="eastAsia"/>
                      <w:kern w:val="2"/>
                      <w:sz w:val="21"/>
                      <w:szCs w:val="21"/>
                    </w:rPr>
                    <w:t>《肉类加工工业水污染物排放标准》（GB13457-92）</w:t>
                  </w:r>
                </w:p>
              </w:tc>
            </w:tr>
          </w:tbl>
          <w:p>
            <w:pPr>
              <w:adjustRightInd w:val="0"/>
              <w:snapToGrid w:val="0"/>
              <w:spacing w:before="240" w:beforeLines="100"/>
              <w:ind w:firstLine="482"/>
              <w:rPr>
                <w:b/>
                <w:bCs/>
                <w:color w:val="000000"/>
              </w:rPr>
            </w:pPr>
            <w:r>
              <w:rPr>
                <w:b/>
                <w:bCs/>
                <w:color w:val="000000"/>
              </w:rPr>
              <w:t>3、噪声排放标准</w:t>
            </w:r>
          </w:p>
          <w:p>
            <w:pPr>
              <w:spacing w:before="120"/>
              <w:ind w:firstLine="480"/>
              <w:rPr>
                <w:bCs/>
                <w:color w:val="000000"/>
                <w:kern w:val="2"/>
                <w:szCs w:val="22"/>
              </w:rPr>
            </w:pPr>
            <w:r>
              <w:rPr>
                <w:rFonts w:hint="eastAsia"/>
                <w:bCs/>
                <w:color w:val="000000"/>
                <w:kern w:val="2"/>
                <w:szCs w:val="22"/>
              </w:rPr>
              <w:t>施工期执行国家《建筑施工场界环境噪声排放标准》（</w:t>
            </w:r>
            <w:r>
              <w:rPr>
                <w:bCs/>
                <w:color w:val="000000"/>
                <w:kern w:val="2"/>
                <w:szCs w:val="22"/>
              </w:rPr>
              <w:t>GB12523-2011</w:t>
            </w:r>
            <w:r>
              <w:rPr>
                <w:rFonts w:hint="eastAsia"/>
                <w:bCs/>
                <w:color w:val="000000"/>
                <w:kern w:val="2"/>
                <w:szCs w:val="22"/>
              </w:rPr>
              <w:t>）（昼间≤70</w:t>
            </w:r>
            <w:r>
              <w:rPr>
                <w:bCs/>
                <w:color w:val="000000"/>
                <w:kern w:val="2"/>
                <w:szCs w:val="22"/>
              </w:rPr>
              <w:t>dB</w:t>
            </w:r>
            <w:r>
              <w:rPr>
                <w:rFonts w:hint="eastAsia"/>
                <w:bCs/>
                <w:color w:val="000000"/>
                <w:kern w:val="2"/>
                <w:szCs w:val="22"/>
              </w:rPr>
              <w:t>（</w:t>
            </w:r>
            <w:r>
              <w:rPr>
                <w:bCs/>
                <w:color w:val="000000"/>
                <w:kern w:val="2"/>
                <w:szCs w:val="22"/>
              </w:rPr>
              <w:t>A</w:t>
            </w:r>
            <w:r>
              <w:rPr>
                <w:rFonts w:hint="eastAsia"/>
                <w:bCs/>
                <w:color w:val="000000"/>
                <w:kern w:val="2"/>
                <w:szCs w:val="22"/>
              </w:rPr>
              <w:t>），夜间≤55</w:t>
            </w:r>
            <w:r>
              <w:rPr>
                <w:bCs/>
                <w:color w:val="000000"/>
                <w:kern w:val="2"/>
                <w:szCs w:val="22"/>
              </w:rPr>
              <w:t>dB</w:t>
            </w:r>
            <w:r>
              <w:rPr>
                <w:rFonts w:hint="eastAsia"/>
                <w:bCs/>
                <w:color w:val="000000"/>
                <w:kern w:val="2"/>
                <w:szCs w:val="22"/>
              </w:rPr>
              <w:t>（</w:t>
            </w:r>
            <w:r>
              <w:rPr>
                <w:bCs/>
                <w:color w:val="000000"/>
                <w:kern w:val="2"/>
                <w:szCs w:val="22"/>
              </w:rPr>
              <w:t>A</w:t>
            </w:r>
            <w:r>
              <w:rPr>
                <w:rFonts w:hint="eastAsia"/>
                <w:bCs/>
                <w:color w:val="000000"/>
                <w:kern w:val="2"/>
                <w:szCs w:val="22"/>
              </w:rPr>
              <w:t>））。</w:t>
            </w:r>
          </w:p>
          <w:p>
            <w:pPr>
              <w:spacing w:before="120"/>
              <w:ind w:firstLine="480"/>
              <w:rPr>
                <w:bCs/>
                <w:color w:val="000000"/>
                <w:kern w:val="2"/>
                <w:szCs w:val="22"/>
              </w:rPr>
            </w:pPr>
            <w:r>
              <w:rPr>
                <w:rFonts w:hint="eastAsia"/>
                <w:bCs/>
                <w:color w:val="000000"/>
                <w:kern w:val="2"/>
                <w:szCs w:val="22"/>
              </w:rPr>
              <w:t>运营期厂界执行《工业企业厂界环境噪声排放标准》（</w:t>
            </w:r>
            <w:r>
              <w:rPr>
                <w:bCs/>
                <w:color w:val="000000"/>
                <w:kern w:val="2"/>
                <w:szCs w:val="22"/>
              </w:rPr>
              <w:t>GB12348-2008</w:t>
            </w:r>
            <w:r>
              <w:rPr>
                <w:rFonts w:hint="eastAsia"/>
                <w:bCs/>
                <w:color w:val="000000"/>
                <w:kern w:val="2"/>
                <w:szCs w:val="22"/>
              </w:rPr>
              <w:t>）中的</w:t>
            </w:r>
            <w:r>
              <w:rPr>
                <w:bCs/>
                <w:color w:val="000000"/>
                <w:kern w:val="2"/>
                <w:szCs w:val="22"/>
              </w:rPr>
              <w:t>2</w:t>
            </w:r>
            <w:r>
              <w:rPr>
                <w:rFonts w:hint="eastAsia"/>
                <w:bCs/>
                <w:color w:val="000000"/>
                <w:kern w:val="2"/>
                <w:szCs w:val="22"/>
              </w:rPr>
              <w:t>类标准，具体标准值见表</w:t>
            </w:r>
            <w:r>
              <w:rPr>
                <w:bCs/>
                <w:color w:val="000000"/>
                <w:kern w:val="2"/>
                <w:szCs w:val="22"/>
              </w:rPr>
              <w:t>3-6</w:t>
            </w:r>
            <w:r>
              <w:rPr>
                <w:rFonts w:hint="eastAsia"/>
                <w:bCs/>
                <w:color w:val="000000"/>
                <w:kern w:val="2"/>
                <w:szCs w:val="22"/>
              </w:rPr>
              <w:t>。</w:t>
            </w:r>
          </w:p>
          <w:p>
            <w:pPr>
              <w:pStyle w:val="17"/>
              <w:spacing w:before="120" w:line="360" w:lineRule="auto"/>
              <w:rPr>
                <w:b/>
                <w:bCs w:val="0"/>
              </w:rPr>
            </w:pPr>
            <w:r>
              <w:rPr>
                <w:b/>
                <w:bCs w:val="0"/>
              </w:rPr>
              <w:t>表3-6  工业企业厂界环境噪声排放标准  单位：Leq dB(A)</w:t>
            </w:r>
          </w:p>
          <w:tbl>
            <w:tblPr>
              <w:tblStyle w:val="22"/>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3857"/>
              <w:gridCol w:w="2077"/>
              <w:gridCol w:w="188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1" w:hRule="atLeast"/>
                <w:jc w:val="center"/>
              </w:trPr>
              <w:tc>
                <w:tcPr>
                  <w:tcW w:w="3857" w:type="dxa"/>
                  <w:vAlign w:val="center"/>
                </w:tcPr>
                <w:p>
                  <w:pPr>
                    <w:adjustRightInd w:val="0"/>
                    <w:snapToGrid w:val="0"/>
                    <w:spacing w:before="0" w:beforeLines="0" w:line="240" w:lineRule="auto"/>
                    <w:ind w:firstLine="0" w:firstLineChars="0"/>
                    <w:jc w:val="center"/>
                    <w:rPr>
                      <w:bCs/>
                      <w:color w:val="000000"/>
                      <w:sz w:val="21"/>
                      <w:szCs w:val="21"/>
                    </w:rPr>
                  </w:pPr>
                  <w:r>
                    <w:rPr>
                      <w:color w:val="000000"/>
                      <w:sz w:val="21"/>
                      <w:szCs w:val="21"/>
                    </w:rPr>
                    <w:t>厂界外声环境功能区类别</w:t>
                  </w:r>
                </w:p>
              </w:tc>
              <w:tc>
                <w:tcPr>
                  <w:tcW w:w="2077" w:type="dxa"/>
                  <w:vAlign w:val="center"/>
                </w:tcPr>
                <w:p>
                  <w:pPr>
                    <w:adjustRightInd w:val="0"/>
                    <w:snapToGrid w:val="0"/>
                    <w:spacing w:before="0" w:beforeLines="0" w:line="240" w:lineRule="auto"/>
                    <w:ind w:firstLine="0" w:firstLineChars="0"/>
                    <w:jc w:val="center"/>
                    <w:rPr>
                      <w:bCs/>
                      <w:color w:val="000000"/>
                      <w:sz w:val="21"/>
                      <w:szCs w:val="21"/>
                    </w:rPr>
                  </w:pPr>
                  <w:r>
                    <w:rPr>
                      <w:bCs/>
                      <w:color w:val="000000"/>
                      <w:sz w:val="21"/>
                      <w:szCs w:val="21"/>
                    </w:rPr>
                    <w:t>昼间</w:t>
                  </w:r>
                </w:p>
              </w:tc>
              <w:tc>
                <w:tcPr>
                  <w:tcW w:w="1884" w:type="dxa"/>
                  <w:vAlign w:val="center"/>
                </w:tcPr>
                <w:p>
                  <w:pPr>
                    <w:adjustRightInd w:val="0"/>
                    <w:snapToGrid w:val="0"/>
                    <w:spacing w:before="0" w:beforeLines="0" w:line="240" w:lineRule="auto"/>
                    <w:ind w:firstLine="0" w:firstLineChars="0"/>
                    <w:jc w:val="center"/>
                    <w:rPr>
                      <w:bCs/>
                      <w:color w:val="000000"/>
                      <w:sz w:val="21"/>
                      <w:szCs w:val="21"/>
                    </w:rPr>
                  </w:pPr>
                  <w:r>
                    <w:rPr>
                      <w:bCs/>
                      <w:color w:val="000000"/>
                      <w:sz w:val="21"/>
                      <w:szCs w:val="21"/>
                    </w:rPr>
                    <w:t>夜间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3857" w:type="dxa"/>
                  <w:vAlign w:val="center"/>
                </w:tcPr>
                <w:p>
                  <w:pPr>
                    <w:adjustRightInd w:val="0"/>
                    <w:snapToGrid w:val="0"/>
                    <w:spacing w:before="0" w:beforeLines="0" w:line="240" w:lineRule="auto"/>
                    <w:ind w:firstLine="0" w:firstLineChars="0"/>
                    <w:jc w:val="center"/>
                    <w:rPr>
                      <w:bCs/>
                      <w:color w:val="000000"/>
                      <w:sz w:val="21"/>
                      <w:szCs w:val="21"/>
                    </w:rPr>
                  </w:pPr>
                  <w:r>
                    <w:rPr>
                      <w:rFonts w:hint="eastAsia"/>
                      <w:color w:val="000000"/>
                      <w:sz w:val="21"/>
                      <w:szCs w:val="21"/>
                    </w:rPr>
                    <w:t>2</w:t>
                  </w:r>
                  <w:r>
                    <w:rPr>
                      <w:color w:val="000000"/>
                      <w:sz w:val="21"/>
                      <w:szCs w:val="21"/>
                    </w:rPr>
                    <w:t>类</w:t>
                  </w:r>
                </w:p>
              </w:tc>
              <w:tc>
                <w:tcPr>
                  <w:tcW w:w="2077" w:type="dxa"/>
                  <w:vAlign w:val="center"/>
                </w:tcPr>
                <w:p>
                  <w:pPr>
                    <w:adjustRightInd w:val="0"/>
                    <w:snapToGrid w:val="0"/>
                    <w:spacing w:before="0" w:beforeLines="0" w:line="240" w:lineRule="auto"/>
                    <w:ind w:firstLine="0" w:firstLineChars="0"/>
                    <w:jc w:val="center"/>
                    <w:rPr>
                      <w:bCs/>
                      <w:color w:val="000000"/>
                      <w:sz w:val="21"/>
                      <w:szCs w:val="21"/>
                    </w:rPr>
                  </w:pPr>
                  <w:r>
                    <w:rPr>
                      <w:bCs/>
                      <w:color w:val="000000"/>
                      <w:sz w:val="21"/>
                      <w:szCs w:val="21"/>
                    </w:rPr>
                    <w:t>60</w:t>
                  </w:r>
                </w:p>
              </w:tc>
              <w:tc>
                <w:tcPr>
                  <w:tcW w:w="1884" w:type="dxa"/>
                  <w:vAlign w:val="center"/>
                </w:tcPr>
                <w:p>
                  <w:pPr>
                    <w:adjustRightInd w:val="0"/>
                    <w:snapToGrid w:val="0"/>
                    <w:spacing w:before="0" w:beforeLines="0" w:line="240" w:lineRule="auto"/>
                    <w:ind w:firstLine="0" w:firstLineChars="0"/>
                    <w:jc w:val="center"/>
                    <w:rPr>
                      <w:bCs/>
                      <w:color w:val="000000"/>
                      <w:sz w:val="21"/>
                      <w:szCs w:val="21"/>
                    </w:rPr>
                  </w:pPr>
                  <w:r>
                    <w:rPr>
                      <w:bCs/>
                      <w:color w:val="000000"/>
                      <w:sz w:val="21"/>
                      <w:szCs w:val="21"/>
                    </w:rPr>
                    <w:t>50</w:t>
                  </w:r>
                </w:p>
              </w:tc>
            </w:tr>
          </w:tbl>
          <w:p>
            <w:pPr>
              <w:adjustRightInd w:val="0"/>
              <w:snapToGrid w:val="0"/>
              <w:spacing w:before="240" w:beforeLines="100"/>
              <w:ind w:firstLine="482"/>
              <w:rPr>
                <w:b/>
                <w:bCs/>
                <w:color w:val="000000"/>
              </w:rPr>
            </w:pPr>
            <w:r>
              <w:rPr>
                <w:b/>
                <w:bCs/>
                <w:color w:val="000000"/>
              </w:rPr>
              <w:t>4、固体废物</w:t>
            </w:r>
          </w:p>
          <w:p>
            <w:pPr>
              <w:spacing w:before="120"/>
              <w:ind w:firstLine="480"/>
              <w:rPr>
                <w:bCs/>
                <w:color w:val="000000"/>
                <w:kern w:val="2"/>
                <w:szCs w:val="22"/>
              </w:rPr>
            </w:pPr>
            <w:r>
              <w:rPr>
                <w:rFonts w:hint="eastAsia"/>
                <w:bCs/>
                <w:color w:val="000000"/>
                <w:kern w:val="2"/>
                <w:szCs w:val="22"/>
              </w:rPr>
              <w:t>本项目一般固废执行《一般工业固体废物贮存和填埋污染控制标准》（</w:t>
            </w:r>
            <w:r>
              <w:rPr>
                <w:bCs/>
                <w:color w:val="000000"/>
                <w:kern w:val="2"/>
                <w:szCs w:val="22"/>
              </w:rPr>
              <w:t>GB18599-2020</w:t>
            </w:r>
            <w:r>
              <w:rPr>
                <w:rFonts w:hint="eastAsia"/>
                <w:bCs/>
                <w:color w:val="000000"/>
                <w:kern w:val="2"/>
                <w:szCs w:val="22"/>
              </w:rPr>
              <w:t>）和《一般固体废物分类与代码》（</w:t>
            </w:r>
            <w:r>
              <w:rPr>
                <w:bCs/>
                <w:color w:val="000000"/>
                <w:kern w:val="2"/>
                <w:szCs w:val="22"/>
              </w:rPr>
              <w:t>GB/T39198-2020</w:t>
            </w:r>
            <w:r>
              <w:rPr>
                <w:rFonts w:hint="eastAsia"/>
                <w:bCs/>
                <w:color w:val="000000"/>
                <w:kern w:val="2"/>
                <w:szCs w:val="22"/>
              </w:rPr>
              <w:t>）。</w:t>
            </w:r>
          </w:p>
          <w:p>
            <w:pPr>
              <w:spacing w:before="120"/>
              <w:ind w:firstLine="480"/>
            </w:pPr>
            <w:r>
              <w:rPr>
                <w:rFonts w:hint="eastAsia"/>
                <w:bCs/>
                <w:color w:val="000000"/>
                <w:kern w:val="2"/>
                <w:szCs w:val="22"/>
              </w:rPr>
              <w:t>危险废物执行《危险废物贮存污染控制标准》（</w:t>
            </w:r>
            <w:r>
              <w:rPr>
                <w:bCs/>
                <w:color w:val="000000"/>
                <w:kern w:val="2"/>
                <w:szCs w:val="22"/>
              </w:rPr>
              <w:t>GB/T39198-2001</w:t>
            </w:r>
            <w:r>
              <w:rPr>
                <w:rFonts w:hint="eastAsia"/>
                <w:bCs/>
                <w:color w:val="000000"/>
                <w:kern w:val="2"/>
                <w:szCs w:val="22"/>
              </w:rPr>
              <w:t>）及</w:t>
            </w:r>
            <w:r>
              <w:rPr>
                <w:bCs/>
                <w:color w:val="000000"/>
                <w:kern w:val="2"/>
                <w:szCs w:val="22"/>
              </w:rPr>
              <w:t>2013</w:t>
            </w:r>
            <w:r>
              <w:rPr>
                <w:rFonts w:hint="eastAsia"/>
                <w:bCs/>
                <w:color w:val="000000"/>
                <w:kern w:val="2"/>
                <w:szCs w:val="22"/>
              </w:rPr>
              <w:t>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0" w:hRule="atLeast"/>
          <w:jc w:val="center"/>
        </w:trPr>
        <w:tc>
          <w:tcPr>
            <w:tcW w:w="335" w:type="pct"/>
            <w:vAlign w:val="center"/>
          </w:tcPr>
          <w:p>
            <w:pPr>
              <w:adjustRightInd w:val="0"/>
              <w:snapToGrid w:val="0"/>
              <w:spacing w:before="120"/>
              <w:ind w:firstLine="0" w:firstLineChars="0"/>
              <w:rPr>
                <w:szCs w:val="21"/>
              </w:rPr>
            </w:pPr>
            <w:r>
              <w:rPr>
                <w:szCs w:val="21"/>
              </w:rPr>
              <w:t>总量</w:t>
            </w:r>
          </w:p>
          <w:p>
            <w:pPr>
              <w:adjustRightInd w:val="0"/>
              <w:snapToGrid w:val="0"/>
              <w:spacing w:before="120"/>
              <w:ind w:firstLine="0" w:firstLineChars="0"/>
              <w:rPr>
                <w:szCs w:val="21"/>
              </w:rPr>
            </w:pPr>
            <w:r>
              <w:rPr>
                <w:szCs w:val="21"/>
              </w:rPr>
              <w:t>控制</w:t>
            </w:r>
          </w:p>
          <w:p>
            <w:pPr>
              <w:adjustRightInd w:val="0"/>
              <w:snapToGrid w:val="0"/>
              <w:spacing w:before="120"/>
              <w:ind w:firstLine="0" w:firstLineChars="0"/>
              <w:rPr>
                <w:szCs w:val="21"/>
              </w:rPr>
            </w:pPr>
            <w:r>
              <w:rPr>
                <w:szCs w:val="21"/>
              </w:rPr>
              <w:t>指标</w:t>
            </w:r>
          </w:p>
        </w:tc>
        <w:tc>
          <w:tcPr>
            <w:tcW w:w="4665" w:type="pct"/>
            <w:tcBorders>
              <w:top w:val="single" w:color="auto" w:sz="4" w:space="0"/>
            </w:tcBorders>
            <w:vAlign w:val="center"/>
          </w:tcPr>
          <w:p>
            <w:pPr>
              <w:adjustRightInd w:val="0"/>
              <w:snapToGrid w:val="0"/>
              <w:spacing w:before="120"/>
              <w:ind w:firstLine="482"/>
              <w:rPr>
                <w:b/>
                <w:bCs/>
                <w:color w:val="000000"/>
                <w:szCs w:val="20"/>
              </w:rPr>
            </w:pPr>
            <w:r>
              <w:rPr>
                <w:b/>
                <w:bCs/>
                <w:color w:val="000000"/>
                <w:szCs w:val="20"/>
              </w:rPr>
              <w:t>1、水污染物总量控制指标</w:t>
            </w:r>
          </w:p>
          <w:p>
            <w:pPr>
              <w:spacing w:before="120"/>
              <w:ind w:firstLine="480"/>
              <w:rPr>
                <w:bCs/>
                <w:color w:val="000000"/>
                <w:kern w:val="2"/>
                <w:szCs w:val="22"/>
              </w:rPr>
            </w:pPr>
            <w:r>
              <w:rPr>
                <w:rFonts w:hint="eastAsia"/>
                <w:bCs/>
                <w:color w:val="000000"/>
                <w:kern w:val="2"/>
                <w:szCs w:val="22"/>
              </w:rPr>
              <w:t>本项目废水经处理后回用于厂区绿化及周边林地浇灌，不外排废水，不申请分配水污染总量控制指标。</w:t>
            </w:r>
          </w:p>
          <w:p>
            <w:pPr>
              <w:adjustRightInd w:val="0"/>
              <w:snapToGrid w:val="0"/>
              <w:spacing w:before="120"/>
              <w:ind w:firstLine="482"/>
              <w:rPr>
                <w:b/>
                <w:bCs/>
                <w:color w:val="000000"/>
                <w:szCs w:val="20"/>
              </w:rPr>
            </w:pPr>
            <w:r>
              <w:rPr>
                <w:b/>
                <w:bCs/>
                <w:color w:val="000000"/>
                <w:szCs w:val="20"/>
              </w:rPr>
              <w:t>2、大气污染物总量控制指标</w:t>
            </w:r>
          </w:p>
          <w:p>
            <w:pPr>
              <w:spacing w:before="120"/>
              <w:ind w:firstLine="480"/>
              <w:rPr>
                <w:bCs/>
                <w:color w:val="000000"/>
              </w:rPr>
            </w:pPr>
            <w:r>
              <w:rPr>
                <w:rFonts w:hint="eastAsia"/>
                <w:bCs/>
                <w:color w:val="000000"/>
              </w:rPr>
              <w:t>本项目不产生二氧化硫、氮氧化物、颗粒物及VOCs，不申请分配大气污染总量控制指标。</w:t>
            </w:r>
          </w:p>
          <w:p>
            <w:pPr>
              <w:spacing w:before="120"/>
              <w:ind w:firstLine="480"/>
              <w:jc w:val="left"/>
            </w:pPr>
          </w:p>
        </w:tc>
      </w:tr>
    </w:tbl>
    <w:p>
      <w:pPr>
        <w:pStyle w:val="18"/>
        <w:spacing w:before="120" w:beforeAutospacing="0" w:after="120" w:afterLines="50" w:afterAutospacing="0"/>
        <w:ind w:firstLine="0" w:firstLineChars="0"/>
        <w:jc w:val="center"/>
        <w:outlineLvl w:val="0"/>
        <w:rPr>
          <w:rFonts w:ascii="黑体" w:hAnsi="黑体" w:eastAsia="黑体"/>
          <w:snapToGrid w:val="0"/>
          <w:sz w:val="30"/>
          <w:szCs w:val="30"/>
        </w:rPr>
      </w:pPr>
      <w:r>
        <w:rPr>
          <w:rFonts w:ascii="Times New Roman" w:hAnsi="Times New Roman"/>
          <w:snapToGrid w:val="0"/>
          <w:sz w:val="36"/>
          <w:szCs w:val="36"/>
        </w:rPr>
        <w:br w:type="page"/>
      </w:r>
      <w:r>
        <w:rPr>
          <w:rFonts w:hint="eastAsia" w:ascii="黑体" w:hAnsi="黑体" w:eastAsia="黑体"/>
          <w:snapToGrid w:val="0"/>
          <w:sz w:val="30"/>
          <w:szCs w:val="30"/>
        </w:rPr>
        <w:t>四、主要环境影响和保护措施</w:t>
      </w:r>
    </w:p>
    <w:tbl>
      <w:tblPr>
        <w:tblStyle w:val="22"/>
        <w:tblpPr w:leftFromText="180" w:rightFromText="180" w:vertAnchor="text" w:tblpXSpec="center" w:tblpY="1"/>
        <w:tblOverlap w:val="never"/>
        <w:tblW w:w="88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9"/>
        <w:gridCol w:w="81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trPr>
        <w:tc>
          <w:tcPr>
            <w:tcW w:w="699" w:type="dxa"/>
            <w:tcMar>
              <w:left w:w="28" w:type="dxa"/>
              <w:right w:w="28" w:type="dxa"/>
            </w:tcMar>
            <w:vAlign w:val="center"/>
          </w:tcPr>
          <w:p>
            <w:pPr>
              <w:pStyle w:val="18"/>
              <w:adjustRightInd w:val="0"/>
              <w:snapToGrid w:val="0"/>
              <w:spacing w:before="120" w:beforeAutospacing="0" w:after="0" w:afterAutospacing="0"/>
              <w:ind w:firstLine="0" w:firstLineChars="0"/>
              <w:jc w:val="center"/>
              <w:rPr>
                <w:rFonts w:ascii="Times New Roman" w:hAnsi="Times New Roman"/>
                <w:kern w:val="2"/>
                <w:szCs w:val="21"/>
              </w:rPr>
            </w:pPr>
            <w:r>
              <w:rPr>
                <w:rFonts w:ascii="Times New Roman" w:hAnsi="Times New Roman"/>
                <w:kern w:val="2"/>
                <w:szCs w:val="21"/>
              </w:rPr>
              <w:t>施工  环境</w:t>
            </w:r>
          </w:p>
          <w:p>
            <w:pPr>
              <w:pStyle w:val="18"/>
              <w:adjustRightInd w:val="0"/>
              <w:snapToGrid w:val="0"/>
              <w:spacing w:before="120" w:beforeAutospacing="0" w:after="0" w:afterAutospacing="0"/>
              <w:ind w:firstLine="0" w:firstLineChars="0"/>
              <w:jc w:val="center"/>
              <w:rPr>
                <w:rFonts w:ascii="Times New Roman" w:hAnsi="Times New Roman"/>
                <w:kern w:val="2"/>
                <w:szCs w:val="21"/>
              </w:rPr>
            </w:pPr>
            <w:r>
              <w:rPr>
                <w:rFonts w:ascii="Times New Roman" w:hAnsi="Times New Roman"/>
                <w:kern w:val="2"/>
                <w:szCs w:val="21"/>
              </w:rPr>
              <w:t>保护</w:t>
            </w:r>
          </w:p>
          <w:p>
            <w:pPr>
              <w:pStyle w:val="18"/>
              <w:adjustRightInd w:val="0"/>
              <w:snapToGrid w:val="0"/>
              <w:spacing w:before="120" w:beforeAutospacing="0" w:after="0" w:afterAutospacing="0"/>
              <w:ind w:firstLine="0" w:firstLineChars="0"/>
              <w:jc w:val="center"/>
              <w:rPr>
                <w:rFonts w:ascii="Times New Roman" w:hAnsi="Times New Roman"/>
                <w:kern w:val="2"/>
                <w:szCs w:val="21"/>
              </w:rPr>
            </w:pPr>
            <w:r>
              <w:rPr>
                <w:rFonts w:ascii="Times New Roman" w:hAnsi="Times New Roman"/>
                <w:kern w:val="2"/>
                <w:szCs w:val="21"/>
              </w:rPr>
              <w:t>措施</w:t>
            </w:r>
          </w:p>
        </w:tc>
        <w:tc>
          <w:tcPr>
            <w:tcW w:w="8173" w:type="dxa"/>
            <w:vAlign w:val="center"/>
          </w:tcPr>
          <w:p>
            <w:pPr>
              <w:adjustRightInd w:val="0"/>
              <w:snapToGrid w:val="0"/>
              <w:spacing w:before="240" w:beforeLines="100"/>
              <w:ind w:firstLine="480"/>
              <w:rPr>
                <w:bCs/>
                <w:color w:val="000000"/>
              </w:rPr>
            </w:pPr>
            <w:r>
              <w:rPr>
                <w:bCs/>
                <w:color w:val="000000"/>
              </w:rPr>
              <w:t>目施工期包括厂区土建施工、主体工程施工、装修工程、设备安装与调试会产生一定污染物，为了使建设项目在建设期间对周围环境的影响减少到最小的限度，建议采取下防护措施：</w:t>
            </w:r>
          </w:p>
          <w:p>
            <w:pPr>
              <w:adjustRightInd w:val="0"/>
              <w:snapToGrid w:val="0"/>
              <w:spacing w:before="120" w:after="120" w:afterLines="50"/>
              <w:ind w:firstLine="482"/>
              <w:rPr>
                <w:b/>
                <w:bCs/>
                <w:color w:val="000000"/>
              </w:rPr>
            </w:pPr>
            <w:r>
              <w:rPr>
                <w:b/>
                <w:bCs/>
                <w:color w:val="000000"/>
              </w:rPr>
              <w:t>1、大气环境影响防治措施</w:t>
            </w:r>
          </w:p>
          <w:p>
            <w:pPr>
              <w:spacing w:before="120"/>
              <w:ind w:firstLine="480"/>
              <w:rPr>
                <w:bCs/>
                <w:color w:val="000000"/>
                <w:kern w:val="2"/>
                <w:szCs w:val="22"/>
              </w:rPr>
            </w:pPr>
            <w:r>
              <w:rPr>
                <w:rFonts w:hint="eastAsia"/>
                <w:bCs/>
                <w:color w:val="000000"/>
                <w:kern w:val="2"/>
                <w:szCs w:val="22"/>
              </w:rPr>
              <w:t>（</w:t>
            </w:r>
            <w:r>
              <w:rPr>
                <w:bCs/>
                <w:color w:val="000000"/>
                <w:kern w:val="2"/>
                <w:szCs w:val="22"/>
              </w:rPr>
              <w:t>1</w:t>
            </w:r>
            <w:r>
              <w:rPr>
                <w:rFonts w:hint="eastAsia"/>
                <w:bCs/>
                <w:color w:val="000000"/>
                <w:kern w:val="2"/>
                <w:szCs w:val="22"/>
              </w:rPr>
              <w:t>）施工过程中严禁将废弃的建筑材料作为燃料燃烧，废弃沙土和建筑材料应堆放至指定地点，并定期洒水抑尘或加盖防尘网，定期清运；</w:t>
            </w:r>
          </w:p>
          <w:p>
            <w:pPr>
              <w:spacing w:before="120"/>
              <w:ind w:firstLine="480"/>
              <w:rPr>
                <w:bCs/>
                <w:color w:val="000000"/>
                <w:kern w:val="2"/>
                <w:szCs w:val="22"/>
              </w:rPr>
            </w:pPr>
            <w:r>
              <w:rPr>
                <w:rFonts w:hint="eastAsia"/>
                <w:bCs/>
                <w:color w:val="000000"/>
                <w:kern w:val="2"/>
                <w:szCs w:val="22"/>
              </w:rPr>
              <w:t>（</w:t>
            </w:r>
            <w:r>
              <w:rPr>
                <w:bCs/>
                <w:color w:val="000000"/>
                <w:kern w:val="2"/>
                <w:szCs w:val="22"/>
              </w:rPr>
              <w:t>2</w:t>
            </w:r>
            <w:r>
              <w:rPr>
                <w:rFonts w:hint="eastAsia"/>
                <w:bCs/>
                <w:color w:val="000000"/>
                <w:kern w:val="2"/>
                <w:szCs w:val="22"/>
              </w:rPr>
              <w:t>）在施工过程中，施工场地将加强场地的洒水降尘，以减少扬尘扩散；</w:t>
            </w:r>
          </w:p>
          <w:p>
            <w:pPr>
              <w:spacing w:before="120"/>
              <w:ind w:firstLine="480"/>
              <w:rPr>
                <w:bCs/>
                <w:color w:val="000000"/>
                <w:kern w:val="2"/>
                <w:szCs w:val="22"/>
              </w:rPr>
            </w:pPr>
            <w:r>
              <w:rPr>
                <w:rFonts w:hint="eastAsia"/>
                <w:bCs/>
                <w:color w:val="000000"/>
                <w:kern w:val="2"/>
                <w:szCs w:val="22"/>
              </w:rPr>
              <w:t>（</w:t>
            </w:r>
            <w:r>
              <w:rPr>
                <w:bCs/>
                <w:color w:val="000000"/>
                <w:kern w:val="2"/>
                <w:szCs w:val="22"/>
              </w:rPr>
              <w:t>3</w:t>
            </w:r>
            <w:r>
              <w:rPr>
                <w:rFonts w:hint="eastAsia"/>
                <w:bCs/>
                <w:color w:val="000000"/>
                <w:kern w:val="2"/>
                <w:szCs w:val="22"/>
              </w:rPr>
              <w:t>）在天气和工地干燥时，定时（每隔</w:t>
            </w:r>
            <w:r>
              <w:rPr>
                <w:bCs/>
                <w:color w:val="000000"/>
                <w:kern w:val="2"/>
                <w:szCs w:val="22"/>
              </w:rPr>
              <w:t>2h</w:t>
            </w:r>
            <w:r>
              <w:rPr>
                <w:rFonts w:hint="eastAsia"/>
                <w:bCs/>
                <w:color w:val="000000"/>
                <w:kern w:val="2"/>
                <w:szCs w:val="22"/>
              </w:rPr>
              <w:t>）向车辆往来频繁的道路和作业较集中的施工场地洒水；</w:t>
            </w:r>
          </w:p>
          <w:p>
            <w:pPr>
              <w:spacing w:before="120"/>
              <w:ind w:firstLine="480"/>
              <w:rPr>
                <w:bCs/>
                <w:color w:val="000000"/>
                <w:kern w:val="2"/>
                <w:szCs w:val="22"/>
              </w:rPr>
            </w:pPr>
            <w:r>
              <w:rPr>
                <w:rFonts w:hint="eastAsia"/>
                <w:bCs/>
                <w:color w:val="000000"/>
                <w:kern w:val="2"/>
                <w:szCs w:val="22"/>
              </w:rPr>
              <w:t>（</w:t>
            </w:r>
            <w:r>
              <w:rPr>
                <w:bCs/>
                <w:color w:val="000000"/>
                <w:kern w:val="2"/>
                <w:szCs w:val="22"/>
              </w:rPr>
              <w:t>3</w:t>
            </w:r>
            <w:r>
              <w:rPr>
                <w:rFonts w:hint="eastAsia"/>
                <w:bCs/>
                <w:color w:val="000000"/>
                <w:kern w:val="2"/>
                <w:szCs w:val="22"/>
              </w:rPr>
              <w:t>）限制施工车辆在施工场地内的行驶速度；</w:t>
            </w:r>
            <w:r>
              <w:rPr>
                <w:bCs/>
                <w:color w:val="000000"/>
                <w:kern w:val="2"/>
                <w:szCs w:val="22"/>
              </w:rPr>
              <w:t xml:space="preserve"> </w:t>
            </w:r>
          </w:p>
          <w:p>
            <w:pPr>
              <w:spacing w:before="120"/>
              <w:ind w:firstLine="480"/>
              <w:rPr>
                <w:bCs/>
                <w:color w:val="000000"/>
                <w:kern w:val="2"/>
                <w:szCs w:val="22"/>
              </w:rPr>
            </w:pPr>
            <w:r>
              <w:rPr>
                <w:rFonts w:hint="eastAsia"/>
                <w:bCs/>
                <w:color w:val="000000"/>
                <w:kern w:val="2"/>
                <w:szCs w:val="22"/>
              </w:rPr>
              <w:t>（</w:t>
            </w:r>
            <w:r>
              <w:rPr>
                <w:bCs/>
                <w:color w:val="000000"/>
                <w:kern w:val="2"/>
                <w:szCs w:val="22"/>
              </w:rPr>
              <w:t>4</w:t>
            </w:r>
            <w:r>
              <w:rPr>
                <w:rFonts w:hint="eastAsia"/>
                <w:bCs/>
                <w:color w:val="000000"/>
                <w:kern w:val="2"/>
                <w:szCs w:val="22"/>
              </w:rPr>
              <w:t>）运输易起尘的物料时，用帆布等覆盖物料；</w:t>
            </w:r>
            <w:r>
              <w:rPr>
                <w:bCs/>
                <w:color w:val="000000"/>
                <w:kern w:val="2"/>
                <w:szCs w:val="22"/>
              </w:rPr>
              <w:t xml:space="preserve"> </w:t>
            </w:r>
          </w:p>
          <w:p>
            <w:pPr>
              <w:spacing w:before="120"/>
              <w:ind w:firstLine="480"/>
              <w:rPr>
                <w:bCs/>
                <w:color w:val="000000"/>
                <w:kern w:val="2"/>
                <w:szCs w:val="22"/>
              </w:rPr>
            </w:pPr>
            <w:r>
              <w:rPr>
                <w:rFonts w:hint="eastAsia"/>
                <w:bCs/>
                <w:color w:val="000000"/>
                <w:kern w:val="2"/>
                <w:szCs w:val="22"/>
              </w:rPr>
              <w:t>（</w:t>
            </w:r>
            <w:r>
              <w:rPr>
                <w:bCs/>
                <w:color w:val="000000"/>
                <w:kern w:val="2"/>
                <w:szCs w:val="22"/>
              </w:rPr>
              <w:t>5</w:t>
            </w:r>
            <w:r>
              <w:rPr>
                <w:rFonts w:hint="eastAsia"/>
                <w:bCs/>
                <w:color w:val="000000"/>
                <w:kern w:val="2"/>
                <w:szCs w:val="22"/>
              </w:rPr>
              <w:t>）规划好运输车辆的运行路线与时间，尽量避免在繁华区、交通集中区和居民住宅等敏感区域行驶；</w:t>
            </w:r>
          </w:p>
          <w:p>
            <w:pPr>
              <w:adjustRightInd w:val="0"/>
              <w:snapToGrid w:val="0"/>
              <w:spacing w:before="120" w:after="120" w:afterLines="50"/>
              <w:ind w:firstLine="482"/>
              <w:rPr>
                <w:b/>
                <w:bCs/>
                <w:color w:val="000000"/>
              </w:rPr>
            </w:pPr>
            <w:r>
              <w:rPr>
                <w:b/>
                <w:bCs/>
                <w:color w:val="000000"/>
              </w:rPr>
              <w:t>2、水环境影响防治措施</w:t>
            </w:r>
          </w:p>
          <w:p>
            <w:pPr>
              <w:spacing w:before="120"/>
              <w:ind w:firstLine="480"/>
              <w:rPr>
                <w:bCs/>
                <w:color w:val="000000"/>
                <w:kern w:val="2"/>
                <w:szCs w:val="22"/>
              </w:rPr>
            </w:pPr>
            <w:r>
              <w:rPr>
                <w:rFonts w:hint="eastAsia"/>
                <w:bCs/>
                <w:color w:val="000000"/>
                <w:kern w:val="2"/>
                <w:szCs w:val="22"/>
              </w:rPr>
              <w:t>（</w:t>
            </w:r>
            <w:r>
              <w:rPr>
                <w:bCs/>
                <w:color w:val="000000"/>
                <w:kern w:val="2"/>
                <w:szCs w:val="22"/>
              </w:rPr>
              <w:t>1</w:t>
            </w:r>
            <w:r>
              <w:rPr>
                <w:rFonts w:hint="eastAsia"/>
                <w:bCs/>
                <w:color w:val="000000"/>
                <w:kern w:val="2"/>
                <w:szCs w:val="22"/>
              </w:rPr>
              <w:t>）施工期间，应对地面水的排放进行组织设计，严禁乱排、乱流；施工上要尽量求得土石方工程的平衡，减少弃土，做好各项排水、截水、防止水土流失的设计；</w:t>
            </w:r>
          </w:p>
          <w:p>
            <w:pPr>
              <w:spacing w:before="120"/>
              <w:ind w:firstLine="480"/>
              <w:rPr>
                <w:bCs/>
                <w:color w:val="000000"/>
                <w:kern w:val="2"/>
                <w:szCs w:val="22"/>
              </w:rPr>
            </w:pPr>
            <w:r>
              <w:rPr>
                <w:rFonts w:hint="eastAsia"/>
                <w:bCs/>
                <w:color w:val="000000"/>
                <w:kern w:val="2"/>
                <w:szCs w:val="22"/>
              </w:rPr>
              <w:t>（</w:t>
            </w:r>
            <w:r>
              <w:rPr>
                <w:bCs/>
                <w:color w:val="000000"/>
                <w:kern w:val="2"/>
                <w:szCs w:val="22"/>
              </w:rPr>
              <w:t>2</w:t>
            </w:r>
            <w:r>
              <w:rPr>
                <w:rFonts w:hint="eastAsia"/>
                <w:bCs/>
                <w:color w:val="000000"/>
                <w:kern w:val="2"/>
                <w:szCs w:val="22"/>
              </w:rPr>
              <w:t>）在厂区以及道路施工场地，争取做到土料随填随压，不留松土。同时要开边沟，边坡要用石块铺砌，填土场的上游要设置导流沟，防止上游的径流通过，填土作业应尽量集中和避开暴雨期；</w:t>
            </w:r>
          </w:p>
          <w:p>
            <w:pPr>
              <w:spacing w:before="120"/>
              <w:ind w:firstLine="480"/>
              <w:rPr>
                <w:bCs/>
                <w:color w:val="000000"/>
                <w:kern w:val="2"/>
                <w:szCs w:val="22"/>
              </w:rPr>
            </w:pPr>
            <w:r>
              <w:rPr>
                <w:rFonts w:hint="eastAsia"/>
                <w:bCs/>
                <w:color w:val="000000"/>
                <w:kern w:val="2"/>
                <w:szCs w:val="22"/>
              </w:rPr>
              <w:t>（</w:t>
            </w:r>
            <w:r>
              <w:rPr>
                <w:bCs/>
                <w:color w:val="000000"/>
                <w:kern w:val="2"/>
                <w:szCs w:val="22"/>
              </w:rPr>
              <w:t>3</w:t>
            </w:r>
            <w:r>
              <w:rPr>
                <w:rFonts w:hint="eastAsia"/>
                <w:bCs/>
                <w:color w:val="000000"/>
                <w:kern w:val="2"/>
                <w:szCs w:val="22"/>
              </w:rPr>
              <w:t>）在工程施工场地内，需构筑相应容量的集水沉沙池和排水沟，以收集地表径流和工程施工过程中产生的泥浆水、废污水，经沉淀池等处理后全部回用，不外排；</w:t>
            </w:r>
          </w:p>
          <w:p>
            <w:pPr>
              <w:spacing w:before="120"/>
              <w:ind w:firstLine="480"/>
              <w:rPr>
                <w:bCs/>
                <w:color w:val="000000"/>
                <w:kern w:val="2"/>
                <w:szCs w:val="22"/>
              </w:rPr>
            </w:pPr>
            <w:r>
              <w:rPr>
                <w:rFonts w:hint="eastAsia"/>
                <w:bCs/>
                <w:color w:val="000000"/>
                <w:kern w:val="2"/>
                <w:szCs w:val="22"/>
              </w:rPr>
              <w:t>（</w:t>
            </w:r>
            <w:r>
              <w:rPr>
                <w:bCs/>
                <w:color w:val="000000"/>
                <w:kern w:val="2"/>
                <w:szCs w:val="22"/>
              </w:rPr>
              <w:t>4</w:t>
            </w:r>
            <w:r>
              <w:rPr>
                <w:rFonts w:hint="eastAsia"/>
                <w:bCs/>
                <w:color w:val="000000"/>
                <w:kern w:val="2"/>
                <w:szCs w:val="22"/>
              </w:rPr>
              <w:t>）施工中，应合理安排计划、施工程序，协调好各施工步骤，雨季中尽量减少地面坡度，减少开挖面，并争取土料随挖、随运，减少推土裸土的暴露时间，以避免受到降雨的直接冲刷，在暴雨期，还应采取应急措施，尽量覆盖新开挖的陡坡，防止冲刷和塌崩。</w:t>
            </w:r>
          </w:p>
          <w:p>
            <w:pPr>
              <w:spacing w:before="120"/>
              <w:ind w:firstLine="480"/>
              <w:rPr>
                <w:bCs/>
                <w:color w:val="000000"/>
                <w:kern w:val="2"/>
                <w:szCs w:val="22"/>
              </w:rPr>
            </w:pPr>
            <w:r>
              <w:rPr>
                <w:rFonts w:hint="eastAsia"/>
                <w:bCs/>
                <w:color w:val="000000"/>
                <w:kern w:val="2"/>
                <w:szCs w:val="22"/>
              </w:rPr>
              <w:t>（</w:t>
            </w:r>
            <w:r>
              <w:rPr>
                <w:bCs/>
                <w:color w:val="000000"/>
                <w:kern w:val="2"/>
                <w:szCs w:val="22"/>
              </w:rPr>
              <w:t>5</w:t>
            </w:r>
            <w:r>
              <w:rPr>
                <w:rFonts w:hint="eastAsia"/>
                <w:bCs/>
                <w:color w:val="000000"/>
                <w:kern w:val="2"/>
                <w:szCs w:val="22"/>
              </w:rPr>
              <w:t>）本项目施工工人施工营地会产生生活污水，生活污水主要污染物为</w:t>
            </w:r>
            <w:r>
              <w:rPr>
                <w:bCs/>
                <w:color w:val="000000"/>
                <w:kern w:val="2"/>
                <w:szCs w:val="22"/>
              </w:rPr>
              <w:t>CODcr</w:t>
            </w:r>
            <w:r>
              <w:rPr>
                <w:rFonts w:hint="eastAsia"/>
                <w:bCs/>
                <w:color w:val="000000"/>
                <w:kern w:val="2"/>
                <w:szCs w:val="22"/>
              </w:rPr>
              <w:t>、</w:t>
            </w:r>
            <w:r>
              <w:rPr>
                <w:bCs/>
                <w:color w:val="000000"/>
                <w:kern w:val="2"/>
                <w:szCs w:val="22"/>
              </w:rPr>
              <w:t>NH</w:t>
            </w:r>
            <w:r>
              <w:rPr>
                <w:bCs/>
                <w:color w:val="000000"/>
                <w:kern w:val="2"/>
                <w:szCs w:val="22"/>
                <w:vertAlign w:val="subscript"/>
              </w:rPr>
              <w:t>3</w:t>
            </w:r>
            <w:r>
              <w:rPr>
                <w:bCs/>
                <w:color w:val="000000"/>
                <w:kern w:val="2"/>
                <w:szCs w:val="22"/>
              </w:rPr>
              <w:t>-N</w:t>
            </w:r>
            <w:r>
              <w:rPr>
                <w:rFonts w:hint="eastAsia"/>
                <w:bCs/>
                <w:color w:val="000000"/>
                <w:kern w:val="2"/>
                <w:szCs w:val="22"/>
              </w:rPr>
              <w:t>、</w:t>
            </w:r>
            <w:r>
              <w:rPr>
                <w:bCs/>
                <w:color w:val="000000"/>
                <w:kern w:val="2"/>
                <w:szCs w:val="22"/>
              </w:rPr>
              <w:t>SS</w:t>
            </w:r>
            <w:r>
              <w:rPr>
                <w:rFonts w:hint="eastAsia"/>
                <w:bCs/>
                <w:color w:val="000000"/>
                <w:kern w:val="2"/>
                <w:szCs w:val="22"/>
              </w:rPr>
              <w:t>、</w:t>
            </w:r>
            <w:r>
              <w:rPr>
                <w:bCs/>
                <w:color w:val="000000"/>
                <w:kern w:val="2"/>
                <w:szCs w:val="22"/>
              </w:rPr>
              <w:t>BOD</w:t>
            </w:r>
            <w:r>
              <w:rPr>
                <w:bCs/>
                <w:color w:val="000000"/>
                <w:kern w:val="2"/>
                <w:szCs w:val="22"/>
                <w:vertAlign w:val="subscript"/>
              </w:rPr>
              <w:t>5</w:t>
            </w:r>
            <w:r>
              <w:rPr>
                <w:rFonts w:hint="eastAsia"/>
                <w:bCs/>
                <w:color w:val="000000"/>
                <w:kern w:val="2"/>
                <w:szCs w:val="22"/>
              </w:rPr>
              <w:t>等，施工期产生的生活污水拟通过三级化粪池处理达标后暂存于三级化粪池，待项目污水处理站建成后进行处理。</w:t>
            </w:r>
          </w:p>
          <w:p>
            <w:pPr>
              <w:adjustRightInd w:val="0"/>
              <w:snapToGrid w:val="0"/>
              <w:spacing w:before="120"/>
              <w:ind w:firstLine="482"/>
              <w:rPr>
                <w:b/>
                <w:bCs/>
                <w:color w:val="000000"/>
              </w:rPr>
            </w:pPr>
            <w:r>
              <w:rPr>
                <w:b/>
                <w:bCs/>
                <w:color w:val="000000"/>
              </w:rPr>
              <w:t>3、声环境影响防治措施</w:t>
            </w:r>
          </w:p>
          <w:p>
            <w:pPr>
              <w:spacing w:before="120"/>
              <w:ind w:firstLine="480"/>
              <w:rPr>
                <w:color w:val="000000"/>
              </w:rPr>
            </w:pPr>
            <w:r>
              <w:rPr>
                <w:color w:val="000000"/>
              </w:rPr>
              <w:t xml:space="preserve">（1）尽量选用低噪声机械设备或带隔声、消声的施工设备，加强对施工设备的维护保养； </w:t>
            </w:r>
          </w:p>
          <w:p>
            <w:pPr>
              <w:spacing w:before="120"/>
              <w:ind w:firstLine="480"/>
              <w:rPr>
                <w:color w:val="000000"/>
              </w:rPr>
            </w:pPr>
            <w:r>
              <w:rPr>
                <w:color w:val="000000"/>
              </w:rPr>
              <w:t>（2）合理安排好施工时间和施工场所，高噪声作业区应尽量远离声敏感对象，必要时在高噪声源周边设置临时隔声屏障，以减少噪声的影响；</w:t>
            </w:r>
          </w:p>
          <w:p>
            <w:pPr>
              <w:spacing w:before="120"/>
              <w:ind w:firstLine="480"/>
              <w:rPr>
                <w:color w:val="000000"/>
              </w:rPr>
            </w:pPr>
            <w:r>
              <w:rPr>
                <w:color w:val="000000"/>
              </w:rPr>
              <w:t>（3）合理疏导进入施工区的车辆，减少汽车鸣笛噪声；</w:t>
            </w:r>
          </w:p>
          <w:p>
            <w:pPr>
              <w:spacing w:before="120"/>
              <w:ind w:firstLine="480"/>
              <w:rPr>
                <w:color w:val="000000"/>
              </w:rPr>
            </w:pPr>
            <w:r>
              <w:rPr>
                <w:bCs/>
                <w:color w:val="000000"/>
              </w:rPr>
              <w:t>（4）</w:t>
            </w:r>
            <w:r>
              <w:rPr>
                <w:color w:val="000000"/>
              </w:rPr>
              <w:t xml:space="preserve">由于打桩机噪声源强大，影响大，故应尽量避免使用，特别在夜间； </w:t>
            </w:r>
          </w:p>
          <w:p>
            <w:pPr>
              <w:spacing w:before="120"/>
              <w:ind w:firstLine="480"/>
              <w:rPr>
                <w:color w:val="000000"/>
              </w:rPr>
            </w:pPr>
            <w:r>
              <w:rPr>
                <w:color w:val="000000"/>
              </w:rPr>
              <w:t xml:space="preserve">（5）合理安排放工进度和作业时间，施工单位应严格遵守《广东省实施&lt;中华人民共和国环境噪声污染防治法&gt;办法》规定，合理安排时间，施工时间严格控制在7:00-12:00、14:00-20:00两个时段，防止施工噪声对环境造成影响。施工期边界噪声执行《建筑施工场界环境噪声排放标准》（GB12523-2011）。严禁在12：00～14：00、22：00～6：00期间施工，如必须在此期间施工，需征得当地环境主管部门同意； </w:t>
            </w:r>
          </w:p>
          <w:p>
            <w:pPr>
              <w:spacing w:before="120"/>
              <w:ind w:firstLine="480"/>
              <w:rPr>
                <w:color w:val="000000"/>
              </w:rPr>
            </w:pPr>
            <w:r>
              <w:rPr>
                <w:color w:val="000000"/>
              </w:rPr>
              <w:t>（6）尽量避免高噪声设备在作息时间（中午或夜间）作业。</w:t>
            </w:r>
          </w:p>
          <w:p>
            <w:pPr>
              <w:spacing w:before="120"/>
              <w:ind w:firstLine="482"/>
              <w:rPr>
                <w:b/>
                <w:color w:val="000000"/>
              </w:rPr>
            </w:pPr>
            <w:r>
              <w:rPr>
                <w:b/>
                <w:color w:val="000000"/>
              </w:rPr>
              <w:t>4、固体废物环境影响防治措施</w:t>
            </w:r>
          </w:p>
          <w:p>
            <w:pPr>
              <w:spacing w:before="120"/>
              <w:ind w:firstLine="480"/>
              <w:rPr>
                <w:color w:val="000000"/>
              </w:rPr>
            </w:pPr>
            <w:r>
              <w:rPr>
                <w:color w:val="000000"/>
              </w:rPr>
              <w:t>（1）施工人员生活垃圾要及时清扫，应根据其性质尽可能分类投放和收集，送至指定地点堆放；</w:t>
            </w:r>
          </w:p>
          <w:p>
            <w:pPr>
              <w:spacing w:before="120"/>
              <w:ind w:firstLine="480"/>
              <w:rPr>
                <w:color w:val="000000"/>
              </w:rPr>
            </w:pPr>
            <w:r>
              <w:rPr>
                <w:color w:val="000000"/>
              </w:rPr>
              <w:t>（2）土石方应按照挖填结合、互相平衡的原则，及时清运；</w:t>
            </w:r>
          </w:p>
          <w:p>
            <w:pPr>
              <w:spacing w:before="120"/>
              <w:ind w:firstLine="480"/>
              <w:rPr>
                <w:color w:val="000000"/>
              </w:rPr>
            </w:pPr>
            <w:r>
              <w:rPr>
                <w:color w:val="000000"/>
              </w:rPr>
              <w:t>（3）施工单位必须严格执行淤泥渣土排放管理的有关规定，按照规定办理好</w:t>
            </w:r>
            <w:r>
              <w:rPr>
                <w:rFonts w:hint="eastAsia"/>
                <w:color w:val="000000"/>
              </w:rPr>
              <w:t>淤</w:t>
            </w:r>
            <w:r>
              <w:rPr>
                <w:color w:val="000000"/>
              </w:rPr>
              <w:t xml:space="preserve">泥渣土排放的手续，获得批准后方可在指定的受纳地点弃土； </w:t>
            </w:r>
          </w:p>
          <w:p>
            <w:pPr>
              <w:spacing w:before="120"/>
              <w:ind w:firstLine="480"/>
              <w:rPr>
                <w:color w:val="000000"/>
              </w:rPr>
            </w:pPr>
            <w:r>
              <w:rPr>
                <w:color w:val="000000"/>
              </w:rPr>
              <w:t xml:space="preserve">（4）车辆运输散体物和废弃物时，必须密封、包扎、覆盖，不得沿途撒漏； </w:t>
            </w:r>
          </w:p>
          <w:p>
            <w:pPr>
              <w:spacing w:before="120"/>
              <w:ind w:firstLine="480"/>
              <w:rPr>
                <w:color w:val="000000"/>
              </w:rPr>
            </w:pPr>
            <w:r>
              <w:rPr>
                <w:color w:val="000000"/>
              </w:rPr>
              <w:t>（5）建筑垃圾必须严格按照《城市建筑垃圾管理规定》的要求，不得混入生活垃圾中，也不得将危险废物混入建筑垃圾中处置。</w:t>
            </w:r>
          </w:p>
          <w:p>
            <w:pPr>
              <w:spacing w:before="120"/>
              <w:ind w:firstLine="482"/>
              <w:rPr>
                <w:b/>
                <w:color w:val="000000"/>
              </w:rPr>
            </w:pPr>
            <w:r>
              <w:rPr>
                <w:b/>
                <w:color w:val="000000"/>
              </w:rPr>
              <w:t>5、生态环境影响防治措施</w:t>
            </w:r>
          </w:p>
          <w:p>
            <w:pPr>
              <w:spacing w:before="120"/>
              <w:ind w:firstLine="480"/>
              <w:rPr>
                <w:color w:val="000000"/>
              </w:rPr>
            </w:pPr>
            <w:r>
              <w:rPr>
                <w:color w:val="000000"/>
              </w:rPr>
              <w:t>（1）排水措施：由于项目区域下雨较多，易形成较大的地面径流。因此，在土地平整及土方施工中，加强施工场地的路面建设。对于施工材料须建棚贮存，避免雨水冲走，导致排水堵塞，为施工场地创造良好的排水条件，减少雨水冲刷和停留时间，防止出现大面积水现象；</w:t>
            </w:r>
          </w:p>
          <w:p>
            <w:pPr>
              <w:spacing w:before="120"/>
              <w:ind w:firstLine="480"/>
              <w:rPr>
                <w:color w:val="000000"/>
              </w:rPr>
            </w:pPr>
            <w:r>
              <w:rPr>
                <w:color w:val="000000"/>
              </w:rPr>
              <w:t>（2）拦挡措施：在施工过程中需采取一些工程措施，如平整、压实、建立挡土墙或沉砂池等，能有效避免雨水对土壤的侵蚀。对弃土、弃渣或堆渣等固体物，设置专门的存放场地，并采取拦挡措施，修建挡土墙和遮雨棚等。</w:t>
            </w:r>
          </w:p>
          <w:p>
            <w:pPr>
              <w:spacing w:before="120"/>
              <w:ind w:firstLine="480"/>
              <w:rPr>
                <w:color w:val="000000"/>
              </w:rPr>
            </w:pPr>
            <w:r>
              <w:rPr>
                <w:color w:val="000000"/>
              </w:rPr>
              <w:t>经采取上述措施后，施工期产生的污染物如施工扬尘、建筑材料、生活垃圾、生活污水及施工噪声等均能得到合理控制，对周围环境影响在可接受范围内，待施工期结束后对外界的影响也随之消失，对周围环境造成影响较小。</w:t>
            </w:r>
          </w:p>
          <w:p>
            <w:pPr>
              <w:spacing w:before="120"/>
              <w:ind w:firstLine="0" w:firstLineChars="0"/>
            </w:pPr>
          </w:p>
          <w:p>
            <w:pPr>
              <w:spacing w:before="120"/>
              <w:ind w:firstLine="0" w:firstLineChars="0"/>
            </w:pPr>
          </w:p>
          <w:p>
            <w:pPr>
              <w:spacing w:before="120"/>
              <w:ind w:firstLine="0" w:firstLineChars="0"/>
            </w:pPr>
          </w:p>
          <w:p>
            <w:pPr>
              <w:spacing w:before="120"/>
              <w:ind w:firstLine="0" w:firstLineChars="0"/>
            </w:pPr>
          </w:p>
          <w:p>
            <w:pPr>
              <w:spacing w:before="120"/>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99" w:type="dxa"/>
            <w:tcMar>
              <w:left w:w="28" w:type="dxa"/>
              <w:right w:w="28" w:type="dxa"/>
            </w:tcMar>
            <w:vAlign w:val="center"/>
          </w:tcPr>
          <w:p>
            <w:pPr>
              <w:adjustRightInd w:val="0"/>
              <w:snapToGrid w:val="0"/>
              <w:spacing w:before="0" w:beforeLines="0"/>
              <w:ind w:firstLine="0" w:firstLineChars="0"/>
              <w:jc w:val="center"/>
              <w:rPr>
                <w:bCs/>
                <w:szCs w:val="21"/>
              </w:rPr>
            </w:pPr>
            <w:r>
              <w:rPr>
                <w:bCs/>
                <w:szCs w:val="21"/>
              </w:rPr>
              <w:t>运营</w:t>
            </w:r>
          </w:p>
          <w:p>
            <w:pPr>
              <w:adjustRightInd w:val="0"/>
              <w:snapToGrid w:val="0"/>
              <w:spacing w:before="0" w:beforeLines="0"/>
              <w:ind w:firstLine="0" w:firstLineChars="0"/>
              <w:jc w:val="center"/>
              <w:rPr>
                <w:bCs/>
                <w:szCs w:val="21"/>
              </w:rPr>
            </w:pPr>
            <w:r>
              <w:rPr>
                <w:bCs/>
                <w:szCs w:val="21"/>
              </w:rPr>
              <w:t>期环</w:t>
            </w:r>
          </w:p>
          <w:p>
            <w:pPr>
              <w:adjustRightInd w:val="0"/>
              <w:snapToGrid w:val="0"/>
              <w:spacing w:before="0" w:beforeLines="0"/>
              <w:ind w:firstLine="0" w:firstLineChars="0"/>
              <w:jc w:val="center"/>
              <w:rPr>
                <w:bCs/>
                <w:szCs w:val="21"/>
              </w:rPr>
            </w:pPr>
            <w:r>
              <w:rPr>
                <w:bCs/>
                <w:szCs w:val="21"/>
              </w:rPr>
              <w:t>境影</w:t>
            </w:r>
          </w:p>
          <w:p>
            <w:pPr>
              <w:adjustRightInd w:val="0"/>
              <w:snapToGrid w:val="0"/>
              <w:spacing w:before="0" w:beforeLines="0"/>
              <w:ind w:firstLine="0" w:firstLineChars="0"/>
              <w:jc w:val="center"/>
              <w:rPr>
                <w:bCs/>
                <w:szCs w:val="21"/>
              </w:rPr>
            </w:pPr>
            <w:r>
              <w:rPr>
                <w:bCs/>
                <w:szCs w:val="21"/>
              </w:rPr>
              <w:t>响和</w:t>
            </w:r>
          </w:p>
          <w:p>
            <w:pPr>
              <w:adjustRightInd w:val="0"/>
              <w:snapToGrid w:val="0"/>
              <w:spacing w:before="0" w:beforeLines="0"/>
              <w:ind w:firstLine="0" w:firstLineChars="0"/>
              <w:jc w:val="center"/>
              <w:rPr>
                <w:bCs/>
                <w:szCs w:val="21"/>
              </w:rPr>
            </w:pPr>
            <w:r>
              <w:rPr>
                <w:bCs/>
                <w:szCs w:val="21"/>
              </w:rPr>
              <w:t>保护</w:t>
            </w:r>
          </w:p>
          <w:p>
            <w:pPr>
              <w:adjustRightInd w:val="0"/>
              <w:snapToGrid w:val="0"/>
              <w:spacing w:before="0" w:beforeLines="0"/>
              <w:ind w:firstLine="0" w:firstLineChars="0"/>
              <w:jc w:val="center"/>
              <w:rPr>
                <w:bCs/>
                <w:szCs w:val="21"/>
              </w:rPr>
            </w:pPr>
            <w:r>
              <w:rPr>
                <w:bCs/>
                <w:szCs w:val="21"/>
              </w:rPr>
              <w:t>措施</w:t>
            </w:r>
          </w:p>
        </w:tc>
        <w:tc>
          <w:tcPr>
            <w:tcW w:w="8173" w:type="dxa"/>
          </w:tcPr>
          <w:p>
            <w:pPr>
              <w:snapToGrid w:val="0"/>
              <w:spacing w:before="120"/>
              <w:ind w:firstLine="482"/>
              <w:rPr>
                <w:b/>
                <w:szCs w:val="18"/>
              </w:rPr>
            </w:pPr>
            <w:bookmarkStart w:id="24" w:name="_Hlk74149999"/>
            <w:r>
              <w:rPr>
                <w:b/>
                <w:szCs w:val="18"/>
              </w:rPr>
              <w:t>1、废水</w:t>
            </w:r>
          </w:p>
          <w:p>
            <w:pPr>
              <w:spacing w:before="120"/>
              <w:ind w:firstLine="480"/>
              <w:rPr>
                <w:bCs/>
              </w:rPr>
            </w:pPr>
            <w:r>
              <w:rPr>
                <w:bCs/>
              </w:rPr>
              <w:t>（1）废水源强核算</w:t>
            </w:r>
          </w:p>
          <w:p>
            <w:pPr>
              <w:spacing w:before="120"/>
              <w:ind w:firstLine="480"/>
              <w:rPr>
                <w:bCs/>
              </w:rPr>
            </w:pPr>
            <w:r>
              <w:rPr>
                <w:rFonts w:hint="eastAsia"/>
                <w:bCs/>
              </w:rPr>
              <w:t>根据本项目建设内容，</w:t>
            </w:r>
            <w:r>
              <w:rPr>
                <w:bCs/>
              </w:rPr>
              <w:t>项目</w:t>
            </w:r>
            <w:r>
              <w:rPr>
                <w:rFonts w:hint="eastAsia"/>
                <w:bCs/>
              </w:rPr>
              <w:t>不涉及肉制品深加工，</w:t>
            </w:r>
            <w:r>
              <w:rPr>
                <w:bCs/>
              </w:rPr>
              <w:t>运营期</w:t>
            </w:r>
            <w:r>
              <w:rPr>
                <w:rFonts w:hint="eastAsia"/>
                <w:bCs/>
              </w:rPr>
              <w:t>生产</w:t>
            </w:r>
            <w:r>
              <w:rPr>
                <w:bCs/>
              </w:rPr>
              <w:t>废</w:t>
            </w:r>
            <w:r>
              <w:rPr>
                <w:rFonts w:hint="eastAsia"/>
                <w:bCs/>
              </w:rPr>
              <w:t>包括车辆消毒废水、车辆清洗废水、</w:t>
            </w:r>
            <w:r>
              <w:rPr>
                <w:rFonts w:hint="eastAsia"/>
                <w:bCs/>
                <w:color w:val="000000"/>
                <w:kern w:val="2"/>
                <w:szCs w:val="22"/>
              </w:rPr>
              <w:t>生物（或碱）喷淋塔</w:t>
            </w:r>
            <w:r>
              <w:rPr>
                <w:rFonts w:hint="eastAsia"/>
                <w:bCs/>
              </w:rPr>
              <w:t>废水、屠宰间废水，生活污水及初期雨水</w:t>
            </w:r>
            <w:r>
              <w:rPr>
                <w:bCs/>
              </w:rPr>
              <w:t>。</w:t>
            </w:r>
          </w:p>
          <w:p>
            <w:pPr>
              <w:spacing w:before="120"/>
              <w:ind w:firstLine="480" w:firstLineChars="0"/>
              <w:outlineLvl w:val="0"/>
              <w:rPr>
                <w:bCs/>
                <w:color w:val="000000"/>
                <w:kern w:val="2"/>
              </w:rPr>
            </w:pPr>
            <w:r>
              <w:rPr>
                <w:rFonts w:hint="eastAsia"/>
                <w:bCs/>
                <w:color w:val="000000"/>
                <w:kern w:val="2"/>
              </w:rPr>
              <w:t>①车辆消毒废水</w:t>
            </w:r>
          </w:p>
          <w:p>
            <w:pPr>
              <w:spacing w:before="120"/>
              <w:ind w:firstLine="480"/>
              <w:rPr>
                <w:bCs/>
              </w:rPr>
            </w:pPr>
            <w:r>
              <w:rPr>
                <w:rFonts w:hint="eastAsia"/>
                <w:bCs/>
              </w:rPr>
              <w:t>本项目设车辆消毒槽1个，单个容积为5</w:t>
            </w:r>
            <w:r>
              <w:rPr>
                <w:bCs/>
              </w:rPr>
              <w:t>m</w:t>
            </w:r>
            <w:r>
              <w:rPr>
                <w:rFonts w:hint="eastAsia"/>
                <w:bCs/>
              </w:rPr>
              <w:t>×</w:t>
            </w:r>
            <w:r>
              <w:rPr>
                <w:bCs/>
              </w:rPr>
              <w:t>4m</w:t>
            </w:r>
            <w:r>
              <w:rPr>
                <w:rFonts w:hint="eastAsia"/>
                <w:bCs/>
              </w:rPr>
              <w:t>×</w:t>
            </w:r>
            <w:r>
              <w:rPr>
                <w:bCs/>
              </w:rPr>
              <w:t>0.3m=6m</w:t>
            </w:r>
            <w:r>
              <w:rPr>
                <w:bCs/>
                <w:vertAlign w:val="superscript"/>
              </w:rPr>
              <w:t>3</w:t>
            </w:r>
            <w:r>
              <w:rPr>
                <w:bCs/>
              </w:rPr>
              <w:t>,</w:t>
            </w:r>
            <w:r>
              <w:rPr>
                <w:rFonts w:hint="eastAsia"/>
                <w:bCs/>
              </w:rPr>
              <w:t>车辆消毒槽每天补充水量和消毒剂，消毒剂可选择500mg/L二氧化氯、30g/L过氧化氢或2000mg/L过氧乙酸等消毒液；消毒槽每月更换水一次，合计7</w:t>
            </w:r>
            <w:r>
              <w:rPr>
                <w:bCs/>
              </w:rPr>
              <w:t>2m³/a</w:t>
            </w:r>
            <w:r>
              <w:rPr>
                <w:rFonts w:hint="eastAsia"/>
                <w:bCs/>
              </w:rPr>
              <w:t>，排入自建废水处理站。</w:t>
            </w:r>
          </w:p>
          <w:p>
            <w:pPr>
              <w:spacing w:before="120"/>
              <w:ind w:firstLine="480"/>
              <w:rPr>
                <w:bCs/>
              </w:rPr>
            </w:pPr>
            <w:r>
              <w:rPr>
                <w:rFonts w:hint="eastAsia"/>
                <w:bCs/>
              </w:rPr>
              <w:t>②车辆清洗废水</w:t>
            </w:r>
          </w:p>
          <w:p>
            <w:pPr>
              <w:spacing w:before="120"/>
              <w:ind w:firstLine="480"/>
              <w:rPr>
                <w:bCs/>
              </w:rPr>
            </w:pPr>
            <w:r>
              <w:rPr>
                <w:rFonts w:hint="eastAsia"/>
                <w:bCs/>
              </w:rPr>
              <w:t>项目清洗车辆会产生清洗废水，参考广东省《用水定额第3部分：生活》（DB44/T 1461.3-2021）中大型车辆自动清洗通用值按38L/车次计算，项目牛羊运输车按最大30头/车次（5车次/d）计算，本项目清洗过程中损耗率约为10%，则车辆清洗产生的废水量为0.17m³/d（59.85m³/a），排入自建废水处理站。</w:t>
            </w:r>
          </w:p>
          <w:p>
            <w:pPr>
              <w:spacing w:before="120"/>
              <w:ind w:firstLine="480"/>
              <w:outlineLvl w:val="0"/>
              <w:rPr>
                <w:bCs/>
                <w:color w:val="000000"/>
                <w:kern w:val="2"/>
                <w:szCs w:val="22"/>
              </w:rPr>
            </w:pPr>
            <w:r>
              <w:rPr>
                <w:rFonts w:hint="eastAsia" w:ascii="宋体" w:hAnsi="宋体" w:cs="宋体"/>
                <w:bCs/>
                <w:color w:val="000000"/>
                <w:kern w:val="2"/>
                <w:szCs w:val="22"/>
              </w:rPr>
              <w:t>③</w:t>
            </w:r>
            <w:r>
              <w:rPr>
                <w:rFonts w:hint="eastAsia"/>
                <w:bCs/>
                <w:color w:val="000000"/>
                <w:kern w:val="2"/>
                <w:szCs w:val="22"/>
              </w:rPr>
              <w:t>生物（或碱）喷淋塔</w:t>
            </w:r>
          </w:p>
          <w:p>
            <w:pPr>
              <w:spacing w:before="120"/>
              <w:ind w:firstLine="480" w:firstLineChars="0"/>
              <w:outlineLvl w:val="0"/>
              <w:rPr>
                <w:bCs/>
              </w:rPr>
            </w:pPr>
            <w:r>
              <w:rPr>
                <w:rFonts w:hint="eastAsia"/>
                <w:bCs/>
                <w:color w:val="000000"/>
              </w:rPr>
              <w:t>本项目使用</w:t>
            </w:r>
            <w:r>
              <w:rPr>
                <w:rFonts w:hint="eastAsia"/>
                <w:bCs/>
                <w:color w:val="000000"/>
                <w:kern w:val="2"/>
                <w:szCs w:val="22"/>
              </w:rPr>
              <w:t>生物（或碱）喷淋塔</w:t>
            </w:r>
            <w:r>
              <w:rPr>
                <w:rFonts w:hint="eastAsia"/>
                <w:bCs/>
                <w:color w:val="000000"/>
              </w:rPr>
              <w:t>处理恶臭气体，根据工程设计，两套</w:t>
            </w:r>
            <w:r>
              <w:rPr>
                <w:rFonts w:hint="eastAsia"/>
                <w:bCs/>
                <w:color w:val="000000"/>
                <w:kern w:val="2"/>
                <w:szCs w:val="22"/>
              </w:rPr>
              <w:t>生物（或碱）喷淋塔</w:t>
            </w:r>
            <w:r>
              <w:rPr>
                <w:rFonts w:hint="eastAsia"/>
                <w:bCs/>
                <w:color w:val="000000"/>
              </w:rPr>
              <w:t>系统水箱总容量</w:t>
            </w:r>
            <w:r>
              <w:rPr>
                <w:bCs/>
                <w:color w:val="000000"/>
              </w:rPr>
              <w:t>22</w:t>
            </w:r>
            <w:r>
              <w:rPr>
                <w:rFonts w:hint="eastAsia"/>
                <w:bCs/>
                <w:color w:val="000000"/>
              </w:rPr>
              <w:t>m³，除臭系统水箱预计每月换水1次，排水量为</w:t>
            </w:r>
            <w:r>
              <w:rPr>
                <w:bCs/>
                <w:color w:val="000000"/>
              </w:rPr>
              <w:t>264</w:t>
            </w:r>
            <w:r>
              <w:rPr>
                <w:rFonts w:hint="eastAsia"/>
                <w:bCs/>
                <w:color w:val="000000"/>
              </w:rPr>
              <w:t>m³/a，</w:t>
            </w:r>
            <w:r>
              <w:rPr>
                <w:rFonts w:hint="eastAsia"/>
                <w:bCs/>
              </w:rPr>
              <w:t>排入自建废水处理站。</w:t>
            </w:r>
          </w:p>
          <w:p>
            <w:pPr>
              <w:spacing w:before="120"/>
              <w:ind w:firstLine="480" w:firstLineChars="0"/>
              <w:outlineLvl w:val="0"/>
              <w:rPr>
                <w:bCs/>
                <w:color w:val="000000"/>
              </w:rPr>
            </w:pPr>
            <w:r>
              <w:rPr>
                <w:bCs/>
                <w:color w:val="000000"/>
              </w:rPr>
              <w:fldChar w:fldCharType="begin"/>
            </w:r>
            <w:r>
              <w:rPr>
                <w:bCs/>
                <w:color w:val="000000"/>
              </w:rPr>
              <w:instrText xml:space="preserve"> </w:instrText>
            </w:r>
            <w:r>
              <w:rPr>
                <w:rFonts w:hint="eastAsia"/>
                <w:bCs/>
                <w:color w:val="000000"/>
              </w:rPr>
              <w:instrText xml:space="preserve">= 4 \* GB3</w:instrText>
            </w:r>
            <w:r>
              <w:rPr>
                <w:bCs/>
                <w:color w:val="000000"/>
              </w:rPr>
              <w:instrText xml:space="preserve"> </w:instrText>
            </w:r>
            <w:r>
              <w:rPr>
                <w:bCs/>
                <w:color w:val="000000"/>
              </w:rPr>
              <w:fldChar w:fldCharType="separate"/>
            </w:r>
            <w:r>
              <w:rPr>
                <w:rFonts w:hint="eastAsia"/>
                <w:bCs/>
                <w:color w:val="000000"/>
              </w:rPr>
              <w:t>④</w:t>
            </w:r>
            <w:r>
              <w:rPr>
                <w:bCs/>
                <w:color w:val="000000"/>
              </w:rPr>
              <w:fldChar w:fldCharType="end"/>
            </w:r>
            <w:r>
              <w:rPr>
                <w:rFonts w:hint="eastAsia"/>
                <w:bCs/>
                <w:color w:val="000000"/>
              </w:rPr>
              <w:t>屠宰车间废水</w:t>
            </w:r>
          </w:p>
          <w:p>
            <w:pPr>
              <w:spacing w:before="120"/>
              <w:ind w:firstLine="480"/>
              <w:rPr>
                <w:bCs/>
              </w:rPr>
            </w:pPr>
            <w:bookmarkStart w:id="25" w:name="_Hlk96955688"/>
            <w:r>
              <w:rPr>
                <w:rFonts w:hint="eastAsia"/>
                <w:bCs/>
              </w:rPr>
              <w:t>根据《屠宰与肉类加工废水治理工程技术规范》（HJ2004-2010），屠宰过程指屠宰时进行的圈栏冲洗、宰前淋洗、宰后烫毛或剥皮、开腔、劈半、解体、内脏洗涤及车间冲洗等过程，屠宰废水指屠宰过程中产生的废水，包括：①待宰栏的排放粪便冲洗水和宰前冲洗污物、粪便水；②屠宰工段排放的冲淋水和地面冲洗水；③内脏处理工段排放的含肠胃内容物的废水。屠宰废水中主要含有血污、油脂、碎肉、畜毛、未消化的食物及粪便、尿液等。</w:t>
            </w:r>
          </w:p>
          <w:p>
            <w:pPr>
              <w:spacing w:before="0" w:beforeLines="0"/>
              <w:ind w:firstLine="480"/>
              <w:rPr>
                <w:color w:val="000000"/>
                <w:kern w:val="2"/>
              </w:rPr>
            </w:pPr>
            <w:r>
              <w:rPr>
                <w:color w:val="000000"/>
                <w:kern w:val="2"/>
              </w:rPr>
              <w:t>根据《屠宰与肉类加工废水治理工程技术规范》（HJ2004-2010），屠宰废水量用如下公式进行计算：</w:t>
            </w:r>
          </w:p>
          <w:p>
            <w:pPr>
              <w:spacing w:before="0" w:beforeLines="0"/>
              <w:ind w:firstLine="480"/>
              <w:jc w:val="center"/>
              <w:rPr>
                <w:color w:val="000000"/>
                <w:kern w:val="2"/>
              </w:rPr>
            </w:pPr>
            <w:r>
              <w:rPr>
                <w:color w:val="000000"/>
                <w:kern w:val="2"/>
              </w:rPr>
              <w:t>Q=q×S</w:t>
            </w:r>
          </w:p>
          <w:p>
            <w:pPr>
              <w:spacing w:before="0" w:beforeLines="0"/>
              <w:ind w:firstLine="480"/>
              <w:rPr>
                <w:color w:val="000000"/>
                <w:kern w:val="2"/>
              </w:rPr>
            </w:pPr>
            <w:r>
              <w:rPr>
                <w:color w:val="000000"/>
                <w:kern w:val="2"/>
              </w:rPr>
              <w:t>Q：每日产生的屠宰废水量，单位：m</w:t>
            </w:r>
            <w:r>
              <w:rPr>
                <w:color w:val="000000"/>
                <w:kern w:val="2"/>
                <w:vertAlign w:val="superscript"/>
              </w:rPr>
              <w:t>3</w:t>
            </w:r>
            <w:r>
              <w:rPr>
                <w:color w:val="000000"/>
                <w:kern w:val="2"/>
              </w:rPr>
              <w:t>/d</w:t>
            </w:r>
          </w:p>
          <w:p>
            <w:pPr>
              <w:spacing w:before="0" w:beforeLines="0"/>
              <w:ind w:firstLine="480"/>
              <w:rPr>
                <w:color w:val="000000"/>
                <w:kern w:val="2"/>
              </w:rPr>
            </w:pPr>
            <w:r>
              <w:rPr>
                <w:color w:val="000000"/>
                <w:kern w:val="2"/>
              </w:rPr>
              <w:t>q：单位屠宰动物废水产生量，单位：m</w:t>
            </w:r>
            <w:r>
              <w:rPr>
                <w:color w:val="000000"/>
                <w:kern w:val="2"/>
                <w:vertAlign w:val="superscript"/>
              </w:rPr>
              <w:t>3</w:t>
            </w:r>
            <w:r>
              <w:rPr>
                <w:color w:val="000000"/>
                <w:kern w:val="2"/>
              </w:rPr>
              <w:t>/头</w:t>
            </w:r>
          </w:p>
          <w:p>
            <w:pPr>
              <w:spacing w:before="0" w:beforeLines="0"/>
              <w:ind w:firstLine="480"/>
              <w:rPr>
                <w:color w:val="000000"/>
                <w:kern w:val="2"/>
              </w:rPr>
            </w:pPr>
            <w:r>
              <w:rPr>
                <w:color w:val="000000"/>
                <w:kern w:val="2"/>
              </w:rPr>
              <w:t>S：每日屠宰动物总数量，单位：头/d</w:t>
            </w:r>
          </w:p>
          <w:p>
            <w:pPr>
              <w:adjustRightInd w:val="0"/>
              <w:snapToGrid w:val="0"/>
              <w:spacing w:before="120"/>
              <w:ind w:firstLine="480"/>
              <w:rPr>
                <w:bCs/>
                <w:color w:val="000000"/>
              </w:rPr>
            </w:pPr>
            <w:r>
              <w:rPr>
                <w:bCs/>
                <w:color w:val="000000"/>
              </w:rPr>
              <w:t>《屠宰与肉类加工废水治理工程技术规范》（HJ2004-2010）表1中单位屠宰</w:t>
            </w:r>
            <w:r>
              <w:rPr>
                <w:rFonts w:hint="eastAsia"/>
                <w:bCs/>
                <w:color w:val="000000"/>
              </w:rPr>
              <w:t>牛</w:t>
            </w:r>
            <w:r>
              <w:rPr>
                <w:bCs/>
                <w:color w:val="000000"/>
              </w:rPr>
              <w:t>废水产生量取值系数为</w:t>
            </w:r>
            <w:r>
              <w:rPr>
                <w:rFonts w:hint="eastAsia"/>
                <w:bCs/>
                <w:color w:val="000000"/>
              </w:rPr>
              <w:t>1.0-1.5</w:t>
            </w:r>
            <w:r>
              <w:rPr>
                <w:bCs/>
                <w:color w:val="000000"/>
              </w:rPr>
              <w:t>m</w:t>
            </w:r>
            <w:r>
              <w:rPr>
                <w:bCs/>
                <w:color w:val="000000"/>
                <w:vertAlign w:val="superscript"/>
              </w:rPr>
              <w:t>3</w:t>
            </w:r>
            <w:r>
              <w:rPr>
                <w:bCs/>
                <w:color w:val="000000"/>
              </w:rPr>
              <w:t>/头，屠宰</w:t>
            </w:r>
            <w:r>
              <w:rPr>
                <w:rFonts w:hint="eastAsia"/>
                <w:bCs/>
                <w:color w:val="000000"/>
              </w:rPr>
              <w:t>羊</w:t>
            </w:r>
            <w:r>
              <w:rPr>
                <w:bCs/>
                <w:color w:val="000000"/>
              </w:rPr>
              <w:t>废水产生量取值系数为</w:t>
            </w:r>
            <w:r>
              <w:rPr>
                <w:rFonts w:hint="eastAsia"/>
                <w:bCs/>
                <w:color w:val="000000"/>
              </w:rPr>
              <w:t>0.2-0.5</w:t>
            </w:r>
            <w:r>
              <w:rPr>
                <w:color w:val="000000"/>
                <w:kern w:val="2"/>
              </w:rPr>
              <w:t xml:space="preserve"> m</w:t>
            </w:r>
            <w:r>
              <w:rPr>
                <w:color w:val="000000"/>
                <w:kern w:val="2"/>
                <w:vertAlign w:val="superscript"/>
              </w:rPr>
              <w:t>3</w:t>
            </w:r>
            <w:r>
              <w:rPr>
                <w:bCs/>
                <w:color w:val="000000"/>
              </w:rPr>
              <w:t>/头</w:t>
            </w:r>
            <w:r>
              <w:rPr>
                <w:rFonts w:hint="eastAsia"/>
                <w:bCs/>
                <w:color w:val="000000"/>
              </w:rPr>
              <w:t>，</w:t>
            </w:r>
            <w:r>
              <w:rPr>
                <w:bCs/>
                <w:color w:val="000000"/>
              </w:rPr>
              <w:t>本次评价取平均值，即屠宰</w:t>
            </w:r>
            <w:r>
              <w:rPr>
                <w:rFonts w:hint="eastAsia"/>
                <w:bCs/>
                <w:color w:val="000000"/>
              </w:rPr>
              <w:t>牛</w:t>
            </w:r>
            <w:r>
              <w:rPr>
                <w:bCs/>
                <w:color w:val="000000"/>
              </w:rPr>
              <w:t>废水产生量系数为</w:t>
            </w:r>
            <w:r>
              <w:rPr>
                <w:rFonts w:hint="eastAsia"/>
                <w:bCs/>
                <w:color w:val="000000"/>
              </w:rPr>
              <w:t>1.25</w:t>
            </w:r>
            <w:r>
              <w:rPr>
                <w:color w:val="000000"/>
                <w:kern w:val="2"/>
              </w:rPr>
              <w:t>m</w:t>
            </w:r>
            <w:r>
              <w:rPr>
                <w:color w:val="000000"/>
                <w:kern w:val="2"/>
                <w:vertAlign w:val="superscript"/>
              </w:rPr>
              <w:t>3</w:t>
            </w:r>
            <w:r>
              <w:rPr>
                <w:bCs/>
                <w:color w:val="000000"/>
              </w:rPr>
              <w:t>/头</w:t>
            </w:r>
            <w:r>
              <w:rPr>
                <w:rFonts w:hint="eastAsia"/>
                <w:bCs/>
                <w:color w:val="000000"/>
              </w:rPr>
              <w:t>，</w:t>
            </w:r>
            <w:r>
              <w:rPr>
                <w:bCs/>
                <w:color w:val="000000"/>
              </w:rPr>
              <w:t>则</w:t>
            </w:r>
            <w:r>
              <w:rPr>
                <w:rFonts w:hint="eastAsia"/>
                <w:bCs/>
                <w:color w:val="000000"/>
              </w:rPr>
              <w:t>牛</w:t>
            </w:r>
            <w:r>
              <w:rPr>
                <w:bCs/>
                <w:color w:val="000000"/>
              </w:rPr>
              <w:t>屠宰废水产生量为6.25</w:t>
            </w:r>
            <w:r>
              <w:rPr>
                <w:color w:val="000000"/>
                <w:kern w:val="2"/>
              </w:rPr>
              <w:t>m</w:t>
            </w:r>
            <w:r>
              <w:rPr>
                <w:color w:val="000000"/>
                <w:kern w:val="2"/>
                <w:vertAlign w:val="superscript"/>
              </w:rPr>
              <w:t>3</w:t>
            </w:r>
            <w:r>
              <w:rPr>
                <w:bCs/>
                <w:color w:val="000000"/>
              </w:rPr>
              <w:t>/d</w:t>
            </w:r>
            <w:r>
              <w:rPr>
                <w:rFonts w:hint="eastAsia"/>
                <w:bCs/>
                <w:color w:val="000000"/>
              </w:rPr>
              <w:t>，</w:t>
            </w:r>
            <w:r>
              <w:rPr>
                <w:bCs/>
                <w:color w:val="000000"/>
              </w:rPr>
              <w:t>屠宰</w:t>
            </w:r>
            <w:r>
              <w:rPr>
                <w:rFonts w:hint="eastAsia"/>
                <w:bCs/>
                <w:color w:val="000000"/>
              </w:rPr>
              <w:t>羊</w:t>
            </w:r>
            <w:r>
              <w:rPr>
                <w:bCs/>
                <w:color w:val="000000"/>
              </w:rPr>
              <w:t>废水产生量系数为</w:t>
            </w:r>
            <w:r>
              <w:rPr>
                <w:rFonts w:hint="eastAsia"/>
                <w:bCs/>
                <w:color w:val="000000"/>
              </w:rPr>
              <w:t>0.35</w:t>
            </w:r>
            <w:r>
              <w:rPr>
                <w:color w:val="000000"/>
                <w:kern w:val="2"/>
              </w:rPr>
              <w:t>m</w:t>
            </w:r>
            <w:r>
              <w:rPr>
                <w:color w:val="000000"/>
                <w:kern w:val="2"/>
                <w:vertAlign w:val="superscript"/>
              </w:rPr>
              <w:t>3</w:t>
            </w:r>
            <w:r>
              <w:rPr>
                <w:bCs/>
                <w:color w:val="000000"/>
              </w:rPr>
              <w:t>/头</w:t>
            </w:r>
            <w:r>
              <w:rPr>
                <w:rFonts w:hint="eastAsia"/>
                <w:bCs/>
                <w:color w:val="000000"/>
              </w:rPr>
              <w:t>，</w:t>
            </w:r>
            <w:r>
              <w:rPr>
                <w:bCs/>
                <w:color w:val="000000"/>
              </w:rPr>
              <w:t>则</w:t>
            </w:r>
            <w:r>
              <w:rPr>
                <w:rFonts w:hint="eastAsia"/>
                <w:bCs/>
                <w:color w:val="000000"/>
              </w:rPr>
              <w:t>羊</w:t>
            </w:r>
            <w:r>
              <w:rPr>
                <w:bCs/>
                <w:color w:val="000000"/>
              </w:rPr>
              <w:t>屠宰废水产生量为50.75</w:t>
            </w:r>
            <w:r>
              <w:rPr>
                <w:color w:val="000000"/>
                <w:kern w:val="2"/>
              </w:rPr>
              <w:t>m</w:t>
            </w:r>
            <w:r>
              <w:rPr>
                <w:color w:val="000000"/>
                <w:kern w:val="2"/>
                <w:vertAlign w:val="superscript"/>
              </w:rPr>
              <w:t>3</w:t>
            </w:r>
            <w:r>
              <w:rPr>
                <w:bCs/>
                <w:color w:val="000000"/>
              </w:rPr>
              <w:t>/d</w:t>
            </w:r>
            <w:r>
              <w:rPr>
                <w:rFonts w:hint="eastAsia"/>
                <w:bCs/>
                <w:color w:val="000000"/>
              </w:rPr>
              <w:t>，</w:t>
            </w:r>
            <w:r>
              <w:rPr>
                <w:bCs/>
                <w:color w:val="000000"/>
              </w:rPr>
              <w:t>则本项目屠宰废水产生量为57</w:t>
            </w:r>
            <w:r>
              <w:rPr>
                <w:color w:val="000000"/>
                <w:kern w:val="2"/>
              </w:rPr>
              <w:t>m</w:t>
            </w:r>
            <w:r>
              <w:rPr>
                <w:color w:val="000000"/>
                <w:kern w:val="2"/>
                <w:vertAlign w:val="superscript"/>
              </w:rPr>
              <w:t>3</w:t>
            </w:r>
            <w:r>
              <w:rPr>
                <w:bCs/>
                <w:color w:val="000000"/>
              </w:rPr>
              <w:t>/d（19950</w:t>
            </w:r>
            <w:r>
              <w:rPr>
                <w:color w:val="000000"/>
                <w:kern w:val="2"/>
              </w:rPr>
              <w:t>m</w:t>
            </w:r>
            <w:r>
              <w:rPr>
                <w:color w:val="000000"/>
                <w:kern w:val="2"/>
                <w:vertAlign w:val="superscript"/>
              </w:rPr>
              <w:t>3</w:t>
            </w:r>
            <w:r>
              <w:rPr>
                <w:bCs/>
                <w:color w:val="000000"/>
              </w:rPr>
              <w:t>/a）</w:t>
            </w:r>
            <w:r>
              <w:rPr>
                <w:rFonts w:hint="eastAsia"/>
                <w:bCs/>
                <w:color w:val="000000"/>
              </w:rPr>
              <w:t>，排入自建废水处理站。</w:t>
            </w:r>
          </w:p>
          <w:p>
            <w:pPr>
              <w:spacing w:before="120"/>
              <w:ind w:firstLine="480"/>
            </w:pPr>
            <w:r>
              <w:rPr>
                <w:rFonts w:hint="eastAsia"/>
                <w:bCs/>
              </w:rPr>
              <w:t>综上，本项目生产废水总产生量为</w:t>
            </w:r>
            <w:r>
              <w:rPr>
                <w:bCs/>
              </w:rPr>
              <w:t>20345.85</w:t>
            </w:r>
            <w:r>
              <w:rPr>
                <w:rFonts w:hint="eastAsia"/>
                <w:bCs/>
              </w:rPr>
              <w:t>t/a。根据《屠宰与肉类加工废水治理工程技术规范》（HJ2004-2010），对于无废水水质监测数据时，生产废水水质取值参照如下：BOD</w:t>
            </w:r>
            <w:r>
              <w:rPr>
                <w:rFonts w:hint="eastAsia"/>
                <w:bCs/>
                <w:vertAlign w:val="subscript"/>
              </w:rPr>
              <w:t>5</w:t>
            </w:r>
            <w:r>
              <w:rPr>
                <w:rFonts w:hint="eastAsia"/>
                <w:bCs/>
              </w:rPr>
              <w:t>750~1000mg/L，COD1500~2000mg/L，SS750~1000mg/L，氨氮50~150mg/L，动植物油50~200mg/L，pH6.5~7.5。本评价从最不利角度考虑，即取各污染物因子浓度最大值。即取各污染物因子浓度最大值，生产废水污染物产生浓度见下表：</w:t>
            </w:r>
          </w:p>
          <w:p>
            <w:pPr>
              <w:pStyle w:val="93"/>
              <w:spacing w:before="120"/>
              <w:ind w:firstLine="480"/>
              <w:rPr>
                <w:rFonts w:eastAsia="宋体" w:cs="Times New Roman"/>
                <w:b/>
                <w:color w:val="000000"/>
                <w:szCs w:val="21"/>
              </w:rPr>
            </w:pPr>
            <w:r>
              <w:rPr>
                <w:rFonts w:hint="eastAsia" w:eastAsia="宋体" w:cs="Times New Roman"/>
                <w:b/>
                <w:color w:val="000000"/>
                <w:szCs w:val="21"/>
              </w:rPr>
              <w:t>表4</w:t>
            </w:r>
            <w:r>
              <w:rPr>
                <w:rFonts w:eastAsia="宋体" w:cs="Times New Roman"/>
                <w:b/>
                <w:color w:val="000000"/>
                <w:szCs w:val="21"/>
              </w:rPr>
              <w:t xml:space="preserve">-1 </w:t>
            </w:r>
            <w:r>
              <w:rPr>
                <w:rFonts w:hint="eastAsia" w:eastAsia="宋体" w:cs="Times New Roman"/>
                <w:b/>
                <w:color w:val="000000"/>
                <w:szCs w:val="21"/>
              </w:rPr>
              <w:t>生产废水污染物产生浓度（单位：mg/L）</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150"/>
              <w:gridCol w:w="1150"/>
              <w:gridCol w:w="1150"/>
              <w:gridCol w:w="115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rFonts w:hint="eastAsia"/>
                      <w:bCs/>
                      <w:sz w:val="21"/>
                      <w:szCs w:val="21"/>
                    </w:rPr>
                    <w:t>污染物</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rFonts w:hint="eastAsia"/>
                      <w:bCs/>
                      <w:sz w:val="21"/>
                      <w:szCs w:val="21"/>
                    </w:rPr>
                    <w:t>C</w:t>
                  </w:r>
                  <w:r>
                    <w:rPr>
                      <w:bCs/>
                      <w:sz w:val="21"/>
                      <w:szCs w:val="21"/>
                    </w:rPr>
                    <w:t>OD</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rFonts w:hint="eastAsia"/>
                      <w:bCs/>
                      <w:sz w:val="21"/>
                      <w:szCs w:val="21"/>
                    </w:rPr>
                    <w:t>B</w:t>
                  </w:r>
                  <w:r>
                    <w:rPr>
                      <w:bCs/>
                      <w:sz w:val="21"/>
                      <w:szCs w:val="21"/>
                    </w:rPr>
                    <w:t>OD</w:t>
                  </w:r>
                  <w:r>
                    <w:rPr>
                      <w:bCs/>
                      <w:sz w:val="21"/>
                      <w:szCs w:val="21"/>
                      <w:vertAlign w:val="subscript"/>
                    </w:rPr>
                    <w:t>5</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rFonts w:hint="eastAsia"/>
                      <w:bCs/>
                      <w:sz w:val="21"/>
                      <w:szCs w:val="21"/>
                    </w:rPr>
                    <w:t>S</w:t>
                  </w:r>
                  <w:r>
                    <w:rPr>
                      <w:bCs/>
                      <w:sz w:val="21"/>
                      <w:szCs w:val="21"/>
                    </w:rPr>
                    <w:t>S</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rFonts w:hint="eastAsia"/>
                      <w:bCs/>
                      <w:sz w:val="21"/>
                      <w:szCs w:val="21"/>
                    </w:rPr>
                    <w:t>N</w:t>
                  </w:r>
                  <w:r>
                    <w:rPr>
                      <w:bCs/>
                      <w:sz w:val="21"/>
                      <w:szCs w:val="21"/>
                    </w:rPr>
                    <w:t>H</w:t>
                  </w:r>
                  <w:r>
                    <w:rPr>
                      <w:bCs/>
                      <w:sz w:val="21"/>
                      <w:szCs w:val="21"/>
                      <w:vertAlign w:val="subscript"/>
                    </w:rPr>
                    <w:t>3</w:t>
                  </w:r>
                  <w:r>
                    <w:rPr>
                      <w:bCs/>
                      <w:sz w:val="21"/>
                      <w:szCs w:val="21"/>
                    </w:rPr>
                    <w:t>-N</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rFonts w:hint="eastAsia"/>
                      <w:bCs/>
                      <w:sz w:val="2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rFonts w:hint="eastAsia"/>
                      <w:bCs/>
                      <w:sz w:val="21"/>
                      <w:szCs w:val="21"/>
                    </w:rPr>
                    <w:t>产生浓度</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color w:val="000000"/>
                      <w:sz w:val="21"/>
                      <w:szCs w:val="21"/>
                    </w:rPr>
                    <w:t>2000</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color w:val="000000"/>
                      <w:sz w:val="21"/>
                      <w:szCs w:val="21"/>
                    </w:rPr>
                    <w:t>1000</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color w:val="000000"/>
                      <w:sz w:val="21"/>
                      <w:szCs w:val="21"/>
                    </w:rPr>
                  </w:pPr>
                  <w:r>
                    <w:rPr>
                      <w:color w:val="000000"/>
                      <w:sz w:val="21"/>
                      <w:szCs w:val="21"/>
                    </w:rPr>
                    <w:t>1000</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color w:val="000000"/>
                      <w:sz w:val="21"/>
                      <w:szCs w:val="21"/>
                    </w:rPr>
                    <w:t>150</w:t>
                  </w:r>
                </w:p>
              </w:tc>
              <w:tc>
                <w:tcPr>
                  <w:tcW w:w="1150" w:type="dxa"/>
                  <w:tcBorders>
                    <w:top w:val="single" w:color="auto" w:sz="4" w:space="0"/>
                    <w:left w:val="single" w:color="auto" w:sz="4" w:space="0"/>
                    <w:bottom w:val="single" w:color="auto" w:sz="4" w:space="0"/>
                    <w:right w:val="single" w:color="auto" w:sz="4" w:space="0"/>
                  </w:tcBorders>
                  <w:vAlign w:val="center"/>
                </w:tcPr>
                <w:p>
                  <w:pPr>
                    <w:spacing w:before="0" w:beforeLines="0" w:line="0" w:lineRule="atLeast"/>
                    <w:ind w:firstLine="0" w:firstLineChars="0"/>
                    <w:jc w:val="center"/>
                    <w:rPr>
                      <w:bCs/>
                      <w:sz w:val="21"/>
                      <w:szCs w:val="21"/>
                    </w:rPr>
                  </w:pPr>
                  <w:r>
                    <w:rPr>
                      <w:color w:val="000000"/>
                      <w:sz w:val="21"/>
                      <w:szCs w:val="21"/>
                    </w:rPr>
                    <w:t>200</w:t>
                  </w:r>
                </w:p>
              </w:tc>
            </w:tr>
            <w:bookmarkEnd w:id="25"/>
          </w:tbl>
          <w:p>
            <w:pPr>
              <w:adjustRightInd w:val="0"/>
              <w:snapToGrid w:val="0"/>
              <w:spacing w:before="120"/>
              <w:ind w:firstLine="480"/>
              <w:rPr>
                <w:bCs/>
              </w:rPr>
            </w:pPr>
            <w:r>
              <w:rPr>
                <w:rFonts w:ascii="Calibri" w:hAnsi="Calibri" w:cs="Calibri"/>
                <w:bCs/>
              </w:rPr>
              <w:t>⑤</w:t>
            </w:r>
            <w:r>
              <w:rPr>
                <w:bCs/>
              </w:rPr>
              <w:t>生活污水</w:t>
            </w:r>
          </w:p>
          <w:p>
            <w:pPr>
              <w:adjustRightInd w:val="0"/>
              <w:snapToGrid w:val="0"/>
              <w:spacing w:before="120"/>
              <w:ind w:firstLine="480"/>
              <w:rPr>
                <w:bCs/>
                <w:color w:val="000000"/>
              </w:rPr>
            </w:pPr>
            <w:bookmarkStart w:id="26" w:name="_Hlk96955673"/>
            <w:r>
              <w:rPr>
                <w:bCs/>
                <w:color w:val="000000"/>
                <w:kern w:val="2"/>
                <w:szCs w:val="22"/>
              </w:rPr>
              <w:t>本项目劳动定员20人，</w:t>
            </w:r>
            <w:r>
              <w:rPr>
                <w:rFonts w:hint="eastAsia"/>
                <w:bCs/>
                <w:color w:val="000000"/>
                <w:kern w:val="2"/>
                <w:szCs w:val="22"/>
              </w:rPr>
              <w:t>其中7人</w:t>
            </w:r>
            <w:r>
              <w:rPr>
                <w:bCs/>
                <w:color w:val="000000"/>
                <w:kern w:val="2"/>
                <w:szCs w:val="22"/>
              </w:rPr>
              <w:t>在</w:t>
            </w:r>
            <w:r>
              <w:rPr>
                <w:rFonts w:hint="eastAsia"/>
                <w:bCs/>
                <w:color w:val="000000"/>
                <w:kern w:val="2"/>
                <w:szCs w:val="22"/>
              </w:rPr>
              <w:t>厂区</w:t>
            </w:r>
            <w:r>
              <w:rPr>
                <w:bCs/>
                <w:color w:val="000000"/>
                <w:kern w:val="2"/>
                <w:szCs w:val="22"/>
              </w:rPr>
              <w:t>内食宿</w:t>
            </w:r>
            <w:r>
              <w:rPr>
                <w:rFonts w:hint="eastAsia"/>
                <w:bCs/>
                <w:color w:val="000000"/>
                <w:kern w:val="2"/>
                <w:szCs w:val="22"/>
              </w:rPr>
              <w:t>、13人在厂区食堂就餐不住宿，</w:t>
            </w:r>
            <w:r>
              <w:rPr>
                <w:bCs/>
                <w:color w:val="000000"/>
                <w:kern w:val="2"/>
                <w:szCs w:val="22"/>
              </w:rPr>
              <w:t>参考广东省《用水定额 第3部分：生活》（DB44/T 1461.3-2021），</w:t>
            </w:r>
            <w:r>
              <w:rPr>
                <w:rFonts w:hint="eastAsia"/>
                <w:bCs/>
                <w:color w:val="000000"/>
                <w:kern w:val="2"/>
                <w:szCs w:val="22"/>
              </w:rPr>
              <w:t>住宿人员</w:t>
            </w:r>
            <w:r>
              <w:rPr>
                <w:bCs/>
                <w:color w:val="000000"/>
                <w:kern w:val="2"/>
                <w:szCs w:val="22"/>
              </w:rPr>
              <w:t>按人均用水140L/</w:t>
            </w:r>
            <w:r>
              <w:rPr>
                <w:rFonts w:hint="eastAsia"/>
                <w:bCs/>
                <w:color w:val="000000"/>
                <w:kern w:val="2"/>
                <w:szCs w:val="22"/>
              </w:rPr>
              <w:t>d</w:t>
            </w:r>
            <w:r>
              <w:rPr>
                <w:bCs/>
                <w:color w:val="000000"/>
                <w:kern w:val="2"/>
                <w:szCs w:val="22"/>
              </w:rPr>
              <w:t>计，</w:t>
            </w:r>
            <w:r>
              <w:rPr>
                <w:rFonts w:hint="eastAsia"/>
                <w:bCs/>
                <w:color w:val="000000"/>
                <w:kern w:val="2"/>
                <w:szCs w:val="22"/>
              </w:rPr>
              <w:t>就餐不住宿人员用水按38</w:t>
            </w:r>
            <w:r>
              <w:rPr>
                <w:bCs/>
                <w:color w:val="000000"/>
                <w:kern w:val="2"/>
                <w:szCs w:val="22"/>
              </w:rPr>
              <w:t>m³</w:t>
            </w:r>
            <w:r>
              <w:rPr>
                <w:rFonts w:hint="eastAsia"/>
                <w:bCs/>
                <w:color w:val="000000"/>
                <w:kern w:val="2"/>
                <w:szCs w:val="22"/>
              </w:rPr>
              <w:t>/a计，</w:t>
            </w:r>
            <w:r>
              <w:rPr>
                <w:bCs/>
                <w:color w:val="000000"/>
                <w:kern w:val="2"/>
                <w:szCs w:val="22"/>
              </w:rPr>
              <w:t>则生活用水量约840 m³/a</w:t>
            </w:r>
            <w:r>
              <w:rPr>
                <w:rFonts w:hint="eastAsia"/>
                <w:bCs/>
                <w:color w:val="000000"/>
                <w:kern w:val="2"/>
                <w:szCs w:val="22"/>
              </w:rPr>
              <w:t>。</w:t>
            </w:r>
            <w:bookmarkEnd w:id="26"/>
            <w:r>
              <w:rPr>
                <w:bCs/>
                <w:color w:val="000000"/>
              </w:rPr>
              <w:t>项目生活污水排污系数按0.9计算，则生活污水排放量约756m</w:t>
            </w:r>
            <w:r>
              <w:rPr>
                <w:bCs/>
                <w:color w:val="000000"/>
                <w:vertAlign w:val="superscript"/>
              </w:rPr>
              <w:t>3</w:t>
            </w:r>
            <w:r>
              <w:rPr>
                <w:bCs/>
                <w:color w:val="000000"/>
              </w:rPr>
              <w:t>/a。本项目生活污水参照《广东省第三产业排污系数（第一批）》（粤环【2003】181号）并类比当地居民生活污水污染物浓度产排情况，生活污水的主要污染物为COD</w:t>
            </w:r>
            <w:r>
              <w:rPr>
                <w:bCs/>
                <w:color w:val="000000"/>
                <w:vertAlign w:val="subscript"/>
              </w:rPr>
              <w:t>Cr</w:t>
            </w:r>
            <w:r>
              <w:rPr>
                <w:bCs/>
                <w:color w:val="000000"/>
              </w:rPr>
              <w:t>（250mg/L）、BOD</w:t>
            </w:r>
            <w:r>
              <w:rPr>
                <w:bCs/>
                <w:color w:val="000000"/>
                <w:vertAlign w:val="subscript"/>
              </w:rPr>
              <w:t>5</w:t>
            </w:r>
            <w:r>
              <w:rPr>
                <w:bCs/>
                <w:color w:val="000000"/>
              </w:rPr>
              <w:t>（150mg/L）、SS（150mg/L）、NH</w:t>
            </w:r>
            <w:r>
              <w:rPr>
                <w:bCs/>
                <w:color w:val="000000"/>
                <w:vertAlign w:val="subscript"/>
              </w:rPr>
              <w:t>3</w:t>
            </w:r>
            <w:r>
              <w:rPr>
                <w:bCs/>
                <w:color w:val="000000"/>
              </w:rPr>
              <w:t>-N（25mg/L）、TP（5mg/L）、LAS（10mg/L）。</w:t>
            </w:r>
            <w:r>
              <w:rPr>
                <w:rFonts w:hint="eastAsia"/>
                <w:bCs/>
                <w:color w:val="000000"/>
              </w:rPr>
              <w:t>生活污水先经三级化粪池预处理，再排入厂区自建污水处理站进一步处理达到《肉类加工工业水污染物排放标准》（GB13457-92）表3规定的畜类屠宰加工二级标准后回用至厂区及周边林地浇灌。</w:t>
            </w:r>
          </w:p>
          <w:p>
            <w:pPr>
              <w:pStyle w:val="93"/>
              <w:spacing w:before="120"/>
              <w:ind w:firstLine="480"/>
              <w:rPr>
                <w:rFonts w:eastAsia="宋体" w:cs="Times New Roman"/>
                <w:b/>
                <w:color w:val="000000"/>
                <w:szCs w:val="21"/>
              </w:rPr>
            </w:pPr>
            <w:r>
              <w:rPr>
                <w:rFonts w:eastAsia="宋体" w:cs="Times New Roman"/>
                <w:b/>
                <w:color w:val="000000"/>
                <w:szCs w:val="21"/>
              </w:rPr>
              <w:t>表4-2 生活污水经三级化粪池处理后产排情况表</w:t>
            </w:r>
          </w:p>
          <w:tbl>
            <w:tblPr>
              <w:tblStyle w:val="22"/>
              <w:tblW w:w="47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4"/>
              <w:gridCol w:w="1237"/>
              <w:gridCol w:w="1311"/>
              <w:gridCol w:w="1312"/>
              <w:gridCol w:w="1312"/>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799" w:type="pct"/>
                  <w:vAlign w:val="center"/>
                </w:tcPr>
                <w:p>
                  <w:pPr>
                    <w:spacing w:before="0" w:beforeLines="0" w:line="0" w:lineRule="atLeast"/>
                    <w:ind w:firstLine="0" w:firstLineChars="0"/>
                    <w:jc w:val="center"/>
                    <w:rPr>
                      <w:bCs/>
                      <w:sz w:val="21"/>
                      <w:szCs w:val="21"/>
                    </w:rPr>
                  </w:pPr>
                  <w:r>
                    <w:rPr>
                      <w:rFonts w:hint="eastAsia"/>
                      <w:bCs/>
                      <w:sz w:val="21"/>
                      <w:szCs w:val="21"/>
                    </w:rPr>
                    <w:t>废水量</w:t>
                  </w:r>
                </w:p>
              </w:tc>
              <w:tc>
                <w:tcPr>
                  <w:tcW w:w="801" w:type="pct"/>
                  <w:vAlign w:val="center"/>
                </w:tcPr>
                <w:p>
                  <w:pPr>
                    <w:spacing w:before="0" w:beforeLines="0" w:line="0" w:lineRule="atLeast"/>
                    <w:ind w:firstLine="0" w:firstLineChars="0"/>
                    <w:jc w:val="center"/>
                    <w:rPr>
                      <w:bCs/>
                      <w:sz w:val="21"/>
                      <w:szCs w:val="21"/>
                    </w:rPr>
                  </w:pPr>
                  <w:r>
                    <w:rPr>
                      <w:rFonts w:hint="eastAsia"/>
                      <w:bCs/>
                      <w:sz w:val="21"/>
                      <w:szCs w:val="21"/>
                    </w:rPr>
                    <w:t>污染物</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产生浓度mg/L</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产生量t/a</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排放浓度mg/L</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799" w:type="pct"/>
                  <w:vMerge w:val="restart"/>
                  <w:vAlign w:val="center"/>
                </w:tcPr>
                <w:p>
                  <w:pPr>
                    <w:spacing w:before="0" w:beforeLines="0" w:line="0" w:lineRule="atLeast"/>
                    <w:ind w:firstLine="0" w:firstLineChars="0"/>
                    <w:jc w:val="center"/>
                    <w:rPr>
                      <w:bCs/>
                      <w:sz w:val="21"/>
                      <w:szCs w:val="21"/>
                    </w:rPr>
                  </w:pPr>
                  <w:r>
                    <w:rPr>
                      <w:rFonts w:hint="eastAsia"/>
                      <w:bCs/>
                      <w:sz w:val="21"/>
                      <w:szCs w:val="21"/>
                    </w:rPr>
                    <w:t>756m3/a</w:t>
                  </w:r>
                </w:p>
              </w:tc>
              <w:tc>
                <w:tcPr>
                  <w:tcW w:w="801" w:type="pct"/>
                  <w:vAlign w:val="center"/>
                </w:tcPr>
                <w:p>
                  <w:pPr>
                    <w:spacing w:before="0" w:beforeLines="0" w:line="0" w:lineRule="atLeast"/>
                    <w:ind w:firstLine="0" w:firstLineChars="0"/>
                    <w:jc w:val="center"/>
                    <w:rPr>
                      <w:bCs/>
                      <w:sz w:val="21"/>
                      <w:szCs w:val="21"/>
                    </w:rPr>
                  </w:pPr>
                  <w:r>
                    <w:rPr>
                      <w:rFonts w:hint="eastAsia"/>
                      <w:bCs/>
                      <w:sz w:val="21"/>
                      <w:szCs w:val="21"/>
                    </w:rPr>
                    <w:t>CODCr</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250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0.189</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200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799" w:type="pct"/>
                  <w:vMerge w:val="continue"/>
                  <w:vAlign w:val="center"/>
                </w:tcPr>
                <w:p>
                  <w:pPr>
                    <w:spacing w:before="0" w:beforeLines="0" w:line="0" w:lineRule="atLeast"/>
                    <w:ind w:firstLine="0" w:firstLineChars="0"/>
                    <w:jc w:val="center"/>
                    <w:rPr>
                      <w:bCs/>
                      <w:sz w:val="21"/>
                      <w:szCs w:val="21"/>
                    </w:rPr>
                  </w:pPr>
                </w:p>
              </w:tc>
              <w:tc>
                <w:tcPr>
                  <w:tcW w:w="801" w:type="pct"/>
                  <w:vAlign w:val="center"/>
                </w:tcPr>
                <w:p>
                  <w:pPr>
                    <w:spacing w:before="0" w:beforeLines="0" w:line="0" w:lineRule="atLeast"/>
                    <w:ind w:firstLine="0" w:firstLineChars="0"/>
                    <w:jc w:val="center"/>
                    <w:rPr>
                      <w:bCs/>
                      <w:sz w:val="21"/>
                      <w:szCs w:val="21"/>
                    </w:rPr>
                  </w:pPr>
                  <w:r>
                    <w:rPr>
                      <w:rFonts w:hint="eastAsia"/>
                      <w:bCs/>
                      <w:sz w:val="21"/>
                      <w:szCs w:val="21"/>
                    </w:rPr>
                    <w:t>BOD5</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150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0.1134</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120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799" w:type="pct"/>
                  <w:vMerge w:val="continue"/>
                  <w:vAlign w:val="center"/>
                </w:tcPr>
                <w:p>
                  <w:pPr>
                    <w:spacing w:before="0" w:beforeLines="0" w:line="0" w:lineRule="atLeast"/>
                    <w:ind w:firstLine="0" w:firstLineChars="0"/>
                    <w:jc w:val="center"/>
                    <w:rPr>
                      <w:bCs/>
                      <w:sz w:val="21"/>
                      <w:szCs w:val="21"/>
                    </w:rPr>
                  </w:pPr>
                </w:p>
              </w:tc>
              <w:tc>
                <w:tcPr>
                  <w:tcW w:w="801" w:type="pct"/>
                  <w:vAlign w:val="center"/>
                </w:tcPr>
                <w:p>
                  <w:pPr>
                    <w:spacing w:before="0" w:beforeLines="0" w:line="0" w:lineRule="atLeast"/>
                    <w:ind w:firstLine="0" w:firstLineChars="0"/>
                    <w:jc w:val="center"/>
                    <w:rPr>
                      <w:bCs/>
                      <w:sz w:val="21"/>
                      <w:szCs w:val="21"/>
                    </w:rPr>
                  </w:pPr>
                  <w:r>
                    <w:rPr>
                      <w:rFonts w:hint="eastAsia"/>
                      <w:bCs/>
                      <w:sz w:val="21"/>
                      <w:szCs w:val="21"/>
                    </w:rPr>
                    <w:t>SS</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150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0.1134</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120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799" w:type="pct"/>
                  <w:vMerge w:val="continue"/>
                  <w:vAlign w:val="center"/>
                </w:tcPr>
                <w:p>
                  <w:pPr>
                    <w:spacing w:before="0" w:beforeLines="0" w:line="0" w:lineRule="atLeast"/>
                    <w:ind w:firstLine="0" w:firstLineChars="0"/>
                    <w:jc w:val="center"/>
                    <w:rPr>
                      <w:bCs/>
                      <w:sz w:val="21"/>
                      <w:szCs w:val="21"/>
                    </w:rPr>
                  </w:pPr>
                </w:p>
              </w:tc>
              <w:tc>
                <w:tcPr>
                  <w:tcW w:w="801" w:type="pct"/>
                  <w:vAlign w:val="center"/>
                </w:tcPr>
                <w:p>
                  <w:pPr>
                    <w:spacing w:before="0" w:beforeLines="0" w:line="0" w:lineRule="atLeast"/>
                    <w:ind w:firstLine="0" w:firstLineChars="0"/>
                    <w:jc w:val="center"/>
                    <w:rPr>
                      <w:bCs/>
                      <w:sz w:val="21"/>
                      <w:szCs w:val="21"/>
                    </w:rPr>
                  </w:pPr>
                  <w:r>
                    <w:rPr>
                      <w:rFonts w:hint="eastAsia"/>
                      <w:bCs/>
                      <w:sz w:val="21"/>
                      <w:szCs w:val="21"/>
                    </w:rPr>
                    <w:t>NH3-N</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25</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0.0189</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25</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799" w:type="pct"/>
                  <w:vMerge w:val="continue"/>
                  <w:vAlign w:val="center"/>
                </w:tcPr>
                <w:p>
                  <w:pPr>
                    <w:spacing w:before="0" w:beforeLines="0" w:line="0" w:lineRule="atLeast"/>
                    <w:ind w:firstLine="0" w:firstLineChars="0"/>
                    <w:jc w:val="center"/>
                    <w:rPr>
                      <w:bCs/>
                      <w:sz w:val="21"/>
                      <w:szCs w:val="21"/>
                    </w:rPr>
                  </w:pPr>
                </w:p>
              </w:tc>
              <w:tc>
                <w:tcPr>
                  <w:tcW w:w="801" w:type="pct"/>
                  <w:vAlign w:val="center"/>
                </w:tcPr>
                <w:p>
                  <w:pPr>
                    <w:spacing w:before="0" w:beforeLines="0" w:line="0" w:lineRule="atLeast"/>
                    <w:ind w:firstLine="0" w:firstLineChars="0"/>
                    <w:jc w:val="center"/>
                    <w:rPr>
                      <w:bCs/>
                      <w:sz w:val="21"/>
                      <w:szCs w:val="21"/>
                    </w:rPr>
                  </w:pPr>
                  <w:r>
                    <w:rPr>
                      <w:rFonts w:hint="eastAsia"/>
                      <w:bCs/>
                      <w:sz w:val="21"/>
                      <w:szCs w:val="21"/>
                    </w:rPr>
                    <w:t>TP</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5</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0.0038</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5</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799" w:type="pct"/>
                  <w:vMerge w:val="continue"/>
                  <w:vAlign w:val="center"/>
                </w:tcPr>
                <w:p>
                  <w:pPr>
                    <w:spacing w:before="0" w:beforeLines="0" w:line="0" w:lineRule="atLeast"/>
                    <w:ind w:firstLine="0" w:firstLineChars="0"/>
                    <w:jc w:val="center"/>
                    <w:rPr>
                      <w:bCs/>
                      <w:sz w:val="21"/>
                      <w:szCs w:val="21"/>
                    </w:rPr>
                  </w:pPr>
                </w:p>
              </w:tc>
              <w:tc>
                <w:tcPr>
                  <w:tcW w:w="801" w:type="pct"/>
                  <w:vAlign w:val="center"/>
                </w:tcPr>
                <w:p>
                  <w:pPr>
                    <w:spacing w:before="0" w:beforeLines="0" w:line="0" w:lineRule="atLeast"/>
                    <w:ind w:firstLine="0" w:firstLineChars="0"/>
                    <w:jc w:val="center"/>
                    <w:rPr>
                      <w:bCs/>
                      <w:sz w:val="21"/>
                      <w:szCs w:val="21"/>
                    </w:rPr>
                  </w:pPr>
                  <w:r>
                    <w:rPr>
                      <w:rFonts w:hint="eastAsia"/>
                      <w:bCs/>
                      <w:sz w:val="21"/>
                      <w:szCs w:val="21"/>
                    </w:rPr>
                    <w:t>LAS</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10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0.0076</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10</w:t>
                  </w:r>
                </w:p>
              </w:tc>
              <w:tc>
                <w:tcPr>
                  <w:tcW w:w="849" w:type="pct"/>
                  <w:vAlign w:val="center"/>
                </w:tcPr>
                <w:p>
                  <w:pPr>
                    <w:spacing w:before="0" w:beforeLines="0" w:line="0" w:lineRule="atLeast"/>
                    <w:ind w:firstLine="0" w:firstLineChars="0"/>
                    <w:jc w:val="center"/>
                    <w:rPr>
                      <w:bCs/>
                      <w:sz w:val="21"/>
                      <w:szCs w:val="21"/>
                    </w:rPr>
                  </w:pPr>
                  <w:r>
                    <w:rPr>
                      <w:rFonts w:hint="eastAsia"/>
                      <w:bCs/>
                      <w:sz w:val="21"/>
                      <w:szCs w:val="21"/>
                    </w:rPr>
                    <w:t>0.0076</w:t>
                  </w:r>
                </w:p>
              </w:tc>
            </w:tr>
          </w:tbl>
          <w:p>
            <w:pPr>
              <w:adjustRightInd w:val="0"/>
              <w:snapToGrid w:val="0"/>
              <w:spacing w:before="120"/>
              <w:ind w:firstLine="480"/>
              <w:rPr>
                <w:bCs/>
              </w:rPr>
            </w:pPr>
            <w:r>
              <w:rPr>
                <w:rFonts w:hint="eastAsia" w:ascii="宋体" w:hAnsi="宋体" w:cs="宋体"/>
                <w:bCs/>
              </w:rPr>
              <w:t>⑥</w:t>
            </w:r>
            <w:r>
              <w:rPr>
                <w:bCs/>
              </w:rPr>
              <w:t>初期雨水</w:t>
            </w:r>
          </w:p>
          <w:p>
            <w:pPr>
              <w:adjustRightInd w:val="0"/>
              <w:snapToGrid w:val="0"/>
              <w:spacing w:before="120"/>
              <w:ind w:firstLine="480"/>
              <w:rPr>
                <w:bCs/>
                <w:color w:val="000000"/>
              </w:rPr>
            </w:pPr>
            <w:r>
              <w:rPr>
                <w:rFonts w:hint="eastAsia"/>
                <w:bCs/>
                <w:color w:val="000000"/>
              </w:rPr>
              <w:t>厂区建设雨污分流系统，室外雨水明沟收集，污水管道输送，利用切换阀将初期雨水收集到初期雨水池，经沉淀处理后，排入自建废水处理站进一步处理，处理后存入蓄水池，回用于厂区及周边林地浇灌。</w:t>
            </w:r>
          </w:p>
          <w:p>
            <w:pPr>
              <w:adjustRightInd w:val="0"/>
              <w:snapToGrid w:val="0"/>
              <w:spacing w:before="120"/>
              <w:ind w:firstLine="480"/>
              <w:rPr>
                <w:bCs/>
                <w:color w:val="000000"/>
              </w:rPr>
            </w:pPr>
            <w:r>
              <w:rPr>
                <w:rFonts w:hint="eastAsia"/>
                <w:bCs/>
                <w:color w:val="000000"/>
              </w:rPr>
              <w:t>根据相关研究可知，降雨量较小时很难形成地表径流，雨水通常被蒸发、下渗、吸收等消耗掉，只有大雨时才会形成地表径流，从而产生对地表冲刷。在降雨初期，地面的污染物和泥沙被冲洗下来，使得径流雨水中含有一定浓度的污染物，这部分水称为初期雨水，需要处理后才能排入外部环境。</w:t>
            </w:r>
          </w:p>
          <w:p>
            <w:pPr>
              <w:adjustRightInd w:val="0"/>
              <w:snapToGrid w:val="0"/>
              <w:spacing w:before="120"/>
              <w:ind w:firstLine="480"/>
              <w:rPr>
                <w:bCs/>
                <w:color w:val="000000"/>
              </w:rPr>
            </w:pPr>
            <w:r>
              <w:rPr>
                <w:bCs/>
                <w:color w:val="000000"/>
              </w:rPr>
              <w:t>初期雨水量</w:t>
            </w:r>
            <w:r>
              <w:rPr>
                <w:rFonts w:hint="eastAsia"/>
                <w:bCs/>
                <w:color w:val="000000"/>
              </w:rPr>
              <w:t>采用西安公路学院环境工程研究所赵剑强等人在《交通环保》</w:t>
            </w:r>
            <w:r>
              <w:rPr>
                <w:bCs/>
                <w:color w:val="000000"/>
              </w:rPr>
              <w:t>1994</w:t>
            </w:r>
            <w:r>
              <w:rPr>
                <w:rFonts w:hint="eastAsia"/>
                <w:bCs/>
                <w:color w:val="000000"/>
              </w:rPr>
              <w:t>年</w:t>
            </w:r>
            <w:r>
              <w:rPr>
                <w:bCs/>
                <w:color w:val="000000"/>
              </w:rPr>
              <w:t>2-3</w:t>
            </w:r>
            <w:r>
              <w:rPr>
                <w:rFonts w:hint="eastAsia"/>
                <w:bCs/>
                <w:color w:val="000000"/>
              </w:rPr>
              <w:t>期《路面雨水污染物水环境影响评价》一文中所推荐的方法。假设日平均降雨量集中在降雨初期</w:t>
            </w:r>
            <w:r>
              <w:rPr>
                <w:bCs/>
                <w:color w:val="000000"/>
              </w:rPr>
              <w:t>3</w:t>
            </w:r>
            <w:r>
              <w:rPr>
                <w:rFonts w:hint="eastAsia"/>
                <w:bCs/>
                <w:color w:val="000000"/>
              </w:rPr>
              <w:t>小时（</w:t>
            </w:r>
            <w:r>
              <w:rPr>
                <w:bCs/>
                <w:color w:val="000000"/>
              </w:rPr>
              <w:t>180</w:t>
            </w:r>
            <w:r>
              <w:rPr>
                <w:rFonts w:hint="eastAsia"/>
                <w:bCs/>
                <w:color w:val="000000"/>
              </w:rPr>
              <w:t>分钟）内，估计初期（前</w:t>
            </w:r>
            <w:r>
              <w:rPr>
                <w:bCs/>
                <w:color w:val="000000"/>
              </w:rPr>
              <w:t>15</w:t>
            </w:r>
            <w:r>
              <w:rPr>
                <w:rFonts w:hint="eastAsia"/>
                <w:bCs/>
                <w:color w:val="000000"/>
              </w:rPr>
              <w:t>分钟）雨水的量，其产生量可按下述公式进行计算：</w:t>
            </w:r>
          </w:p>
          <w:p>
            <w:pPr>
              <w:adjustRightInd w:val="0"/>
              <w:snapToGrid w:val="0"/>
              <w:spacing w:before="120"/>
              <w:ind w:firstLine="480"/>
              <w:rPr>
                <w:bCs/>
                <w:color w:val="000000"/>
              </w:rPr>
            </w:pPr>
            <w:r>
              <w:rPr>
                <w:rFonts w:hint="eastAsia"/>
                <w:bCs/>
                <w:color w:val="000000"/>
              </w:rPr>
              <w:t>年均初期雨水量＝所在地区年均降雨量×产流系数×集雨面积×</w:t>
            </w:r>
            <w:r>
              <w:rPr>
                <w:bCs/>
                <w:color w:val="000000"/>
              </w:rPr>
              <w:t>15/180</w:t>
            </w:r>
            <w:r>
              <w:rPr>
                <w:rFonts w:hint="eastAsia"/>
                <w:bCs/>
                <w:color w:val="000000"/>
              </w:rPr>
              <w:t>。</w:t>
            </w:r>
          </w:p>
          <w:p>
            <w:pPr>
              <w:adjustRightInd w:val="0"/>
              <w:snapToGrid w:val="0"/>
              <w:spacing w:before="120"/>
              <w:ind w:firstLine="480"/>
              <w:rPr>
                <w:bCs/>
                <w:color w:val="000000"/>
              </w:rPr>
            </w:pPr>
            <w:r>
              <w:rPr>
                <w:rFonts w:hint="eastAsia"/>
                <w:bCs/>
                <w:color w:val="000000"/>
              </w:rPr>
              <w:t>参考原《环境影响评价技术导则</w:t>
            </w:r>
            <w:r>
              <w:rPr>
                <w:bCs/>
                <w:color w:val="000000"/>
              </w:rPr>
              <w:t>-</w:t>
            </w:r>
            <w:r>
              <w:rPr>
                <w:rFonts w:hint="eastAsia"/>
                <w:bCs/>
                <w:color w:val="000000"/>
              </w:rPr>
              <w:t>地面水环境》（</w:t>
            </w:r>
            <w:r>
              <w:rPr>
                <w:bCs/>
                <w:color w:val="000000"/>
              </w:rPr>
              <w:t>HJ/T 2.3-93</w:t>
            </w:r>
            <w:r>
              <w:rPr>
                <w:rFonts w:hint="eastAsia"/>
                <w:bCs/>
                <w:color w:val="000000"/>
              </w:rPr>
              <w:t>）中表</w:t>
            </w:r>
            <w:r>
              <w:rPr>
                <w:bCs/>
                <w:color w:val="000000"/>
              </w:rPr>
              <w:t>15</w:t>
            </w:r>
            <w:r>
              <w:rPr>
                <w:rFonts w:hint="eastAsia"/>
                <w:bCs/>
                <w:color w:val="000000"/>
              </w:rPr>
              <w:t>的推荐值，轻工业区的产流系数可取值</w:t>
            </w:r>
            <w:r>
              <w:rPr>
                <w:bCs/>
                <w:color w:val="000000"/>
              </w:rPr>
              <w:t>0.5-0.8</w:t>
            </w:r>
            <w:r>
              <w:rPr>
                <w:rFonts w:hint="eastAsia"/>
                <w:bCs/>
                <w:color w:val="000000"/>
              </w:rPr>
              <w:t>，本项目取平均值</w:t>
            </w:r>
            <w:r>
              <w:rPr>
                <w:bCs/>
                <w:color w:val="000000"/>
              </w:rPr>
              <w:t>0.65</w:t>
            </w:r>
            <w:r>
              <w:rPr>
                <w:rFonts w:hint="eastAsia"/>
                <w:bCs/>
                <w:color w:val="000000"/>
              </w:rPr>
              <w:t>，项目所在区域年平均降雨量为</w:t>
            </w:r>
            <w:r>
              <w:rPr>
                <w:bCs/>
                <w:color w:val="000000"/>
              </w:rPr>
              <w:t>1665mm</w:t>
            </w:r>
            <w:r>
              <w:rPr>
                <w:rFonts w:hint="eastAsia"/>
                <w:bCs/>
                <w:color w:val="000000"/>
              </w:rPr>
              <w:t>，本项目集雨面积为</w:t>
            </w:r>
            <w:r>
              <w:rPr>
                <w:bCs/>
                <w:color w:val="000000"/>
              </w:rPr>
              <w:t>26672.38m</w:t>
            </w:r>
            <w:r>
              <w:rPr>
                <w:bCs/>
                <w:color w:val="000000"/>
                <w:vertAlign w:val="superscript"/>
              </w:rPr>
              <w:t>2</w:t>
            </w:r>
            <w:r>
              <w:rPr>
                <w:rFonts w:hint="eastAsia"/>
                <w:bCs/>
                <w:color w:val="000000"/>
              </w:rPr>
              <w:t>，初期雨水收集时间占降雨时间的值为</w:t>
            </w:r>
            <w:r>
              <w:rPr>
                <w:bCs/>
                <w:color w:val="000000"/>
              </w:rPr>
              <w:t>15/180=0.083</w:t>
            </w:r>
            <w:r>
              <w:rPr>
                <w:rFonts w:hint="eastAsia"/>
                <w:bCs/>
                <w:color w:val="000000"/>
              </w:rPr>
              <w:t>。</w:t>
            </w:r>
          </w:p>
          <w:p>
            <w:pPr>
              <w:adjustRightInd w:val="0"/>
              <w:snapToGrid w:val="0"/>
              <w:spacing w:before="120"/>
              <w:ind w:firstLine="480"/>
              <w:rPr>
                <w:bCs/>
                <w:color w:val="000000"/>
              </w:rPr>
            </w:pPr>
            <w:r>
              <w:rPr>
                <w:rFonts w:hint="eastAsia"/>
                <w:bCs/>
                <w:color w:val="000000"/>
              </w:rPr>
              <w:t>通过计算，本项目的初期雨水排放量约为</w:t>
            </w:r>
            <w:r>
              <w:rPr>
                <w:bCs/>
                <w:color w:val="000000"/>
              </w:rPr>
              <w:t>6.87m</w:t>
            </w:r>
            <w:r>
              <w:rPr>
                <w:bCs/>
                <w:color w:val="000000"/>
                <w:vertAlign w:val="superscript"/>
              </w:rPr>
              <w:t>3</w:t>
            </w:r>
            <w:r>
              <w:rPr>
                <w:bCs/>
                <w:color w:val="000000"/>
              </w:rPr>
              <w:t>/d</w:t>
            </w:r>
            <w:r>
              <w:rPr>
                <w:rFonts w:hint="eastAsia"/>
                <w:bCs/>
                <w:color w:val="000000"/>
              </w:rPr>
              <w:t>（</w:t>
            </w:r>
            <w:r>
              <w:rPr>
                <w:bCs/>
                <w:color w:val="000000"/>
              </w:rPr>
              <w:t>2404.6m</w:t>
            </w:r>
            <w:r>
              <w:rPr>
                <w:bCs/>
                <w:color w:val="000000"/>
                <w:vertAlign w:val="superscript"/>
              </w:rPr>
              <w:t>3</w:t>
            </w:r>
            <w:r>
              <w:rPr>
                <w:bCs/>
                <w:color w:val="000000"/>
              </w:rPr>
              <w:t>/a</w:t>
            </w:r>
            <w:r>
              <w:rPr>
                <w:rFonts w:hint="eastAsia"/>
                <w:bCs/>
                <w:color w:val="000000"/>
              </w:rPr>
              <w:t>），初期雨水主要污染物为</w:t>
            </w:r>
            <w:r>
              <w:rPr>
                <w:bCs/>
                <w:color w:val="000000"/>
              </w:rPr>
              <w:t>COD</w:t>
            </w:r>
            <w:r>
              <w:rPr>
                <w:rFonts w:hint="eastAsia"/>
                <w:bCs/>
                <w:color w:val="000000"/>
              </w:rPr>
              <w:t>、</w:t>
            </w:r>
            <w:r>
              <w:rPr>
                <w:bCs/>
                <w:color w:val="000000"/>
              </w:rPr>
              <w:t>SS</w:t>
            </w:r>
            <w:r>
              <w:rPr>
                <w:rFonts w:hint="eastAsia"/>
                <w:bCs/>
                <w:color w:val="000000"/>
              </w:rPr>
              <w:t>，产生不稳定，且占比很小，本评价从最不利情况考虑，最终以生产废水污染物浓度为基准进行计算。</w:t>
            </w:r>
          </w:p>
          <w:bookmarkEnd w:id="24"/>
          <w:p>
            <w:pPr>
              <w:autoSpaceDE w:val="0"/>
              <w:autoSpaceDN w:val="0"/>
              <w:adjustRightInd w:val="0"/>
              <w:snapToGrid w:val="0"/>
              <w:spacing w:before="240" w:beforeLines="100"/>
              <w:ind w:firstLine="480"/>
              <w:rPr>
                <w:bCs/>
              </w:rPr>
            </w:pPr>
            <w:r>
              <w:rPr>
                <w:bCs/>
              </w:rPr>
              <w:t>（</w:t>
            </w:r>
            <w:r>
              <w:rPr>
                <w:rFonts w:hint="eastAsia"/>
                <w:bCs/>
              </w:rPr>
              <w:t>2</w:t>
            </w:r>
            <w:r>
              <w:rPr>
                <w:bCs/>
              </w:rPr>
              <w:t>）水污染影响减缓措施有效性分析</w:t>
            </w:r>
          </w:p>
          <w:p>
            <w:pPr>
              <w:autoSpaceDE w:val="0"/>
              <w:autoSpaceDN w:val="0"/>
              <w:adjustRightInd w:val="0"/>
              <w:snapToGrid w:val="0"/>
              <w:spacing w:before="120"/>
              <w:ind w:firstLine="480"/>
              <w:rPr>
                <w:bCs/>
              </w:rPr>
            </w:pPr>
            <w:r>
              <w:rPr>
                <w:rFonts w:hint="eastAsia" w:ascii="宋体" w:hAnsi="宋体" w:cs="宋体"/>
                <w:bCs/>
              </w:rPr>
              <w:t>①</w:t>
            </w:r>
            <w:r>
              <w:rPr>
                <w:bCs/>
              </w:rPr>
              <w:t>工艺可行性</w:t>
            </w:r>
          </w:p>
          <w:p>
            <w:pPr>
              <w:adjustRightInd w:val="0"/>
              <w:snapToGrid w:val="0"/>
              <w:spacing w:before="120"/>
              <w:ind w:firstLine="480"/>
              <w:rPr>
                <w:bCs/>
              </w:rPr>
            </w:pPr>
            <w:r>
              <w:rPr>
                <w:rFonts w:hint="eastAsia"/>
                <w:bCs/>
                <w:color w:val="000000"/>
              </w:rPr>
              <w:t>本项目废水治理措施按照《排污许可证申请与核发技术规范</w:t>
            </w:r>
            <w:r>
              <w:rPr>
                <w:bCs/>
                <w:color w:val="000000"/>
              </w:rPr>
              <w:t xml:space="preserve"> </w:t>
            </w:r>
            <w:r>
              <w:rPr>
                <w:rFonts w:hint="eastAsia"/>
                <w:bCs/>
                <w:color w:val="000000"/>
              </w:rPr>
              <w:t>农副食品加工工业—屠宰及肉类加工工业（</w:t>
            </w:r>
            <w:r>
              <w:rPr>
                <w:bCs/>
                <w:color w:val="000000"/>
              </w:rPr>
              <w:t>HJ 860.3</w:t>
            </w:r>
            <w:r>
              <w:rPr>
                <w:rFonts w:hint="eastAsia"/>
                <w:bCs/>
                <w:color w:val="000000"/>
              </w:rPr>
              <w:t>—</w:t>
            </w:r>
            <w:r>
              <w:rPr>
                <w:bCs/>
                <w:color w:val="000000"/>
              </w:rPr>
              <w:t>2018</w:t>
            </w:r>
            <w:r>
              <w:rPr>
                <w:rFonts w:hint="eastAsia"/>
                <w:bCs/>
                <w:color w:val="000000"/>
              </w:rPr>
              <w:t>）》中表</w:t>
            </w:r>
            <w:r>
              <w:rPr>
                <w:bCs/>
                <w:color w:val="000000"/>
              </w:rPr>
              <w:t>7</w:t>
            </w:r>
            <w:r>
              <w:rPr>
                <w:rFonts w:hint="eastAsia"/>
                <w:bCs/>
                <w:color w:val="000000"/>
              </w:rPr>
              <w:t>屠宰及肉类加工工业排污单位废水治理可行技术参照表及《屠宰与肉类加工废水治理工程技术规范》（</w:t>
            </w:r>
            <w:r>
              <w:rPr>
                <w:bCs/>
                <w:color w:val="000000"/>
              </w:rPr>
              <w:t>HJ2004-2010</w:t>
            </w:r>
            <w:r>
              <w:rPr>
                <w:rFonts w:hint="eastAsia"/>
                <w:bCs/>
                <w:color w:val="000000"/>
              </w:rPr>
              <w:t>）做为依据。项目生产废水、生活污水、初期雨水采用“粗格栅</w:t>
            </w:r>
            <w:r>
              <w:rPr>
                <w:bCs/>
                <w:color w:val="000000"/>
              </w:rPr>
              <w:t>+</w:t>
            </w:r>
            <w:r>
              <w:rPr>
                <w:rFonts w:hint="eastAsia"/>
                <w:bCs/>
                <w:color w:val="000000"/>
              </w:rPr>
              <w:t>细格栅</w:t>
            </w:r>
            <w:r>
              <w:rPr>
                <w:bCs/>
                <w:color w:val="000000"/>
              </w:rPr>
              <w:t>+</w:t>
            </w:r>
            <w:r>
              <w:rPr>
                <w:rFonts w:hint="eastAsia"/>
                <w:bCs/>
                <w:color w:val="000000"/>
              </w:rPr>
              <w:t>平流式沉淀池</w:t>
            </w:r>
            <w:r>
              <w:rPr>
                <w:bCs/>
                <w:color w:val="000000"/>
              </w:rPr>
              <w:t>+</w:t>
            </w:r>
            <w:r>
              <w:rPr>
                <w:rFonts w:hint="eastAsia"/>
                <w:bCs/>
                <w:color w:val="000000"/>
              </w:rPr>
              <w:t>平流式隔油池</w:t>
            </w:r>
            <w:r>
              <w:rPr>
                <w:bCs/>
                <w:color w:val="000000"/>
              </w:rPr>
              <w:t>+</w:t>
            </w:r>
            <w:r>
              <w:rPr>
                <w:rFonts w:hint="eastAsia"/>
                <w:bCs/>
                <w:color w:val="000000"/>
              </w:rPr>
              <w:t>加压溶气气浮</w:t>
            </w:r>
            <w:r>
              <w:rPr>
                <w:bCs/>
                <w:color w:val="000000"/>
              </w:rPr>
              <w:t>+</w:t>
            </w:r>
            <w:r>
              <w:rPr>
                <w:rFonts w:hint="eastAsia"/>
                <w:bCs/>
                <w:color w:val="000000"/>
              </w:rPr>
              <w:t>水解酸化</w:t>
            </w:r>
            <w:r>
              <w:rPr>
                <w:bCs/>
                <w:color w:val="000000"/>
              </w:rPr>
              <w:t>+</w:t>
            </w:r>
            <w:r>
              <w:rPr>
                <w:rFonts w:hint="eastAsia"/>
                <w:bCs/>
              </w:rPr>
              <w:t>好氧池+</w:t>
            </w:r>
            <w:r>
              <w:rPr>
                <w:bCs/>
                <w:color w:val="000000"/>
              </w:rPr>
              <w:t>MBR+</w:t>
            </w:r>
            <w:r>
              <w:rPr>
                <w:rFonts w:hint="eastAsia"/>
                <w:bCs/>
                <w:color w:val="000000"/>
              </w:rPr>
              <w:t>消毒池”属于可行技术。</w:t>
            </w:r>
          </w:p>
          <w:p>
            <w:pPr>
              <w:autoSpaceDE w:val="0"/>
              <w:autoSpaceDN w:val="0"/>
              <w:adjustRightInd w:val="0"/>
              <w:snapToGrid w:val="0"/>
              <w:spacing w:before="120"/>
              <w:ind w:firstLine="480"/>
              <w:rPr>
                <w:bCs/>
              </w:rPr>
            </w:pPr>
            <w:r>
              <w:rPr>
                <w:bCs/>
              </w:rPr>
              <w:t>三级化粪池：</w:t>
            </w:r>
          </w:p>
          <w:p>
            <w:pPr>
              <w:adjustRightInd w:val="0"/>
              <w:snapToGrid w:val="0"/>
              <w:spacing w:before="120"/>
              <w:ind w:firstLine="480"/>
              <w:rPr>
                <w:bCs/>
                <w:color w:val="000000"/>
              </w:rPr>
            </w:pPr>
            <w:r>
              <w:rPr>
                <w:rFonts w:hint="eastAsia"/>
                <w:bCs/>
                <w:color w:val="000000"/>
              </w:rPr>
              <w:t>本项目的生活污水，由厂内设置的三级化粪池进行收集预处理，可有效预处理本项目产生的生活污水。本项目三级化粪池设计处理能力</w:t>
            </w:r>
            <w:r>
              <w:rPr>
                <w:bCs/>
                <w:color w:val="000000"/>
              </w:rPr>
              <w:t>为3.5m</w:t>
            </w:r>
            <w:r>
              <w:rPr>
                <w:bCs/>
                <w:color w:val="000000"/>
                <w:vertAlign w:val="superscript"/>
              </w:rPr>
              <w:t>3</w:t>
            </w:r>
            <w:r>
              <w:rPr>
                <w:bCs/>
                <w:color w:val="000000"/>
              </w:rPr>
              <w:t>/d</w:t>
            </w:r>
            <w:r>
              <w:rPr>
                <w:rFonts w:hint="eastAsia"/>
                <w:bCs/>
                <w:color w:val="000000"/>
              </w:rPr>
              <w:t>，有充足容量对本项目生活污水（</w:t>
            </w:r>
            <w:r>
              <w:rPr>
                <w:bCs/>
                <w:color w:val="000000"/>
              </w:rPr>
              <w:t>2.4 m</w:t>
            </w:r>
            <w:r>
              <w:rPr>
                <w:bCs/>
                <w:color w:val="000000"/>
                <w:vertAlign w:val="superscript"/>
              </w:rPr>
              <w:t>3</w:t>
            </w:r>
            <w:r>
              <w:rPr>
                <w:bCs/>
                <w:color w:val="000000"/>
              </w:rPr>
              <w:t>/d</w:t>
            </w:r>
            <w:r>
              <w:rPr>
                <w:rFonts w:hint="eastAsia"/>
                <w:bCs/>
                <w:color w:val="000000"/>
              </w:rPr>
              <w:t>）进行预处理。处理后的生活污水将排入自建污水处理站进行深度处理。</w:t>
            </w:r>
          </w:p>
          <w:p>
            <w:pPr>
              <w:spacing w:before="120"/>
              <w:ind w:firstLine="480"/>
              <w:rPr>
                <w:bCs/>
              </w:rPr>
            </w:pPr>
            <w:r>
              <w:rPr>
                <w:bCs/>
              </w:rPr>
              <w:t>污水处理站工作原理：</w:t>
            </w:r>
          </w:p>
          <w:p>
            <w:pPr>
              <w:pStyle w:val="78"/>
              <w:spacing w:line="360" w:lineRule="auto"/>
              <w:ind w:firstLine="480" w:firstLineChars="200"/>
              <w:jc w:val="both"/>
              <w:rPr>
                <w:bCs/>
                <w:snapToGrid/>
                <w:sz w:val="24"/>
              </w:rPr>
            </w:pPr>
            <w:r>
              <w:rPr>
                <w:rFonts w:hint="eastAsia"/>
                <w:bCs/>
                <w:snapToGrid/>
                <w:sz w:val="24"/>
              </w:rPr>
              <w:t>本项目拟设置污水处理站，处理规模为100m</w:t>
            </w:r>
            <w:r>
              <w:rPr>
                <w:rFonts w:hint="eastAsia"/>
                <w:bCs/>
                <w:snapToGrid/>
                <w:sz w:val="24"/>
                <w:vertAlign w:val="superscript"/>
              </w:rPr>
              <w:t>3</w:t>
            </w:r>
            <w:r>
              <w:rPr>
                <w:rFonts w:hint="eastAsia"/>
                <w:bCs/>
                <w:snapToGrid/>
                <w:sz w:val="24"/>
              </w:rPr>
              <w:t>/d。由于本项目废水中含有较多动物毛发及细小污染物，通过粗细格栅分别拦截去除。同时废水中含有碎肉块、碎牛皮、动物粪便等粗大悬浮物以及浮油、脂肪和SS等污染物质浓度较高，后期会对生物处理系统产生比较大的负荷冲击。因此，本方案选择在生物处理系统前设置物化处理措施，采用“粗格栅+细格栅+平流式沉淀池+平流式隔油池+加压溶气气浮”的方法作为物化处理工艺。生化处理工艺采用“水解酸化+好氧池+MBR”作为生化主体工艺。消毒工艺采用二氧化氯消毒法。综上所述，本项目废水净化处理工艺路线为“粗格栅+细格栅+平流式沉淀池+平流式隔油池+加压溶气气浮+水解酸化+好氧池+MBR+消毒池”。其中MBR是一种由膜分离单元与生物处理单元相结合的新型水处理技术，按照膜的结构可分为平板膜、管状膜和中空纤维膜等，本项目使用的MBR为曝气膜-生物反应器，采用透气性致密膜（如硅橡胶膜）或微孔膜（如疏水性聚合膜），以板式或中空纤维式组件，在保持气体分压低于泡点（BubblePoint）情况下，可实现向生物反应器的无泡曝气。该工艺的特点是提高了接触时间和传氧效率，有利于曝气工艺的合理控制，不受传统曝气中气泡大小和停留时间的因素的影响。污水处理站工艺流程</w:t>
            </w:r>
          </w:p>
          <w:p>
            <w:pPr>
              <w:pStyle w:val="78"/>
              <w:spacing w:line="360" w:lineRule="auto"/>
              <w:jc w:val="both"/>
              <w:rPr>
                <w:bCs/>
                <w:snapToGrid/>
                <w:sz w:val="24"/>
              </w:rPr>
            </w:pPr>
            <w:r>
              <w:rPr>
                <w:rFonts w:hint="eastAsia"/>
                <w:bCs/>
                <w:snapToGrid/>
                <w:sz w:val="24"/>
              </w:rPr>
              <w:t>图如下：</w:t>
            </w:r>
          </w:p>
          <w:p>
            <w:pPr>
              <w:pStyle w:val="78"/>
              <w:spacing w:line="360" w:lineRule="auto"/>
              <w:ind w:firstLine="480" w:firstLineChars="200"/>
              <w:jc w:val="both"/>
              <w:rPr>
                <w:bCs/>
                <w:snapToGrid/>
                <w:sz w:val="24"/>
              </w:rPr>
            </w:pPr>
          </w:p>
          <w:p>
            <w:pPr>
              <w:pStyle w:val="78"/>
              <w:spacing w:line="360" w:lineRule="auto"/>
              <w:ind w:firstLine="420" w:firstLineChars="200"/>
              <w:rPr>
                <w:bCs/>
              </w:rPr>
            </w:pPr>
            <w:r>
              <w:drawing>
                <wp:inline distT="0" distB="0" distL="0" distR="0">
                  <wp:extent cx="3129280" cy="4417695"/>
                  <wp:effectExtent l="0" t="0" r="1397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0"/>
                          <a:stretch>
                            <a:fillRect/>
                          </a:stretch>
                        </pic:blipFill>
                        <pic:spPr>
                          <a:xfrm>
                            <a:off x="0" y="0"/>
                            <a:ext cx="3129280" cy="4417695"/>
                          </a:xfrm>
                          <a:prstGeom prst="rect">
                            <a:avLst/>
                          </a:prstGeom>
                        </pic:spPr>
                      </pic:pic>
                    </a:graphicData>
                  </a:graphic>
                </wp:inline>
              </w:drawing>
            </w:r>
          </w:p>
          <w:p>
            <w:pPr>
              <w:pStyle w:val="17"/>
              <w:spacing w:before="120" w:after="240"/>
              <w:rPr>
                <w:b/>
                <w:bCs w:val="0"/>
              </w:rPr>
            </w:pPr>
            <w:r>
              <w:rPr>
                <w:rFonts w:hint="eastAsia"/>
                <w:b/>
                <w:bCs w:val="0"/>
              </w:rPr>
              <w:t>图4-1</w:t>
            </w:r>
            <w:r>
              <w:rPr>
                <w:b/>
                <w:bCs w:val="0"/>
              </w:rPr>
              <w:t xml:space="preserve">   </w:t>
            </w:r>
            <w:r>
              <w:rPr>
                <w:rFonts w:hint="eastAsia"/>
                <w:b/>
                <w:bCs w:val="0"/>
              </w:rPr>
              <w:t>污水处理站工艺流程图</w:t>
            </w:r>
          </w:p>
          <w:p>
            <w:pPr>
              <w:autoSpaceDE w:val="0"/>
              <w:autoSpaceDN w:val="0"/>
              <w:adjustRightInd w:val="0"/>
              <w:snapToGrid w:val="0"/>
              <w:spacing w:before="120"/>
              <w:ind w:firstLine="480"/>
              <w:rPr>
                <w:bCs/>
              </w:rPr>
            </w:pPr>
            <w:r>
              <w:rPr>
                <w:bCs/>
              </w:rPr>
              <w:t>本项目</w:t>
            </w:r>
            <w:r>
              <w:rPr>
                <w:rFonts w:hint="eastAsia"/>
                <w:bCs/>
              </w:rPr>
              <w:t>屠宰废水</w:t>
            </w:r>
            <w:r>
              <w:rPr>
                <w:bCs/>
              </w:rPr>
              <w:t>经</w:t>
            </w:r>
            <w:r>
              <w:rPr>
                <w:rFonts w:hint="eastAsia"/>
                <w:bCs/>
              </w:rPr>
              <w:t>自建污水处理站</w:t>
            </w:r>
            <w:r>
              <w:rPr>
                <w:bCs/>
              </w:rPr>
              <w:t>处理后，</w:t>
            </w:r>
            <w:r>
              <w:rPr>
                <w:rFonts w:hint="eastAsia"/>
                <w:bCs/>
              </w:rPr>
              <w:t>水质达标情况一览表如下图所示：</w:t>
            </w:r>
          </w:p>
          <w:p>
            <w:pPr>
              <w:spacing w:before="120"/>
              <w:ind w:firstLine="0" w:firstLineChars="0"/>
              <w:jc w:val="center"/>
              <w:rPr>
                <w:b/>
                <w:color w:val="000000"/>
                <w:kern w:val="28"/>
                <w:sz w:val="21"/>
                <w:szCs w:val="32"/>
              </w:rPr>
            </w:pPr>
            <w:r>
              <w:rPr>
                <w:b/>
                <w:color w:val="000000"/>
                <w:kern w:val="28"/>
                <w:sz w:val="21"/>
                <w:szCs w:val="32"/>
              </w:rPr>
              <w:t xml:space="preserve">表4-3 </w:t>
            </w:r>
            <w:r>
              <w:rPr>
                <w:rFonts w:hint="eastAsia"/>
                <w:b/>
                <w:color w:val="000000"/>
                <w:kern w:val="28"/>
                <w:sz w:val="21"/>
                <w:szCs w:val="32"/>
              </w:rPr>
              <w:t>废水产排污情况一览表</w:t>
            </w:r>
          </w:p>
          <w:tbl>
            <w:tblPr>
              <w:tblStyle w:val="22"/>
              <w:tblW w:w="7799" w:type="dxa"/>
              <w:jc w:val="center"/>
              <w:tblLayout w:type="fixed"/>
              <w:tblCellMar>
                <w:top w:w="0" w:type="dxa"/>
                <w:left w:w="108" w:type="dxa"/>
                <w:bottom w:w="0" w:type="dxa"/>
                <w:right w:w="108" w:type="dxa"/>
              </w:tblCellMar>
            </w:tblPr>
            <w:tblGrid>
              <w:gridCol w:w="1113"/>
              <w:gridCol w:w="1115"/>
              <w:gridCol w:w="1114"/>
              <w:gridCol w:w="1114"/>
              <w:gridCol w:w="1114"/>
              <w:gridCol w:w="1114"/>
              <w:gridCol w:w="1115"/>
            </w:tblGrid>
            <w:tr>
              <w:tblPrEx>
                <w:tblCellMar>
                  <w:top w:w="0" w:type="dxa"/>
                  <w:left w:w="108" w:type="dxa"/>
                  <w:bottom w:w="0" w:type="dxa"/>
                  <w:right w:w="108" w:type="dxa"/>
                </w:tblCellMar>
              </w:tblPrEx>
              <w:trPr>
                <w:trHeight w:val="244" w:hRule="atLeast"/>
                <w:jc w:val="center"/>
              </w:trPr>
              <w:tc>
                <w:tcPr>
                  <w:tcW w:w="2228"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污染物</w:t>
                  </w:r>
                </w:p>
              </w:tc>
              <w:tc>
                <w:tcPr>
                  <w:tcW w:w="1114"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CODcr</w:t>
                  </w:r>
                </w:p>
              </w:tc>
              <w:tc>
                <w:tcPr>
                  <w:tcW w:w="1114"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BOD</w:t>
                  </w:r>
                  <w:r>
                    <w:rPr>
                      <w:color w:val="000000"/>
                      <w:sz w:val="21"/>
                      <w:szCs w:val="21"/>
                      <w:vertAlign w:val="subscript"/>
                    </w:rPr>
                    <w:t>5</w:t>
                  </w:r>
                </w:p>
              </w:tc>
              <w:tc>
                <w:tcPr>
                  <w:tcW w:w="1114"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SS</w:t>
                  </w:r>
                </w:p>
              </w:tc>
              <w:tc>
                <w:tcPr>
                  <w:tcW w:w="1114"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1115"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动植物油</w:t>
                  </w:r>
                </w:p>
              </w:tc>
            </w:tr>
            <w:tr>
              <w:tblPrEx>
                <w:tblCellMar>
                  <w:top w:w="0" w:type="dxa"/>
                  <w:left w:w="108" w:type="dxa"/>
                  <w:bottom w:w="0" w:type="dxa"/>
                  <w:right w:w="108" w:type="dxa"/>
                </w:tblCellMar>
              </w:tblPrEx>
              <w:trPr>
                <w:trHeight w:val="470" w:hRule="atLeast"/>
                <w:jc w:val="center"/>
              </w:trPr>
              <w:tc>
                <w:tcPr>
                  <w:tcW w:w="1113"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综合排水</w:t>
                  </w:r>
                  <w:r>
                    <w:rPr>
                      <w:rFonts w:hint="eastAsia"/>
                      <w:color w:val="000000"/>
                      <w:sz w:val="21"/>
                      <w:szCs w:val="21"/>
                    </w:rPr>
                    <w:t>23506.45</w:t>
                  </w:r>
                  <w:r>
                    <w:rPr>
                      <w:color w:val="000000"/>
                      <w:sz w:val="21"/>
                      <w:szCs w:val="21"/>
                    </w:rPr>
                    <w:t>m</w:t>
                  </w:r>
                  <w:r>
                    <w:rPr>
                      <w:color w:val="000000"/>
                      <w:sz w:val="21"/>
                      <w:szCs w:val="21"/>
                      <w:vertAlign w:val="superscript"/>
                    </w:rPr>
                    <w:t>3</w:t>
                  </w:r>
                  <w:r>
                    <w:rPr>
                      <w:color w:val="000000"/>
                      <w:sz w:val="21"/>
                      <w:szCs w:val="21"/>
                    </w:rPr>
                    <w:t>/a</w:t>
                  </w: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产生浓度（</w:t>
                  </w:r>
                  <w:r>
                    <w:rPr>
                      <w:color w:val="000000"/>
                      <w:sz w:val="21"/>
                      <w:szCs w:val="21"/>
                    </w:rPr>
                    <w:t>mg/L</w:t>
                  </w:r>
                  <w:r>
                    <w:rPr>
                      <w:rFonts w:hint="eastAsia" w:cs="宋体"/>
                      <w:color w:val="000000"/>
                      <w:sz w:val="21"/>
                      <w:szCs w:val="21"/>
                    </w:rPr>
                    <w:t>）</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1942.110 </w:t>
                  </w:r>
                </w:p>
              </w:tc>
              <w:tc>
                <w:tcPr>
                  <w:tcW w:w="1114" w:type="dxa"/>
                  <w:tcBorders>
                    <w:top w:val="nil"/>
                    <w:left w:val="nil"/>
                    <w:bottom w:val="nil"/>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971.698 </w:t>
                  </w:r>
                </w:p>
              </w:tc>
              <w:tc>
                <w:tcPr>
                  <w:tcW w:w="1114" w:type="dxa"/>
                  <w:tcBorders>
                    <w:top w:val="nil"/>
                    <w:left w:val="nil"/>
                    <w:bottom w:val="nil"/>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971.698 </w:t>
                  </w:r>
                </w:p>
              </w:tc>
              <w:tc>
                <w:tcPr>
                  <w:tcW w:w="1114" w:type="dxa"/>
                  <w:tcBorders>
                    <w:top w:val="nil"/>
                    <w:left w:val="nil"/>
                    <w:bottom w:val="nil"/>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145.980 </w:t>
                  </w:r>
                </w:p>
              </w:tc>
              <w:tc>
                <w:tcPr>
                  <w:tcW w:w="1115" w:type="dxa"/>
                  <w:tcBorders>
                    <w:top w:val="nil"/>
                    <w:left w:val="nil"/>
                    <w:bottom w:val="nil"/>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193.568 </w:t>
                  </w:r>
                </w:p>
              </w:tc>
            </w:tr>
            <w:tr>
              <w:tblPrEx>
                <w:tblCellMar>
                  <w:top w:w="0" w:type="dxa"/>
                  <w:left w:w="108" w:type="dxa"/>
                  <w:bottom w:w="0" w:type="dxa"/>
                  <w:right w:w="108" w:type="dxa"/>
                </w:tblCellMar>
              </w:tblPrEx>
              <w:trPr>
                <w:trHeight w:val="470" w:hRule="atLeast"/>
                <w:jc w:val="center"/>
              </w:trPr>
              <w:tc>
                <w:tcPr>
                  <w:tcW w:w="1113" w:type="dxa"/>
                  <w:vMerge w:val="continue"/>
                  <w:tcBorders>
                    <w:top w:val="nil"/>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产生量（</w:t>
                  </w:r>
                  <w:r>
                    <w:rPr>
                      <w:color w:val="000000"/>
                      <w:sz w:val="21"/>
                      <w:szCs w:val="21"/>
                    </w:rPr>
                    <w:t>t/a</w:t>
                  </w:r>
                  <w:r>
                    <w:rPr>
                      <w:rFonts w:hint="eastAsia" w:cs="宋体"/>
                      <w:color w:val="000000"/>
                      <w:sz w:val="21"/>
                      <w:szCs w:val="21"/>
                    </w:rPr>
                    <w:t>）</w:t>
                  </w:r>
                </w:p>
              </w:tc>
              <w:tc>
                <w:tcPr>
                  <w:tcW w:w="1114" w:type="dxa"/>
                  <w:tcBorders>
                    <w:top w:val="nil"/>
                    <w:left w:val="nil"/>
                    <w:bottom w:val="single" w:color="auto" w:sz="8" w:space="0"/>
                    <w:right w:val="nil"/>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45.652 </w:t>
                  </w:r>
                </w:p>
              </w:tc>
              <w:tc>
                <w:tcPr>
                  <w:tcW w:w="1114"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22.841 </w:t>
                  </w:r>
                </w:p>
              </w:tc>
              <w:tc>
                <w:tcPr>
                  <w:tcW w:w="1114"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22.841 </w:t>
                  </w:r>
                </w:p>
              </w:tc>
              <w:tc>
                <w:tcPr>
                  <w:tcW w:w="1114"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3.431</w:t>
                  </w:r>
                </w:p>
              </w:tc>
              <w:tc>
                <w:tcPr>
                  <w:tcW w:w="1115"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4.550 </w:t>
                  </w:r>
                </w:p>
              </w:tc>
            </w:tr>
            <w:tr>
              <w:tblPrEx>
                <w:tblCellMar>
                  <w:top w:w="0" w:type="dxa"/>
                  <w:left w:w="108" w:type="dxa"/>
                  <w:bottom w:w="0" w:type="dxa"/>
                  <w:right w:w="108" w:type="dxa"/>
                </w:tblCellMar>
              </w:tblPrEx>
              <w:trPr>
                <w:trHeight w:val="470" w:hRule="atLeast"/>
                <w:jc w:val="center"/>
              </w:trPr>
              <w:tc>
                <w:tcPr>
                  <w:tcW w:w="1113" w:type="dxa"/>
                  <w:vMerge w:val="continue"/>
                  <w:tcBorders>
                    <w:top w:val="nil"/>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治理措施</w:t>
                  </w:r>
                </w:p>
              </w:tc>
              <w:tc>
                <w:tcPr>
                  <w:tcW w:w="5571" w:type="dxa"/>
                  <w:gridSpan w:val="5"/>
                  <w:tcBorders>
                    <w:top w:val="single" w:color="auto" w:sz="8" w:space="0"/>
                    <w:left w:val="nil"/>
                    <w:bottom w:val="single" w:color="auto" w:sz="8" w:space="0"/>
                    <w:right w:val="single" w:color="000000"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粗格栅</w:t>
                  </w:r>
                  <w:r>
                    <w:rPr>
                      <w:color w:val="000000"/>
                      <w:sz w:val="21"/>
                      <w:szCs w:val="21"/>
                    </w:rPr>
                    <w:t>+</w:t>
                  </w:r>
                  <w:r>
                    <w:rPr>
                      <w:rFonts w:hint="eastAsia"/>
                      <w:color w:val="000000"/>
                      <w:sz w:val="21"/>
                      <w:szCs w:val="21"/>
                    </w:rPr>
                    <w:t>细格栅</w:t>
                  </w:r>
                  <w:r>
                    <w:rPr>
                      <w:color w:val="000000"/>
                      <w:sz w:val="21"/>
                      <w:szCs w:val="21"/>
                    </w:rPr>
                    <w:t>+</w:t>
                  </w:r>
                  <w:r>
                    <w:rPr>
                      <w:rFonts w:hint="eastAsia"/>
                      <w:color w:val="000000"/>
                      <w:sz w:val="21"/>
                      <w:szCs w:val="21"/>
                    </w:rPr>
                    <w:t>平流式沉淀池</w:t>
                  </w:r>
                  <w:r>
                    <w:rPr>
                      <w:color w:val="000000"/>
                      <w:sz w:val="21"/>
                      <w:szCs w:val="21"/>
                    </w:rPr>
                    <w:t>+</w:t>
                  </w:r>
                  <w:r>
                    <w:rPr>
                      <w:rFonts w:hint="eastAsia"/>
                      <w:color w:val="000000"/>
                      <w:sz w:val="21"/>
                      <w:szCs w:val="21"/>
                    </w:rPr>
                    <w:t>平流式隔油池</w:t>
                  </w:r>
                  <w:r>
                    <w:rPr>
                      <w:color w:val="000000"/>
                      <w:sz w:val="21"/>
                      <w:szCs w:val="21"/>
                    </w:rPr>
                    <w:t>+</w:t>
                  </w:r>
                  <w:r>
                    <w:rPr>
                      <w:rFonts w:hint="eastAsia"/>
                      <w:color w:val="000000"/>
                      <w:sz w:val="21"/>
                      <w:szCs w:val="21"/>
                    </w:rPr>
                    <w:t>加压溶气气浮</w:t>
                  </w:r>
                  <w:r>
                    <w:rPr>
                      <w:color w:val="000000"/>
                      <w:sz w:val="21"/>
                      <w:szCs w:val="21"/>
                    </w:rPr>
                    <w:t>+</w:t>
                  </w:r>
                  <w:r>
                    <w:rPr>
                      <w:rFonts w:hint="eastAsia"/>
                      <w:color w:val="000000"/>
                      <w:sz w:val="21"/>
                      <w:szCs w:val="21"/>
                    </w:rPr>
                    <w:t>水解酸化</w:t>
                  </w:r>
                  <w:r>
                    <w:rPr>
                      <w:color w:val="000000"/>
                      <w:sz w:val="21"/>
                      <w:szCs w:val="21"/>
                    </w:rPr>
                    <w:t>+</w:t>
                  </w:r>
                  <w:r>
                    <w:rPr>
                      <w:rFonts w:hint="eastAsia"/>
                      <w:color w:val="000000"/>
                      <w:sz w:val="21"/>
                      <w:szCs w:val="21"/>
                    </w:rPr>
                    <w:t>好氧池</w:t>
                  </w:r>
                  <w:r>
                    <w:rPr>
                      <w:color w:val="000000"/>
                      <w:sz w:val="21"/>
                      <w:szCs w:val="21"/>
                    </w:rPr>
                    <w:t>+MBR+</w:t>
                  </w:r>
                  <w:r>
                    <w:rPr>
                      <w:rFonts w:hint="eastAsia"/>
                      <w:color w:val="000000"/>
                      <w:sz w:val="21"/>
                      <w:szCs w:val="21"/>
                    </w:rPr>
                    <w:t>消毒池</w:t>
                  </w:r>
                </w:p>
              </w:tc>
            </w:tr>
            <w:tr>
              <w:trPr>
                <w:trHeight w:val="470" w:hRule="atLeast"/>
                <w:jc w:val="center"/>
              </w:trPr>
              <w:tc>
                <w:tcPr>
                  <w:tcW w:w="1113" w:type="dxa"/>
                  <w:vMerge w:val="continue"/>
                  <w:tcBorders>
                    <w:top w:val="nil"/>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排放浓度（</w:t>
                  </w:r>
                  <w:r>
                    <w:rPr>
                      <w:color w:val="000000"/>
                      <w:sz w:val="21"/>
                      <w:szCs w:val="21"/>
                    </w:rPr>
                    <w:t>mg/L</w:t>
                  </w:r>
                  <w:r>
                    <w:rPr>
                      <w:rFonts w:hint="eastAsia" w:cs="宋体"/>
                      <w:color w:val="000000"/>
                      <w:sz w:val="21"/>
                      <w:szCs w:val="21"/>
                    </w:rPr>
                    <w:t>）</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120</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60</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120</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2</w:t>
                  </w:r>
                  <w:r>
                    <w:rPr>
                      <w:color w:val="000000"/>
                      <w:sz w:val="21"/>
                      <w:szCs w:val="21"/>
                    </w:rPr>
                    <w:t>5</w:t>
                  </w: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2</w:t>
                  </w:r>
                  <w:r>
                    <w:rPr>
                      <w:rFonts w:hint="eastAsia"/>
                      <w:color w:val="000000"/>
                      <w:sz w:val="21"/>
                      <w:szCs w:val="21"/>
                    </w:rPr>
                    <w:t>0</w:t>
                  </w:r>
                </w:p>
              </w:tc>
            </w:tr>
            <w:tr>
              <w:tblPrEx>
                <w:tblCellMar>
                  <w:top w:w="0" w:type="dxa"/>
                  <w:left w:w="108" w:type="dxa"/>
                  <w:bottom w:w="0" w:type="dxa"/>
                  <w:right w:w="108" w:type="dxa"/>
                </w:tblCellMar>
              </w:tblPrEx>
              <w:trPr>
                <w:trHeight w:val="470" w:hRule="atLeast"/>
                <w:jc w:val="center"/>
              </w:trPr>
              <w:tc>
                <w:tcPr>
                  <w:tcW w:w="1113" w:type="dxa"/>
                  <w:vMerge w:val="continue"/>
                  <w:tcBorders>
                    <w:top w:val="nil"/>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排放量（</w:t>
                  </w:r>
                  <w:r>
                    <w:rPr>
                      <w:color w:val="000000"/>
                      <w:sz w:val="21"/>
                      <w:szCs w:val="21"/>
                    </w:rPr>
                    <w:t>t/a</w:t>
                  </w:r>
                  <w:r>
                    <w:rPr>
                      <w:rFonts w:hint="eastAsia" w:cs="宋体"/>
                      <w:color w:val="000000"/>
                      <w:sz w:val="21"/>
                      <w:szCs w:val="21"/>
                    </w:rPr>
                    <w:t>）</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2.821 </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1.410 </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2.821 </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0.588 </w:t>
                  </w: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 xml:space="preserve">0.470 </w:t>
                  </w:r>
                </w:p>
              </w:tc>
            </w:tr>
            <w:tr>
              <w:tblPrEx>
                <w:tblCellMar>
                  <w:top w:w="0" w:type="dxa"/>
                  <w:left w:w="108" w:type="dxa"/>
                  <w:bottom w:w="0" w:type="dxa"/>
                  <w:right w:w="108" w:type="dxa"/>
                </w:tblCellMar>
              </w:tblPrEx>
              <w:trPr>
                <w:trHeight w:val="260" w:hRule="atLeast"/>
                <w:jc w:val="center"/>
              </w:trPr>
              <w:tc>
                <w:tcPr>
                  <w:tcW w:w="2228"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排放标准</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120</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60</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w:t>
                  </w:r>
                </w:p>
              </w:tc>
              <w:tc>
                <w:tcPr>
                  <w:tcW w:w="1114"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25</w:t>
                  </w:r>
                </w:p>
              </w:tc>
              <w:tc>
                <w:tcPr>
                  <w:tcW w:w="111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w:t>
                  </w:r>
                </w:p>
              </w:tc>
            </w:tr>
          </w:tbl>
          <w:p>
            <w:pPr>
              <w:autoSpaceDE w:val="0"/>
              <w:autoSpaceDN w:val="0"/>
              <w:adjustRightInd w:val="0"/>
              <w:snapToGrid w:val="0"/>
              <w:spacing w:before="120"/>
              <w:ind w:firstLine="480"/>
              <w:rPr>
                <w:bCs/>
              </w:rPr>
            </w:pPr>
            <w:r>
              <w:rPr>
                <w:rFonts w:hint="eastAsia"/>
                <w:bCs/>
              </w:rPr>
              <w:t>根据上表可知，本项目生产废水、生活污水经自建污水站处理后达到《肉类加工工业水污染物排放标准》（GB13457-92）表3规定的畜类屠宰加工二级标准，可回用于厂区及</w:t>
            </w:r>
            <w:r>
              <w:rPr>
                <w:rFonts w:hint="eastAsia"/>
              </w:rPr>
              <w:t>周边林地浇灌</w:t>
            </w:r>
            <w:r>
              <w:rPr>
                <w:rFonts w:hint="eastAsia"/>
                <w:bCs/>
              </w:rPr>
              <w:t>。</w:t>
            </w:r>
          </w:p>
          <w:p>
            <w:pPr>
              <w:autoSpaceDE w:val="0"/>
              <w:autoSpaceDN w:val="0"/>
              <w:adjustRightInd w:val="0"/>
              <w:snapToGrid w:val="0"/>
              <w:spacing w:before="120"/>
              <w:ind w:firstLine="480"/>
              <w:rPr>
                <w:bCs/>
              </w:rPr>
            </w:pPr>
            <w:r>
              <w:rPr>
                <w:rFonts w:hint="eastAsia" w:ascii="宋体" w:hAnsi="宋体" w:cs="宋体"/>
                <w:bCs/>
              </w:rPr>
              <w:t>②</w:t>
            </w:r>
            <w:r>
              <w:rPr>
                <w:bCs/>
              </w:rPr>
              <w:t>处理水量可行性</w:t>
            </w:r>
          </w:p>
          <w:p>
            <w:pPr>
              <w:autoSpaceDE w:val="0"/>
              <w:autoSpaceDN w:val="0"/>
              <w:adjustRightInd w:val="0"/>
              <w:snapToGrid w:val="0"/>
              <w:spacing w:before="120"/>
              <w:ind w:firstLine="480"/>
              <w:rPr>
                <w:bCs/>
              </w:rPr>
            </w:pPr>
            <w:r>
              <w:rPr>
                <w:bCs/>
              </w:rPr>
              <w:t>项目自建污水处理站后，年处理</w:t>
            </w:r>
            <w:r>
              <w:rPr>
                <w:rFonts w:hint="eastAsia"/>
                <w:bCs/>
              </w:rPr>
              <w:t>生产废水、生活污水、初期雨水合计23506.45</w:t>
            </w:r>
            <w:r>
              <w:rPr>
                <w:bCs/>
              </w:rPr>
              <w:t xml:space="preserve"> m</w:t>
            </w:r>
            <w:r>
              <w:rPr>
                <w:bCs/>
                <w:vertAlign w:val="superscript"/>
              </w:rPr>
              <w:t>3</w:t>
            </w:r>
            <w:r>
              <w:rPr>
                <w:bCs/>
              </w:rPr>
              <w:t>/a</w:t>
            </w:r>
            <w:r>
              <w:rPr>
                <w:rFonts w:hint="eastAsia"/>
                <w:bCs/>
              </w:rPr>
              <w:t>。本项目污水处理站处理规模为100m</w:t>
            </w:r>
            <w:r>
              <w:rPr>
                <w:bCs/>
                <w:vertAlign w:val="superscript"/>
              </w:rPr>
              <w:t>3</w:t>
            </w:r>
            <w:r>
              <w:rPr>
                <w:rFonts w:hint="eastAsia"/>
                <w:bCs/>
              </w:rPr>
              <w:t>/d，满足生产废水、生活污水处理量。</w:t>
            </w:r>
          </w:p>
          <w:p>
            <w:pPr>
              <w:autoSpaceDE w:val="0"/>
              <w:autoSpaceDN w:val="0"/>
              <w:adjustRightInd w:val="0"/>
              <w:snapToGrid w:val="0"/>
              <w:spacing w:before="120"/>
              <w:ind w:firstLine="480"/>
              <w:rPr>
                <w:bCs/>
              </w:rPr>
            </w:pPr>
            <w:r>
              <w:rPr>
                <w:rFonts w:hint="eastAsia"/>
                <w:bCs/>
              </w:rPr>
              <w:t>企业蓄水池容积约为1000</w:t>
            </w:r>
            <w:r>
              <w:rPr>
                <w:bCs/>
              </w:rPr>
              <w:t>m</w:t>
            </w:r>
            <w:r>
              <w:rPr>
                <w:bCs/>
                <w:vertAlign w:val="superscript"/>
              </w:rPr>
              <w:t>3</w:t>
            </w:r>
            <w:r>
              <w:rPr>
                <w:rFonts w:hint="eastAsia"/>
                <w:bCs/>
              </w:rPr>
              <w:t>，在下雨期较长，无需浇灌时间较长的情况下，蓄水池容积能满足生产废水、生活污水量和的初期雨水量的存放。</w:t>
            </w:r>
          </w:p>
          <w:p>
            <w:pPr>
              <w:autoSpaceDE w:val="0"/>
              <w:autoSpaceDN w:val="0"/>
              <w:adjustRightInd w:val="0"/>
              <w:snapToGrid w:val="0"/>
              <w:spacing w:before="120"/>
              <w:ind w:firstLine="480"/>
              <w:rPr>
                <w:bCs/>
              </w:rPr>
            </w:pPr>
            <w:r>
              <w:rPr>
                <w:bCs/>
              </w:rPr>
              <w:t>参考</w:t>
            </w:r>
            <w:r>
              <w:rPr>
                <w:rFonts w:hint="eastAsia"/>
                <w:bCs/>
              </w:rPr>
              <w:t>广东《用水定额第1部分：农业》（DB44/T 1461.1-2021）表A.3果树灌溉用水定额表中柑橘类种植GFQ3成年树地面灌通用值（183m</w:t>
            </w:r>
            <w:r>
              <w:rPr>
                <w:rFonts w:hint="eastAsia"/>
                <w:bCs/>
                <w:vertAlign w:val="superscript"/>
              </w:rPr>
              <w:t>3</w:t>
            </w:r>
            <w:r>
              <w:rPr>
                <w:rFonts w:hint="eastAsia"/>
                <w:bCs/>
              </w:rPr>
              <w:t>/（亩•造）</w:t>
            </w:r>
            <w:r>
              <w:rPr>
                <w:bCs/>
              </w:rPr>
              <w:t>，本项目</w:t>
            </w:r>
            <w:r>
              <w:rPr>
                <w:rFonts w:hint="eastAsia"/>
                <w:bCs/>
              </w:rPr>
              <w:t>综合排水量（23506.45</w:t>
            </w:r>
            <w:r>
              <w:rPr>
                <w:bCs/>
              </w:rPr>
              <w:t>m</w:t>
            </w:r>
            <w:r>
              <w:rPr>
                <w:bCs/>
                <w:vertAlign w:val="superscript"/>
              </w:rPr>
              <w:t>3</w:t>
            </w:r>
            <w:r>
              <w:rPr>
                <w:bCs/>
              </w:rPr>
              <w:t>/a</w:t>
            </w:r>
            <w:r>
              <w:rPr>
                <w:rFonts w:hint="eastAsia"/>
                <w:bCs/>
              </w:rPr>
              <w:t>）</w:t>
            </w:r>
            <w:r>
              <w:rPr>
                <w:bCs/>
              </w:rPr>
              <w:t>需</w:t>
            </w:r>
            <w:r>
              <w:rPr>
                <w:rFonts w:hint="eastAsia"/>
                <w:bCs/>
              </w:rPr>
              <w:t>要约</w:t>
            </w:r>
            <w:r>
              <w:rPr>
                <w:bCs/>
              </w:rPr>
              <w:t>128亩树林绿化面积。根据企业提供的</w:t>
            </w:r>
            <w:r>
              <w:rPr>
                <w:rFonts w:hint="eastAsia"/>
                <w:color w:val="000000" w:themeColor="text1"/>
                <w14:textFill>
                  <w14:solidFill>
                    <w14:schemeClr w14:val="tx1"/>
                  </w14:solidFill>
                </w14:textFill>
              </w:rPr>
              <w:t>消纳用地协议书</w:t>
            </w:r>
            <w:r>
              <w:rPr>
                <w:bCs/>
              </w:rPr>
              <w:t>（附件3）可知，</w:t>
            </w:r>
            <w:r>
              <w:rPr>
                <w:rFonts w:hint="eastAsia"/>
                <w:bCs/>
              </w:rPr>
              <w:t>林地浇灌面积为</w:t>
            </w:r>
            <w:r>
              <w:rPr>
                <w:bCs/>
              </w:rPr>
              <w:t>250</w:t>
            </w:r>
            <w:r>
              <w:rPr>
                <w:rFonts w:hint="eastAsia"/>
                <w:bCs/>
              </w:rPr>
              <w:t>亩，企业租赁树林面积为250亩，能满足本项目废水排放量要求。</w:t>
            </w:r>
          </w:p>
          <w:p>
            <w:pPr>
              <w:autoSpaceDE w:val="0"/>
              <w:autoSpaceDN w:val="0"/>
              <w:adjustRightInd w:val="0"/>
              <w:snapToGrid w:val="0"/>
              <w:spacing w:before="120"/>
              <w:ind w:firstLine="480"/>
              <w:rPr>
                <w:bCs/>
              </w:rPr>
            </w:pPr>
            <w:r>
              <w:rPr>
                <w:bCs/>
              </w:rPr>
              <w:t>（4）废水环境影响分析结论</w:t>
            </w:r>
          </w:p>
          <w:p>
            <w:pPr>
              <w:autoSpaceDE w:val="0"/>
              <w:autoSpaceDN w:val="0"/>
              <w:adjustRightInd w:val="0"/>
              <w:snapToGrid w:val="0"/>
              <w:spacing w:before="120"/>
              <w:ind w:firstLine="480"/>
              <w:rPr>
                <w:bCs/>
              </w:rPr>
            </w:pPr>
            <w:r>
              <w:rPr>
                <w:bCs/>
              </w:rPr>
              <w:t>本项目水污染控制和水环境影响减缓措施有效，项目</w:t>
            </w:r>
            <w:r>
              <w:rPr>
                <w:rFonts w:hint="eastAsia"/>
                <w:bCs/>
              </w:rPr>
              <w:t>经三级化粪池处理后的</w:t>
            </w:r>
            <w:r>
              <w:rPr>
                <w:bCs/>
              </w:rPr>
              <w:t>生活污水</w:t>
            </w:r>
            <w:r>
              <w:rPr>
                <w:rFonts w:hint="eastAsia"/>
                <w:bCs/>
              </w:rPr>
              <w:t>、</w:t>
            </w:r>
            <w:r>
              <w:rPr>
                <w:bCs/>
              </w:rPr>
              <w:t>生产废水</w:t>
            </w:r>
            <w:r>
              <w:rPr>
                <w:rFonts w:hint="eastAsia"/>
                <w:bCs/>
              </w:rPr>
              <w:t>及初期雨水经自建污水处理站处理后</w:t>
            </w:r>
            <w:r>
              <w:rPr>
                <w:bCs/>
              </w:rPr>
              <w:t>一同排入厂区蓄水池。排入厂内蓄水池的</w:t>
            </w:r>
            <w:r>
              <w:rPr>
                <w:rFonts w:hint="eastAsia"/>
                <w:bCs/>
              </w:rPr>
              <w:t>生产废水、生活污水、初期雨水</w:t>
            </w:r>
            <w:r>
              <w:rPr>
                <w:bCs/>
              </w:rPr>
              <w:t>排水满足</w:t>
            </w:r>
            <w:r>
              <w:rPr>
                <w:rFonts w:hint="eastAsia"/>
                <w:bCs/>
              </w:rPr>
              <w:t>《肉类加工工业水污染物排放标准》（GB13457-92）表3规定的畜类屠宰加工二级标准</w:t>
            </w:r>
            <w:r>
              <w:rPr>
                <w:bCs/>
              </w:rPr>
              <w:t>，并全部用于厂区及</w:t>
            </w:r>
            <w:r>
              <w:rPr>
                <w:rFonts w:hint="eastAsia"/>
                <w:bCs/>
              </w:rPr>
              <w:t>消纳协议所属林地</w:t>
            </w:r>
            <w:r>
              <w:rPr>
                <w:bCs/>
              </w:rPr>
              <w:t>绿化，</w:t>
            </w:r>
            <w:r>
              <w:rPr>
                <w:rFonts w:hint="eastAsia"/>
                <w:bCs/>
              </w:rPr>
              <w:t>不外排。</w:t>
            </w:r>
          </w:p>
          <w:p>
            <w:pPr>
              <w:spacing w:before="120"/>
              <w:ind w:firstLine="480" w:firstLineChars="0"/>
              <w:jc w:val="center"/>
              <w:rPr>
                <w:b/>
                <w:color w:val="000000"/>
                <w:kern w:val="28"/>
                <w:sz w:val="21"/>
                <w:szCs w:val="32"/>
              </w:rPr>
            </w:pPr>
            <w:r>
              <w:rPr>
                <w:b/>
                <w:color w:val="000000"/>
                <w:kern w:val="28"/>
                <w:sz w:val="21"/>
                <w:szCs w:val="32"/>
              </w:rPr>
              <w:t>表4-4  废水类别、污染物及治理设施信息表</w:t>
            </w:r>
          </w:p>
          <w:tbl>
            <w:tblPr>
              <w:tblStyle w:val="22"/>
              <w:tblW w:w="8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183"/>
              <w:gridCol w:w="939"/>
              <w:gridCol w:w="1276"/>
              <w:gridCol w:w="713"/>
              <w:gridCol w:w="1132"/>
              <w:gridCol w:w="793"/>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8"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废水类别</w:t>
                  </w:r>
                </w:p>
              </w:tc>
              <w:tc>
                <w:tcPr>
                  <w:tcW w:w="1183"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污染物种类</w:t>
                  </w:r>
                </w:p>
              </w:tc>
              <w:tc>
                <w:tcPr>
                  <w:tcW w:w="939"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排放去向</w:t>
                  </w:r>
                </w:p>
              </w:tc>
              <w:tc>
                <w:tcPr>
                  <w:tcW w:w="1276"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排放规律</w:t>
                  </w:r>
                </w:p>
              </w:tc>
              <w:tc>
                <w:tcPr>
                  <w:tcW w:w="2638" w:type="dxa"/>
                  <w:gridSpan w:val="3"/>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污染治理设施</w:t>
                  </w:r>
                </w:p>
              </w:tc>
              <w:tc>
                <w:tcPr>
                  <w:tcW w:w="1141"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排放口设置是否符合要求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38" w:type="dxa"/>
                  <w:vMerge w:val="continue"/>
                  <w:shd w:val="clear" w:color="auto" w:fill="auto"/>
                  <w:vAlign w:val="center"/>
                </w:tcPr>
                <w:p>
                  <w:pPr>
                    <w:pStyle w:val="92"/>
                    <w:spacing w:line="240" w:lineRule="auto"/>
                    <w:ind w:firstLine="0" w:firstLineChars="0"/>
                    <w:jc w:val="center"/>
                    <w:rPr>
                      <w:rFonts w:cs="Times New Roman"/>
                      <w:bCs/>
                      <w:color w:val="000000"/>
                      <w:sz w:val="21"/>
                      <w:szCs w:val="21"/>
                    </w:rPr>
                  </w:pPr>
                </w:p>
              </w:tc>
              <w:tc>
                <w:tcPr>
                  <w:tcW w:w="1183" w:type="dxa"/>
                  <w:vMerge w:val="continue"/>
                  <w:shd w:val="clear" w:color="auto" w:fill="auto"/>
                  <w:vAlign w:val="center"/>
                </w:tcPr>
                <w:p>
                  <w:pPr>
                    <w:pStyle w:val="92"/>
                    <w:spacing w:line="240" w:lineRule="auto"/>
                    <w:ind w:firstLine="0" w:firstLineChars="0"/>
                    <w:jc w:val="center"/>
                    <w:rPr>
                      <w:rFonts w:cs="Times New Roman"/>
                      <w:bCs/>
                      <w:color w:val="000000"/>
                      <w:sz w:val="21"/>
                      <w:szCs w:val="21"/>
                    </w:rPr>
                  </w:pPr>
                </w:p>
              </w:tc>
              <w:tc>
                <w:tcPr>
                  <w:tcW w:w="939" w:type="dxa"/>
                  <w:vMerge w:val="continue"/>
                  <w:shd w:val="clear" w:color="auto" w:fill="auto"/>
                  <w:vAlign w:val="center"/>
                </w:tcPr>
                <w:p>
                  <w:pPr>
                    <w:pStyle w:val="92"/>
                    <w:spacing w:line="240" w:lineRule="auto"/>
                    <w:ind w:firstLine="0" w:firstLineChars="0"/>
                    <w:jc w:val="center"/>
                    <w:rPr>
                      <w:rFonts w:cs="Times New Roman"/>
                      <w:bCs/>
                      <w:color w:val="000000"/>
                      <w:sz w:val="21"/>
                      <w:szCs w:val="21"/>
                    </w:rPr>
                  </w:pPr>
                </w:p>
              </w:tc>
              <w:tc>
                <w:tcPr>
                  <w:tcW w:w="1276" w:type="dxa"/>
                  <w:vMerge w:val="continue"/>
                  <w:shd w:val="clear" w:color="auto" w:fill="auto"/>
                  <w:vAlign w:val="center"/>
                </w:tcPr>
                <w:p>
                  <w:pPr>
                    <w:pStyle w:val="92"/>
                    <w:spacing w:line="240" w:lineRule="auto"/>
                    <w:ind w:firstLine="0" w:firstLineChars="0"/>
                    <w:jc w:val="center"/>
                    <w:rPr>
                      <w:rFonts w:cs="Times New Roman"/>
                      <w:bCs/>
                      <w:color w:val="000000"/>
                      <w:sz w:val="21"/>
                      <w:szCs w:val="21"/>
                    </w:rPr>
                  </w:pPr>
                </w:p>
              </w:tc>
              <w:tc>
                <w:tcPr>
                  <w:tcW w:w="713"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设施编号</w:t>
                  </w:r>
                </w:p>
              </w:tc>
              <w:tc>
                <w:tcPr>
                  <w:tcW w:w="1132"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设施名称</w:t>
                  </w:r>
                </w:p>
              </w:tc>
              <w:tc>
                <w:tcPr>
                  <w:tcW w:w="793"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设施工艺</w:t>
                  </w:r>
                </w:p>
              </w:tc>
              <w:tc>
                <w:tcPr>
                  <w:tcW w:w="1141" w:type="dxa"/>
                  <w:vMerge w:val="continue"/>
                  <w:shd w:val="clear" w:color="auto" w:fill="auto"/>
                  <w:vAlign w:val="center"/>
                </w:tcPr>
                <w:p>
                  <w:pPr>
                    <w:pStyle w:val="92"/>
                    <w:spacing w:line="240" w:lineRule="auto"/>
                    <w:ind w:firstLine="0" w:firstLineChars="0"/>
                    <w:jc w:val="center"/>
                    <w:rPr>
                      <w:rFonts w:cs="Times New Roman"/>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838"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生活污水</w:t>
                  </w:r>
                </w:p>
              </w:tc>
              <w:tc>
                <w:tcPr>
                  <w:tcW w:w="1183"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CODcr、BOD</w:t>
                  </w:r>
                  <w:r>
                    <w:rPr>
                      <w:rFonts w:cs="Times New Roman"/>
                      <w:bCs/>
                      <w:color w:val="000000"/>
                      <w:sz w:val="21"/>
                      <w:szCs w:val="21"/>
                      <w:vertAlign w:val="subscript"/>
                    </w:rPr>
                    <w:t>5</w:t>
                  </w:r>
                  <w:r>
                    <w:rPr>
                      <w:rFonts w:cs="Times New Roman"/>
                      <w:bCs/>
                      <w:color w:val="000000"/>
                      <w:sz w:val="21"/>
                      <w:szCs w:val="21"/>
                    </w:rPr>
                    <w:t>、氨氮、SS、动植物油</w:t>
                  </w:r>
                </w:p>
              </w:tc>
              <w:tc>
                <w:tcPr>
                  <w:tcW w:w="939"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进入厂内蓄水池，全部</w:t>
                  </w:r>
                  <w:r>
                    <w:rPr>
                      <w:rFonts w:hint="eastAsia" w:cs="Times New Roman"/>
                      <w:bCs/>
                      <w:color w:val="000000"/>
                      <w:sz w:val="21"/>
                      <w:szCs w:val="21"/>
                    </w:rPr>
                    <w:t>用于</w:t>
                  </w:r>
                  <w:r>
                    <w:rPr>
                      <w:rFonts w:cs="Times New Roman"/>
                      <w:bCs/>
                      <w:color w:val="000000"/>
                      <w:sz w:val="21"/>
                      <w:szCs w:val="21"/>
                    </w:rPr>
                    <w:t>厂区及</w:t>
                  </w:r>
                  <w:r>
                    <w:rPr>
                      <w:rFonts w:hint="eastAsia" w:cs="Times New Roman"/>
                      <w:bCs/>
                      <w:color w:val="000000"/>
                      <w:sz w:val="21"/>
                      <w:szCs w:val="21"/>
                    </w:rPr>
                    <w:t>消纳协议所属林地</w:t>
                  </w:r>
                  <w:r>
                    <w:rPr>
                      <w:rFonts w:cs="Times New Roman"/>
                      <w:bCs/>
                      <w:color w:val="000000"/>
                      <w:sz w:val="21"/>
                      <w:szCs w:val="21"/>
                    </w:rPr>
                    <w:t>绿化</w:t>
                  </w:r>
                </w:p>
              </w:tc>
              <w:tc>
                <w:tcPr>
                  <w:tcW w:w="1276"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连续排放，流量稳定</w:t>
                  </w:r>
                </w:p>
              </w:tc>
              <w:tc>
                <w:tcPr>
                  <w:tcW w:w="713"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TA001</w:t>
                  </w:r>
                </w:p>
                <w:p>
                  <w:pPr>
                    <w:pStyle w:val="92"/>
                    <w:spacing w:line="240" w:lineRule="auto"/>
                    <w:ind w:firstLine="0" w:firstLineChars="0"/>
                    <w:jc w:val="center"/>
                    <w:rPr>
                      <w:rFonts w:cs="Times New Roman"/>
                      <w:bCs/>
                      <w:color w:val="000000"/>
                      <w:sz w:val="21"/>
                      <w:szCs w:val="21"/>
                    </w:rPr>
                  </w:pPr>
                </w:p>
              </w:tc>
              <w:tc>
                <w:tcPr>
                  <w:tcW w:w="1132"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三级化粪池+自建污水处理站</w:t>
                  </w:r>
                </w:p>
              </w:tc>
              <w:tc>
                <w:tcPr>
                  <w:tcW w:w="793"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物理</w:t>
                  </w:r>
                  <w:r>
                    <w:rPr>
                      <w:rFonts w:hint="eastAsia" w:cs="Times New Roman"/>
                      <w:bCs/>
                      <w:color w:val="000000"/>
                      <w:sz w:val="21"/>
                      <w:szCs w:val="21"/>
                    </w:rPr>
                    <w:t>化学</w:t>
                  </w:r>
                  <w:r>
                    <w:rPr>
                      <w:rFonts w:cs="Times New Roman"/>
                      <w:bCs/>
                      <w:color w:val="000000"/>
                      <w:sz w:val="21"/>
                      <w:szCs w:val="21"/>
                    </w:rPr>
                    <w:t>+生物</w:t>
                  </w:r>
                </w:p>
              </w:tc>
              <w:tc>
                <w:tcPr>
                  <w:tcW w:w="1141" w:type="dxa"/>
                  <w:vMerge w:val="restart"/>
                  <w:shd w:val="clear" w:color="auto" w:fill="auto"/>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本项目不设废水排放口，出水回用浇灌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838"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生产废水</w:t>
                  </w:r>
                  <w:r>
                    <w:rPr>
                      <w:rFonts w:hint="eastAsia" w:cs="Times New Roman"/>
                      <w:bCs/>
                      <w:color w:val="000000"/>
                      <w:sz w:val="21"/>
                      <w:szCs w:val="21"/>
                    </w:rPr>
                    <w:t>、初期雨水</w:t>
                  </w:r>
                </w:p>
              </w:tc>
              <w:tc>
                <w:tcPr>
                  <w:tcW w:w="1183"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CODcr、BOD</w:t>
                  </w:r>
                  <w:r>
                    <w:rPr>
                      <w:rFonts w:cs="Times New Roman"/>
                      <w:bCs/>
                      <w:color w:val="000000"/>
                      <w:sz w:val="21"/>
                      <w:szCs w:val="21"/>
                      <w:vertAlign w:val="subscript"/>
                    </w:rPr>
                    <w:t>5</w:t>
                  </w:r>
                  <w:r>
                    <w:rPr>
                      <w:rFonts w:cs="Times New Roman"/>
                      <w:bCs/>
                      <w:color w:val="000000"/>
                      <w:sz w:val="21"/>
                      <w:szCs w:val="21"/>
                    </w:rPr>
                    <w:t>、氨氮、SS、</w:t>
                  </w:r>
                  <w:r>
                    <w:rPr>
                      <w:rFonts w:hint="eastAsia" w:cs="Times New Roman"/>
                      <w:bCs/>
                      <w:color w:val="000000"/>
                      <w:sz w:val="21"/>
                      <w:szCs w:val="21"/>
                    </w:rPr>
                    <w:t>动植物油、总磷、总氮</w:t>
                  </w:r>
                </w:p>
              </w:tc>
              <w:tc>
                <w:tcPr>
                  <w:tcW w:w="939" w:type="dxa"/>
                  <w:vMerge w:val="continue"/>
                  <w:shd w:val="clear" w:color="auto" w:fill="auto"/>
                  <w:vAlign w:val="center"/>
                </w:tcPr>
                <w:p>
                  <w:pPr>
                    <w:pStyle w:val="92"/>
                    <w:spacing w:line="240" w:lineRule="auto"/>
                    <w:ind w:firstLine="0" w:firstLineChars="0"/>
                    <w:jc w:val="center"/>
                    <w:rPr>
                      <w:rFonts w:cs="Times New Roman"/>
                      <w:bCs/>
                      <w:color w:val="000000"/>
                      <w:sz w:val="21"/>
                      <w:szCs w:val="21"/>
                    </w:rPr>
                  </w:pPr>
                </w:p>
              </w:tc>
              <w:tc>
                <w:tcPr>
                  <w:tcW w:w="1276"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间歇排放无规律，但不属于冲击型排放</w:t>
                  </w:r>
                </w:p>
              </w:tc>
              <w:tc>
                <w:tcPr>
                  <w:tcW w:w="713" w:type="dxa"/>
                  <w:vMerge w:val="continue"/>
                  <w:shd w:val="clear" w:color="auto" w:fill="auto"/>
                  <w:vAlign w:val="center"/>
                </w:tcPr>
                <w:p>
                  <w:pPr>
                    <w:pStyle w:val="92"/>
                    <w:spacing w:line="240" w:lineRule="auto"/>
                    <w:ind w:firstLine="0" w:firstLineChars="0"/>
                    <w:jc w:val="center"/>
                    <w:rPr>
                      <w:rFonts w:cs="Times New Roman"/>
                      <w:bCs/>
                      <w:color w:val="000000"/>
                      <w:sz w:val="21"/>
                      <w:szCs w:val="21"/>
                    </w:rPr>
                  </w:pPr>
                </w:p>
              </w:tc>
              <w:tc>
                <w:tcPr>
                  <w:tcW w:w="1132"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自建污水处理站</w:t>
                  </w:r>
                </w:p>
              </w:tc>
              <w:tc>
                <w:tcPr>
                  <w:tcW w:w="793" w:type="dxa"/>
                  <w:shd w:val="clear" w:color="auto" w:fill="auto"/>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物理</w:t>
                  </w:r>
                  <w:r>
                    <w:rPr>
                      <w:rFonts w:hint="eastAsia" w:cs="Times New Roman"/>
                      <w:bCs/>
                      <w:color w:val="000000"/>
                      <w:sz w:val="21"/>
                      <w:szCs w:val="21"/>
                    </w:rPr>
                    <w:t>化学</w:t>
                  </w:r>
                  <w:r>
                    <w:rPr>
                      <w:rFonts w:cs="Times New Roman"/>
                      <w:bCs/>
                      <w:color w:val="000000"/>
                      <w:sz w:val="21"/>
                      <w:szCs w:val="21"/>
                    </w:rPr>
                    <w:t>+生物</w:t>
                  </w:r>
                </w:p>
              </w:tc>
              <w:tc>
                <w:tcPr>
                  <w:tcW w:w="1141" w:type="dxa"/>
                  <w:vMerge w:val="continue"/>
                  <w:shd w:val="clear" w:color="auto" w:fill="auto"/>
                  <w:vAlign w:val="center"/>
                </w:tcPr>
                <w:p>
                  <w:pPr>
                    <w:pStyle w:val="78"/>
                    <w:spacing w:before="120"/>
                    <w:ind w:firstLine="440"/>
                    <w:rPr>
                      <w:bCs/>
                    </w:rPr>
                  </w:pPr>
                </w:p>
              </w:tc>
            </w:tr>
          </w:tbl>
          <w:p>
            <w:pPr>
              <w:adjustRightInd w:val="0"/>
              <w:snapToGrid w:val="0"/>
              <w:spacing w:before="240" w:beforeLines="100"/>
              <w:ind w:firstLine="482"/>
              <w:rPr>
                <w:b/>
                <w:color w:val="000000"/>
                <w:szCs w:val="22"/>
              </w:rPr>
            </w:pPr>
            <w:r>
              <w:rPr>
                <w:b/>
                <w:color w:val="000000"/>
                <w:szCs w:val="22"/>
              </w:rPr>
              <w:t>2、废气</w:t>
            </w:r>
          </w:p>
          <w:p>
            <w:pPr>
              <w:adjustRightInd w:val="0"/>
              <w:snapToGrid w:val="0"/>
              <w:spacing w:before="240" w:beforeLines="100"/>
              <w:ind w:firstLine="480"/>
              <w:rPr>
                <w:b/>
                <w:color w:val="000000"/>
                <w:szCs w:val="22"/>
              </w:rPr>
            </w:pPr>
            <w:r>
              <w:t xml:space="preserve">2.1.废气污染物排放源 </w:t>
            </w:r>
          </w:p>
          <w:p>
            <w:pPr>
              <w:adjustRightInd w:val="0"/>
              <w:snapToGrid w:val="0"/>
              <w:spacing w:before="120"/>
              <w:ind w:firstLine="480"/>
              <w:rPr>
                <w:color w:val="000000"/>
              </w:rPr>
            </w:pPr>
            <w:r>
              <w:rPr>
                <w:rFonts w:hint="eastAsia"/>
                <w:color w:val="000000"/>
              </w:rPr>
              <w:t>本项目运营期本项目运营期热水器采用电作为能源，无燃烧废气产生。</w:t>
            </w:r>
          </w:p>
          <w:p>
            <w:pPr>
              <w:spacing w:before="120"/>
              <w:ind w:firstLine="480"/>
              <w:rPr>
                <w:color w:val="000000"/>
              </w:rPr>
            </w:pPr>
            <w:r>
              <w:rPr>
                <w:rFonts w:hint="eastAsia"/>
                <w:bCs/>
                <w:color w:val="000000"/>
              </w:rPr>
              <w:t>本项目为牛羊屠宰建设项目，待宰栏、屠宰间、污水处理站、无害化处理间会有恶</w:t>
            </w:r>
            <w:r>
              <w:rPr>
                <w:rFonts w:hint="eastAsia"/>
                <w:color w:val="000000"/>
              </w:rPr>
              <w:t>臭气体产生，主要污染物为NH</w:t>
            </w:r>
            <w:r>
              <w:rPr>
                <w:rFonts w:hint="eastAsia"/>
                <w:color w:val="000000"/>
                <w:vertAlign w:val="subscript"/>
              </w:rPr>
              <w:t>3</w:t>
            </w:r>
            <w:r>
              <w:rPr>
                <w:rFonts w:hint="eastAsia"/>
                <w:color w:val="000000"/>
              </w:rPr>
              <w:t>和H</w:t>
            </w:r>
            <w:r>
              <w:rPr>
                <w:rFonts w:hint="eastAsia"/>
                <w:color w:val="000000"/>
                <w:vertAlign w:val="subscript"/>
              </w:rPr>
              <w:t>2</w:t>
            </w:r>
            <w:r>
              <w:rPr>
                <w:rFonts w:hint="eastAsia"/>
                <w:color w:val="000000"/>
              </w:rPr>
              <w:t>S；食堂烹饪过程中有油烟产生。</w:t>
            </w:r>
          </w:p>
          <w:p>
            <w:pPr>
              <w:spacing w:before="120"/>
              <w:ind w:firstLine="480"/>
              <w:rPr>
                <w:bCs/>
                <w:color w:val="000000"/>
              </w:rPr>
            </w:pPr>
            <w:r>
              <w:t>（1）屠宰前及屠宰过程产生的恶臭</w:t>
            </w:r>
          </w:p>
          <w:p>
            <w:pPr>
              <w:spacing w:before="120"/>
              <w:ind w:firstLine="480"/>
            </w:pPr>
            <w:r>
              <w:t>本项目</w:t>
            </w:r>
            <w:r>
              <w:rPr>
                <w:rFonts w:hint="eastAsia"/>
              </w:rPr>
              <w:t>屠宰前及</w:t>
            </w:r>
            <w:r>
              <w:t>屠宰过程产生的恶臭主要包括待宰</w:t>
            </w:r>
            <w:r>
              <w:rPr>
                <w:rFonts w:hint="eastAsia"/>
              </w:rPr>
              <w:t>栏</w:t>
            </w:r>
            <w:r>
              <w:t>牛羊的粪便恶臭，屠宰区（屠宰工序恶臭、牛羊胃容物恶臭），</w:t>
            </w:r>
            <w:r>
              <w:rPr>
                <w:rFonts w:hint="eastAsia"/>
              </w:rPr>
              <w:t>污水处理站恶臭</w:t>
            </w:r>
            <w:r>
              <w:t>以及病死禽无害化处理设施产生的腥臭味等。恶臭是多组分低浓度的混合气体，其成分可达几十到几百种，</w:t>
            </w:r>
            <w:r>
              <w:rPr>
                <w:rFonts w:hint="eastAsia"/>
              </w:rPr>
              <w:t>主要成分是N</w:t>
            </w:r>
            <w:r>
              <w:t>H</w:t>
            </w:r>
            <w:r>
              <w:rPr>
                <w:vertAlign w:val="subscript"/>
              </w:rPr>
              <w:t>3</w:t>
            </w:r>
            <w:r>
              <w:rPr>
                <w:rFonts w:hint="eastAsia"/>
              </w:rPr>
              <w:t>和</w:t>
            </w:r>
            <w:r>
              <w:t>H</w:t>
            </w:r>
            <w:r>
              <w:rPr>
                <w:vertAlign w:val="subscript"/>
              </w:rPr>
              <w:t>2</w:t>
            </w:r>
            <w:r>
              <w:t>S</w:t>
            </w:r>
            <w:r>
              <w:rPr>
                <w:rFonts w:hint="eastAsia"/>
              </w:rPr>
              <w:t>，</w:t>
            </w:r>
            <w:r>
              <w:t>各成分之间即有协同作用也有拮抗作用。恶臭污染主要是通过影响人们的嗅觉来影响环境。由于个人的生理、心理条件、年龄、性别、职业、习惯等因素的不同对恶臭的敏感程度、厌恶程度和可耐受程度也不同。恶臭的影响也与污染源的性质、大气状况和距污染源的方位及距离有关。恶臭本身不一定具有毒性，但会使人产生不快感，长期遭受恶臭污染，会影响居民的生活，降低工作效率，严重时会使人恶心、呕吐，甚至会诱发某些疾病。在国际上，通常根据嗅觉判别标准，将臭气强度划分为5级，见下表</w:t>
            </w:r>
            <w:r>
              <w:rPr>
                <w:rFonts w:hint="eastAsia"/>
              </w:rPr>
              <w:t>：</w:t>
            </w:r>
          </w:p>
          <w:p>
            <w:pPr>
              <w:spacing w:before="120"/>
              <w:ind w:firstLine="0" w:firstLineChars="0"/>
              <w:jc w:val="center"/>
              <w:rPr>
                <w:b/>
                <w:color w:val="000000"/>
                <w:kern w:val="28"/>
                <w:sz w:val="21"/>
                <w:szCs w:val="32"/>
              </w:rPr>
            </w:pPr>
            <w:r>
              <w:rPr>
                <w:b/>
                <w:color w:val="000000"/>
                <w:kern w:val="28"/>
                <w:sz w:val="21"/>
                <w:szCs w:val="32"/>
              </w:rPr>
              <w:t>表 4-5 臭气强</w:t>
            </w:r>
            <w:r>
              <w:rPr>
                <w:rFonts w:hint="eastAsia"/>
                <w:b/>
                <w:color w:val="000000"/>
                <w:kern w:val="28"/>
                <w:sz w:val="21"/>
                <w:szCs w:val="32"/>
              </w:rPr>
              <w:t>度分级法</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3262"/>
              <w:gridCol w:w="1138"/>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jc w:val="center"/>
              </w:trPr>
              <w:tc>
                <w:tcPr>
                  <w:tcW w:w="1124"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强度等级</w:t>
                  </w:r>
                </w:p>
              </w:tc>
              <w:tc>
                <w:tcPr>
                  <w:tcW w:w="3262"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嗅觉判别标准</w:t>
                  </w:r>
                </w:p>
              </w:tc>
              <w:tc>
                <w:tcPr>
                  <w:tcW w:w="1138"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强度等级</w:t>
                  </w:r>
                </w:p>
              </w:tc>
              <w:tc>
                <w:tcPr>
                  <w:tcW w:w="2080"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嗅觉判别标准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p>
              </w:tc>
              <w:tc>
                <w:tcPr>
                  <w:tcW w:w="3262"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无臭</w:t>
                  </w:r>
                </w:p>
              </w:tc>
              <w:tc>
                <w:tcPr>
                  <w:tcW w:w="1138"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3</w:t>
                  </w:r>
                </w:p>
              </w:tc>
              <w:tc>
                <w:tcPr>
                  <w:tcW w:w="2080"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明显感到臭味（可嗅气种类）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24"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1</w:t>
                  </w:r>
                </w:p>
              </w:tc>
              <w:tc>
                <w:tcPr>
                  <w:tcW w:w="3262"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勉强可以感到轻微臭觉（检知阈值）</w:t>
                  </w:r>
                </w:p>
              </w:tc>
              <w:tc>
                <w:tcPr>
                  <w:tcW w:w="1138"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4</w:t>
                  </w:r>
                </w:p>
              </w:tc>
              <w:tc>
                <w:tcPr>
                  <w:tcW w:w="2080"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强烈臭觉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jc w:val="center"/>
              </w:trPr>
              <w:tc>
                <w:tcPr>
                  <w:tcW w:w="1124"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2</w:t>
                  </w:r>
                </w:p>
              </w:tc>
              <w:tc>
                <w:tcPr>
                  <w:tcW w:w="3262"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容易感到轻微臭味（认知检知阈值）</w:t>
                  </w:r>
                </w:p>
              </w:tc>
              <w:tc>
                <w:tcPr>
                  <w:tcW w:w="1138"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5</w:t>
                  </w:r>
                </w:p>
              </w:tc>
              <w:tc>
                <w:tcPr>
                  <w:tcW w:w="2080" w:type="dxa"/>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无法忍受的强烈臭觉</w:t>
                  </w:r>
                </w:p>
              </w:tc>
            </w:tr>
          </w:tbl>
          <w:p>
            <w:pPr>
              <w:spacing w:before="120"/>
              <w:ind w:firstLine="0" w:firstLineChars="0"/>
              <w:jc w:val="center"/>
              <w:rPr>
                <w:b/>
                <w:color w:val="000000"/>
                <w:kern w:val="28"/>
                <w:sz w:val="21"/>
                <w:szCs w:val="32"/>
              </w:rPr>
            </w:pPr>
            <w:r>
              <w:rPr>
                <w:b/>
                <w:color w:val="000000"/>
                <w:kern w:val="28"/>
                <w:sz w:val="21"/>
                <w:szCs w:val="32"/>
              </w:rPr>
              <w:t xml:space="preserve">表4-6  </w:t>
            </w:r>
            <w:r>
              <w:rPr>
                <w:rFonts w:hint="eastAsia"/>
                <w:b/>
                <w:color w:val="000000"/>
                <w:kern w:val="28"/>
                <w:sz w:val="21"/>
                <w:szCs w:val="32"/>
              </w:rPr>
              <w:t>屠宰间恶臭污染物强度等级一览表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1266"/>
              <w:gridCol w:w="1266"/>
              <w:gridCol w:w="12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jc w:val="center"/>
              </w:trPr>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强度等级</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氨（m</w:t>
                  </w:r>
                  <w:r>
                    <w:rPr>
                      <w:rFonts w:cs="Times New Roman"/>
                      <w:bCs/>
                      <w:color w:val="000000"/>
                      <w:sz w:val="21"/>
                      <w:szCs w:val="21"/>
                    </w:rPr>
                    <w:t>g/m</w:t>
                  </w:r>
                  <w:r>
                    <w:rPr>
                      <w:rFonts w:cs="Times New Roman"/>
                      <w:bCs/>
                      <w:color w:val="000000"/>
                      <w:sz w:val="21"/>
                      <w:szCs w:val="21"/>
                      <w:vertAlign w:val="superscript"/>
                    </w:rPr>
                    <w:t>3</w:t>
                  </w:r>
                  <w:r>
                    <w:rPr>
                      <w:rFonts w:hint="eastAsia" w:cs="Times New Roman"/>
                      <w:bCs/>
                      <w:color w:val="000000"/>
                      <w:sz w:val="21"/>
                      <w:szCs w:val="21"/>
                    </w:rPr>
                    <w:t>）</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硫化氢</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（m</w:t>
                  </w:r>
                  <w:r>
                    <w:rPr>
                      <w:rFonts w:cs="Times New Roman"/>
                      <w:bCs/>
                      <w:color w:val="000000"/>
                      <w:sz w:val="21"/>
                      <w:szCs w:val="21"/>
                    </w:rPr>
                    <w:t>g/m</w:t>
                  </w:r>
                  <w:r>
                    <w:rPr>
                      <w:rFonts w:cs="Times New Roman"/>
                      <w:bCs/>
                      <w:color w:val="000000"/>
                      <w:sz w:val="21"/>
                      <w:szCs w:val="21"/>
                      <w:vertAlign w:val="superscript"/>
                    </w:rPr>
                    <w:t>3</w:t>
                  </w:r>
                  <w:r>
                    <w:rPr>
                      <w:rFonts w:hint="eastAsia" w:cs="Times New Roman"/>
                      <w:bCs/>
                      <w:color w:val="000000"/>
                      <w:sz w:val="21"/>
                      <w:szCs w:val="21"/>
                    </w:rPr>
                    <w:t>）</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强度等级</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氨（m</w:t>
                  </w:r>
                  <w:r>
                    <w:rPr>
                      <w:rFonts w:cs="Times New Roman"/>
                      <w:bCs/>
                      <w:color w:val="000000"/>
                      <w:sz w:val="21"/>
                      <w:szCs w:val="21"/>
                    </w:rPr>
                    <w:t>g/m</w:t>
                  </w:r>
                  <w:r>
                    <w:rPr>
                      <w:rFonts w:cs="Times New Roman"/>
                      <w:bCs/>
                      <w:color w:val="000000"/>
                      <w:sz w:val="21"/>
                      <w:szCs w:val="21"/>
                      <w:vertAlign w:val="superscript"/>
                    </w:rPr>
                    <w:t>3</w:t>
                  </w:r>
                  <w:r>
                    <w:rPr>
                      <w:rFonts w:hint="eastAsia" w:cs="Times New Roman"/>
                      <w:bCs/>
                      <w:color w:val="000000"/>
                      <w:sz w:val="21"/>
                      <w:szCs w:val="21"/>
                    </w:rPr>
                    <w:t>）</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硫化氢</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（m</w:t>
                  </w:r>
                  <w:r>
                    <w:rPr>
                      <w:rFonts w:cs="Times New Roman"/>
                      <w:bCs/>
                      <w:color w:val="000000"/>
                      <w:sz w:val="21"/>
                      <w:szCs w:val="21"/>
                    </w:rPr>
                    <w:t>g/m</w:t>
                  </w:r>
                  <w:r>
                    <w:rPr>
                      <w:rFonts w:cs="Times New Roman"/>
                      <w:bCs/>
                      <w:color w:val="000000"/>
                      <w:sz w:val="21"/>
                      <w:szCs w:val="21"/>
                      <w:vertAlign w:val="superscript"/>
                    </w:rPr>
                    <w:t>3</w:t>
                  </w:r>
                  <w:r>
                    <w:rPr>
                      <w:rFonts w:hint="eastAsia" w:cs="Times New Roman"/>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1</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.1</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.0005</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3</w:t>
                  </w:r>
                  <w:r>
                    <w:rPr>
                      <w:rFonts w:cs="Times New Roman"/>
                      <w:bCs/>
                      <w:color w:val="000000"/>
                      <w:sz w:val="21"/>
                      <w:szCs w:val="21"/>
                    </w:rPr>
                    <w:t>.5</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5</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2</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.5</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.006</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4</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1</w:t>
                  </w:r>
                  <w:r>
                    <w:rPr>
                      <w:rFonts w:cs="Times New Roman"/>
                      <w:bCs/>
                      <w:color w:val="000000"/>
                      <w:sz w:val="21"/>
                      <w:szCs w:val="21"/>
                    </w:rPr>
                    <w:t>0</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jc w:val="center"/>
              </w:trPr>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2</w:t>
                  </w:r>
                  <w:r>
                    <w:rPr>
                      <w:rFonts w:cs="Times New Roman"/>
                      <w:bCs/>
                      <w:color w:val="000000"/>
                      <w:sz w:val="21"/>
                      <w:szCs w:val="21"/>
                    </w:rPr>
                    <w:t>.5</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1</w:t>
                  </w:r>
                  <w:r>
                    <w:rPr>
                      <w:rFonts w:cs="Times New Roman"/>
                      <w:bCs/>
                      <w:color w:val="000000"/>
                      <w:sz w:val="21"/>
                      <w:szCs w:val="21"/>
                    </w:rPr>
                    <w:t>.0</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.02</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5</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4</w:t>
                  </w:r>
                  <w:r>
                    <w:rPr>
                      <w:rFonts w:cs="Times New Roman"/>
                      <w:bCs/>
                      <w:color w:val="000000"/>
                      <w:sz w:val="21"/>
                      <w:szCs w:val="21"/>
                    </w:rPr>
                    <w:t>0</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jc w:val="center"/>
              </w:trPr>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3</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2</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.06</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臭气特征</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刺激臭</w:t>
                  </w:r>
                </w:p>
              </w:tc>
              <w:tc>
                <w:tcPr>
                  <w:tcW w:w="1266"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臭蛋味</w:t>
                  </w:r>
                </w:p>
              </w:tc>
            </w:tr>
          </w:tbl>
          <w:p>
            <w:pPr>
              <w:spacing w:before="120"/>
              <w:ind w:firstLine="480"/>
              <w:rPr>
                <w:bCs/>
                <w:color w:val="000000"/>
              </w:rPr>
            </w:pPr>
            <w:r>
              <w:rPr>
                <w:rFonts w:hint="eastAsia"/>
                <w:bCs/>
                <w:color w:val="000000"/>
              </w:rPr>
              <w:t>因牛羊屠宰厂各工序产生的恶臭气体目前尚无成熟的定量计算源强方法，根据《污染源源强计算技术指南准则》（HJ884-2018）和《排污许可证申请与核发技术规范农副食品加工工业-屠宰及肉类加工工业》（HJ860.3-2018）中的相关要求，本评价通过查询相关文献、对比同类型项目等方法进行源强核算。</w:t>
            </w:r>
          </w:p>
          <w:p>
            <w:pPr>
              <w:spacing w:before="120"/>
              <w:ind w:firstLine="480"/>
              <w:rPr>
                <w:bCs/>
                <w:color w:val="000000"/>
              </w:rPr>
            </w:pPr>
            <w:r>
              <w:rPr>
                <w:rFonts w:hint="eastAsia"/>
                <w:bCs/>
                <w:color w:val="000000"/>
              </w:rPr>
              <w:t>类比2</w:t>
            </w:r>
            <w:r>
              <w:rPr>
                <w:bCs/>
                <w:color w:val="000000"/>
              </w:rPr>
              <w:t>021</w:t>
            </w:r>
            <w:r>
              <w:rPr>
                <w:rFonts w:hint="eastAsia"/>
                <w:bCs/>
                <w:color w:val="000000"/>
              </w:rPr>
              <w:t>年8月《</w:t>
            </w:r>
            <w:r>
              <w:t>广东梧聚农牧有限公司吴川牛羊屠宰场</w:t>
            </w:r>
            <w:r>
              <w:rPr>
                <w:rFonts w:hint="eastAsia"/>
              </w:rPr>
              <w:t>》建设项目环境影响报告表，项目</w:t>
            </w:r>
            <w:r>
              <w:t>年屠宰牛只9000头、羊5760头</w:t>
            </w:r>
            <w:r>
              <w:rPr>
                <w:rFonts w:hint="eastAsia"/>
              </w:rPr>
              <w:t>，本项目</w:t>
            </w:r>
            <w:r>
              <w:t>年屠宰牛只1750 头、羊50750头</w:t>
            </w:r>
            <w:r>
              <w:rPr>
                <w:rFonts w:hint="eastAsia"/>
              </w:rPr>
              <w:t>，</w:t>
            </w:r>
            <w:r>
              <w:rPr>
                <w:rFonts w:hint="eastAsia"/>
                <w:bCs/>
                <w:color w:val="000000"/>
              </w:rPr>
              <w:t>根据《畜禽养殖业污染物排放标准》（</w:t>
            </w:r>
            <w:r>
              <w:rPr>
                <w:bCs/>
                <w:color w:val="000000"/>
              </w:rPr>
              <w:t>GB18596-2001</w:t>
            </w:r>
            <w:r>
              <w:rPr>
                <w:rFonts w:hint="eastAsia"/>
                <w:bCs/>
                <w:color w:val="000000"/>
              </w:rPr>
              <w:t>），</w:t>
            </w:r>
            <w:r>
              <w:rPr>
                <w:bCs/>
                <w:color w:val="000000"/>
              </w:rPr>
              <w:t>1.2.2.</w:t>
            </w:r>
            <w:r>
              <w:rPr>
                <w:rFonts w:hint="eastAsia"/>
                <w:bCs/>
                <w:color w:val="000000"/>
              </w:rPr>
              <w:t>条、1</w:t>
            </w:r>
            <w:r>
              <w:rPr>
                <w:bCs/>
                <w:color w:val="000000"/>
              </w:rPr>
              <w:t>.2.5</w:t>
            </w:r>
            <w:r>
              <w:rPr>
                <w:rFonts w:hint="eastAsia"/>
                <w:bCs/>
                <w:color w:val="000000"/>
              </w:rPr>
              <w:t>条规定，换算后屠宰规模相近，略大于本项目屠宰规模，可比性强，本项目</w:t>
            </w:r>
            <w:r>
              <w:rPr>
                <w:rFonts w:hint="eastAsia"/>
              </w:rPr>
              <w:t>牛羊屠宰前及屠宰过程产生的恶臭情况分析如下：</w:t>
            </w:r>
          </w:p>
          <w:p>
            <w:pPr>
              <w:pStyle w:val="71"/>
              <w:numPr>
                <w:ilvl w:val="0"/>
                <w:numId w:val="1"/>
              </w:numPr>
              <w:spacing w:before="120"/>
              <w:ind w:firstLineChars="0"/>
              <w:rPr>
                <w:rFonts w:ascii="Times New Roman" w:hAnsi="Times New Roman"/>
                <w:bCs/>
                <w:color w:val="000000"/>
              </w:rPr>
            </w:pPr>
            <w:r>
              <w:rPr>
                <w:rFonts w:hint="eastAsia" w:ascii="Times New Roman" w:hAnsi="Times New Roman"/>
                <w:bCs/>
                <w:color w:val="000000"/>
                <w:sz w:val="24"/>
                <w:szCs w:val="24"/>
              </w:rPr>
              <w:t>待宰栏恶臭</w:t>
            </w:r>
          </w:p>
          <w:p>
            <w:pPr>
              <w:spacing w:before="120"/>
              <w:ind w:firstLine="0" w:firstLineChars="0"/>
              <w:jc w:val="left"/>
            </w:pPr>
            <w:r>
              <w:t xml:space="preserve">   待宰牛羊仅在各待宰</w:t>
            </w:r>
            <w:r>
              <w:rPr>
                <w:rFonts w:hint="eastAsia"/>
                <w:bCs/>
                <w:color w:val="000000"/>
              </w:rPr>
              <w:t>栏</w:t>
            </w:r>
            <w:r>
              <w:t>实行12-24h的待宰管理，只进水不喂食，产生粪便较少。由于待宰</w:t>
            </w:r>
            <w:r>
              <w:rPr>
                <w:rFonts w:hint="eastAsia"/>
                <w:bCs/>
                <w:color w:val="000000"/>
              </w:rPr>
              <w:t>栏</w:t>
            </w:r>
            <w:r>
              <w:t>停留时间较短，通过定期喷洒生物除臭剂可大大降低恶臭的排放，采取措施后臭气强度为1级，属于勉强可以感到轻微臭味。恶臭气体NH</w:t>
            </w:r>
            <w:r>
              <w:rPr>
                <w:vertAlign w:val="subscript"/>
              </w:rPr>
              <w:t>3</w:t>
            </w:r>
            <w:r>
              <w:t>浓度为0.1mg/m</w:t>
            </w:r>
            <w:r>
              <w:rPr>
                <w:vertAlign w:val="superscript"/>
              </w:rPr>
              <w:t>3</w:t>
            </w:r>
            <w:r>
              <w:t>，H</w:t>
            </w:r>
            <w:r>
              <w:rPr>
                <w:vertAlign w:val="subscript"/>
              </w:rPr>
              <w:t>2</w:t>
            </w:r>
            <w:r>
              <w:t>S的浓度</w:t>
            </w:r>
            <w:r>
              <w:rPr>
                <w:rFonts w:hint="eastAsia"/>
              </w:rPr>
              <w:t>为</w:t>
            </w:r>
            <w:r>
              <w:t>0.0005mg/m</w:t>
            </w:r>
            <w:r>
              <w:rPr>
                <w:vertAlign w:val="superscript"/>
              </w:rPr>
              <w:t>3</w:t>
            </w:r>
            <w:r>
              <w:rPr>
                <w:rFonts w:hint="eastAsia"/>
              </w:rPr>
              <w:t>。</w:t>
            </w:r>
          </w:p>
          <w:p>
            <w:pPr>
              <w:spacing w:before="240" w:beforeLines="100"/>
              <w:ind w:firstLine="480"/>
            </w:pPr>
            <w:r>
              <w:t>待宰</w:t>
            </w:r>
            <w:r>
              <w:rPr>
                <w:rFonts w:hint="eastAsia"/>
              </w:rPr>
              <w:t>栏</w:t>
            </w:r>
            <w:r>
              <w:t>设置可封闭装置和风机，要求运营过程中加强监测，一旦出现恶臭气体明显超出1级标准，必须立即采取封闭</w:t>
            </w:r>
            <w:r>
              <w:rPr>
                <w:rFonts w:hint="eastAsia"/>
              </w:rPr>
              <w:t>待宰栏</w:t>
            </w:r>
            <w:r>
              <w:t>，利用风机通风并处理</w:t>
            </w:r>
            <w:r>
              <w:rPr>
                <w:rFonts w:hint="eastAsia"/>
              </w:rPr>
              <w:t>栏</w:t>
            </w:r>
            <w:r>
              <w:t>内臭气等加强措施。1级标准下恶臭气体基本上排放速率极低，一般情况下进行定性分析即可。</w:t>
            </w:r>
          </w:p>
          <w:p>
            <w:pPr>
              <w:pStyle w:val="71"/>
              <w:numPr>
                <w:ilvl w:val="0"/>
                <w:numId w:val="1"/>
              </w:numPr>
              <w:spacing w:before="120"/>
              <w:ind w:firstLineChars="0"/>
              <w:rPr>
                <w:rFonts w:ascii="Times New Roman" w:hAnsi="Times New Roman"/>
                <w:lang w:eastAsia="zh-CN"/>
              </w:rPr>
            </w:pPr>
            <w:r>
              <w:rPr>
                <w:rFonts w:hint="eastAsia" w:ascii="Times New Roman" w:hAnsi="Times New Roman"/>
                <w:sz w:val="24"/>
                <w:szCs w:val="24"/>
                <w:lang w:eastAsia="zh-CN"/>
              </w:rPr>
              <w:t>牛羊屠宰区恶臭（牛羊屠宰工序、内脏加工恶臭、胃容物恶臭）</w:t>
            </w:r>
          </w:p>
          <w:p>
            <w:pPr>
              <w:spacing w:before="120"/>
              <w:ind w:firstLine="480"/>
            </w:pPr>
            <w:r>
              <w:t>屠宰恶臭主要来源于牛羊内脏、血气味挥发及高湿条件下胃容物等产生腥臭味。肉类屠宰加工过程的屠宰车间内恶臭气体NH</w:t>
            </w:r>
            <w:r>
              <w:rPr>
                <w:vertAlign w:val="subscript"/>
              </w:rPr>
              <w:t>3</w:t>
            </w:r>
            <w:r>
              <w:t>浓度为2-10mg/m</w:t>
            </w:r>
            <w:r>
              <w:rPr>
                <w:vertAlign w:val="superscript"/>
              </w:rPr>
              <w:t>3</w:t>
            </w:r>
            <w:r>
              <w:t>，H</w:t>
            </w:r>
            <w:r>
              <w:rPr>
                <w:vertAlign w:val="subscript"/>
              </w:rPr>
              <w:t>2</w:t>
            </w:r>
            <w:r>
              <w:t>S 的浓度在0.3-1.5mg/m</w:t>
            </w:r>
            <w:r>
              <w:rPr>
                <w:vertAlign w:val="superscript"/>
              </w:rPr>
              <w:t>3</w:t>
            </w:r>
            <w:r>
              <w:t>，臭气强度为3-4级，属于明显感觉到臭味。本项目屠宰车间取其大值，NH</w:t>
            </w:r>
            <w:r>
              <w:rPr>
                <w:vertAlign w:val="subscript"/>
              </w:rPr>
              <w:t>3</w:t>
            </w:r>
            <w:r>
              <w:rPr>
                <w:rFonts w:hint="eastAsia"/>
              </w:rPr>
              <w:t>产生</w:t>
            </w:r>
            <w:r>
              <w:t>浓度为10mg/m</w:t>
            </w:r>
            <w:r>
              <w:rPr>
                <w:vertAlign w:val="superscript"/>
              </w:rPr>
              <w:t>3</w:t>
            </w:r>
            <w:r>
              <w:t>，H</w:t>
            </w:r>
            <w:r>
              <w:rPr>
                <w:vertAlign w:val="subscript"/>
              </w:rPr>
              <w:t>2</w:t>
            </w:r>
            <w:r>
              <w:t>S的浓度1.5mg/m</w:t>
            </w:r>
            <w:r>
              <w:rPr>
                <w:vertAlign w:val="superscript"/>
              </w:rPr>
              <w:t>3</w:t>
            </w:r>
            <w:r>
              <w:t>，吸附风机风量为10000m</w:t>
            </w:r>
            <w:r>
              <w:rPr>
                <w:vertAlign w:val="superscript"/>
              </w:rPr>
              <w:t>3</w:t>
            </w:r>
            <w:r>
              <w:t>/h，屠宰车间只留少量窗户透气，大部分恶臭气体经过集气罩收集后由</w:t>
            </w:r>
            <w:r>
              <w:rPr>
                <w:rFonts w:hint="eastAsia"/>
                <w:bCs/>
                <w:color w:val="000000"/>
                <w:kern w:val="2"/>
                <w:szCs w:val="22"/>
              </w:rPr>
              <w:t>生物（或碱）喷淋塔</w:t>
            </w:r>
            <w:r>
              <w:t>处理，屠宰车间的NH</w:t>
            </w:r>
            <w:r>
              <w:rPr>
                <w:vertAlign w:val="subscript"/>
              </w:rPr>
              <w:t>3</w:t>
            </w:r>
            <w:r>
              <w:t>产生速率约为0.1kg/h，H</w:t>
            </w:r>
            <w:r>
              <w:rPr>
                <w:vertAlign w:val="subscript"/>
              </w:rPr>
              <w:t>2</w:t>
            </w:r>
            <w:r>
              <w:t>S 的速率约0.015kg/h，</w:t>
            </w:r>
            <w:r>
              <w:rPr>
                <w:rFonts w:hint="eastAsia"/>
              </w:rPr>
              <w:t>牛羊屠宰区年工作时间为2</w:t>
            </w:r>
            <w:r>
              <w:t>800h,</w:t>
            </w:r>
            <w:r>
              <w:rPr>
                <w:rFonts w:hint="eastAsia"/>
              </w:rPr>
              <w:t>本项目</w:t>
            </w:r>
            <w:r>
              <w:t>经集气罩收集的恶臭气体约90%，</w:t>
            </w:r>
            <w:r>
              <w:rPr>
                <w:rFonts w:hint="eastAsia"/>
                <w:bCs/>
                <w:color w:val="000000"/>
                <w:kern w:val="2"/>
                <w:szCs w:val="22"/>
              </w:rPr>
              <w:t>生物（或碱）喷淋塔</w:t>
            </w:r>
            <w:r>
              <w:t>的处理效率约90%</w:t>
            </w:r>
            <w:r>
              <w:rPr>
                <w:rFonts w:hint="eastAsia"/>
              </w:rPr>
              <w:t>。</w:t>
            </w:r>
          </w:p>
          <w:p>
            <w:pPr>
              <w:spacing w:before="240" w:beforeLines="100"/>
              <w:ind w:firstLine="480"/>
            </w:pPr>
            <w:r>
              <w:rPr>
                <w:rFonts w:hint="eastAsia"/>
              </w:rPr>
              <w:t>有组织恶臭气体经</w:t>
            </w:r>
            <w:r>
              <w:rPr>
                <w:rFonts w:hint="eastAsia"/>
                <w:bCs/>
                <w:color w:val="000000"/>
                <w:kern w:val="2"/>
                <w:szCs w:val="22"/>
              </w:rPr>
              <w:t>生物（或碱）喷淋塔</w:t>
            </w:r>
            <w:r>
              <w:t>连接15m的排气筒</w:t>
            </w:r>
            <w:r>
              <w:rPr>
                <w:rFonts w:hint="eastAsia"/>
              </w:rPr>
              <w:t>排放</w:t>
            </w:r>
            <w:r>
              <w:t>，排气筒内径0.4m，经此处理后，排气筒排放的恶臭气体NH</w:t>
            </w:r>
            <w:r>
              <w:rPr>
                <w:vertAlign w:val="subscript"/>
              </w:rPr>
              <w:t>3</w:t>
            </w:r>
            <w:r>
              <w:t>排放速率约为0.009kg/h，浓度为0.9mg/m</w:t>
            </w:r>
            <w:r>
              <w:rPr>
                <w:vertAlign w:val="superscript"/>
              </w:rPr>
              <w:t>3</w:t>
            </w:r>
            <w:r>
              <w:t>，H</w:t>
            </w:r>
            <w:r>
              <w:rPr>
                <w:vertAlign w:val="subscript"/>
              </w:rPr>
              <w:t>2</w:t>
            </w:r>
            <w:r>
              <w:t>S的排放速率约0.0014kg/h，浓度为0.135mg/m</w:t>
            </w:r>
            <w:r>
              <w:rPr>
                <w:vertAlign w:val="superscript"/>
              </w:rPr>
              <w:t>3</w:t>
            </w:r>
            <w:r>
              <w:t>。</w:t>
            </w:r>
          </w:p>
          <w:p>
            <w:pPr>
              <w:spacing w:before="240" w:beforeLines="100"/>
              <w:ind w:firstLine="480"/>
            </w:pPr>
            <w:r>
              <w:t>关于屠宰车间的恶臭气体的处理方式，《排污许可证申请与核发技术规范 农副食品加工工业—屠宰及肉类加工工业（HJ 860.3—2018）》中对于恶臭气体的推荐方法即为喷淋法，本项目拟采用PH为10的弱碱进行喷淋，碱液原液采用NaOH配置，可有效防止喷淋孔堵塞，</w:t>
            </w:r>
            <w:r>
              <w:rPr>
                <w:rFonts w:hint="eastAsia"/>
                <w:bCs/>
                <w:color w:val="000000"/>
                <w:kern w:val="2"/>
                <w:szCs w:val="22"/>
              </w:rPr>
              <w:t>生物（或碱）喷淋塔</w:t>
            </w:r>
            <w:r>
              <w:t>是当前非常成熟的常用的废气处置设施，本评价不对其做深入分析，由</w:t>
            </w:r>
            <w:r>
              <w:rPr>
                <w:rFonts w:hint="eastAsia"/>
              </w:rPr>
              <w:t>建设</w:t>
            </w:r>
            <w:r>
              <w:t>企业根据本项目的实际情况对企业进行适配安装调试运行。低浓度氨气在弱碱中的溶解性极高，生成低浓度的氨水后与硫化氢反应，基本原理如下：</w:t>
            </w:r>
          </w:p>
          <w:p>
            <w:pPr>
              <w:spacing w:before="240" w:beforeLines="100"/>
              <w:ind w:firstLine="480"/>
            </w:pPr>
            <w:r>
              <w:t>NH</w:t>
            </w:r>
            <w:r>
              <w:rPr>
                <w:vertAlign w:val="subscript"/>
              </w:rPr>
              <w:t>3</w:t>
            </w:r>
            <w:r>
              <w:t>+H</w:t>
            </w:r>
            <w:r>
              <w:rPr>
                <w:vertAlign w:val="subscript"/>
              </w:rPr>
              <w:t>2</w:t>
            </w:r>
            <w:r>
              <w:t>O==NH</w:t>
            </w:r>
            <w:r>
              <w:rPr>
                <w:vertAlign w:val="subscript"/>
              </w:rPr>
              <w:t>3</w:t>
            </w:r>
            <w:r>
              <w:t>·H</w:t>
            </w:r>
            <w:r>
              <w:rPr>
                <w:vertAlign w:val="subscript"/>
              </w:rPr>
              <w:t>2</w:t>
            </w:r>
            <w:r>
              <w:t xml:space="preserve">O </w:t>
            </w:r>
          </w:p>
          <w:p>
            <w:pPr>
              <w:spacing w:before="240" w:beforeLines="100"/>
              <w:ind w:firstLine="480"/>
            </w:pPr>
            <w:r>
              <w:t>NH</w:t>
            </w:r>
            <w:r>
              <w:rPr>
                <w:vertAlign w:val="subscript"/>
              </w:rPr>
              <w:t>3</w:t>
            </w:r>
            <w:r>
              <w:t>·H</w:t>
            </w:r>
            <w:r>
              <w:rPr>
                <w:vertAlign w:val="subscript"/>
              </w:rPr>
              <w:t>2</w:t>
            </w:r>
            <w:r>
              <w:t>O+H</w:t>
            </w:r>
            <w:r>
              <w:rPr>
                <w:vertAlign w:val="subscript"/>
              </w:rPr>
              <w:t>2</w:t>
            </w:r>
            <w:r>
              <w:t>S==NH</w:t>
            </w:r>
            <w:r>
              <w:rPr>
                <w:vertAlign w:val="subscript"/>
              </w:rPr>
              <w:t>4</w:t>
            </w:r>
            <w:r>
              <w:t>HS+H</w:t>
            </w:r>
            <w:r>
              <w:rPr>
                <w:vertAlign w:val="subscript"/>
              </w:rPr>
              <w:t>2</w:t>
            </w:r>
            <w:r>
              <w:t xml:space="preserve">O </w:t>
            </w:r>
          </w:p>
          <w:p>
            <w:pPr>
              <w:spacing w:before="240" w:beforeLines="100"/>
              <w:ind w:firstLine="480"/>
            </w:pPr>
            <w:r>
              <w:t>或2NH</w:t>
            </w:r>
            <w:r>
              <w:rPr>
                <w:vertAlign w:val="subscript"/>
              </w:rPr>
              <w:t>3</w:t>
            </w:r>
            <w:r>
              <w:t>·H</w:t>
            </w:r>
            <w:r>
              <w:rPr>
                <w:vertAlign w:val="subscript"/>
              </w:rPr>
              <w:t>2</w:t>
            </w:r>
            <w:r>
              <w:t>O+H</w:t>
            </w:r>
            <w:r>
              <w:rPr>
                <w:vertAlign w:val="subscript"/>
              </w:rPr>
              <w:t>2</w:t>
            </w:r>
            <w:r>
              <w:t>S==(NH</w:t>
            </w:r>
            <w:r>
              <w:rPr>
                <w:vertAlign w:val="subscript"/>
              </w:rPr>
              <w:t>4</w:t>
            </w:r>
            <w:r>
              <w:t>)</w:t>
            </w:r>
            <w:r>
              <w:rPr>
                <w:vertAlign w:val="subscript"/>
              </w:rPr>
              <w:t>2</w:t>
            </w:r>
            <w:r>
              <w:t>S+2H</w:t>
            </w:r>
            <w:r>
              <w:rPr>
                <w:vertAlign w:val="subscript"/>
              </w:rPr>
              <w:t>2</w:t>
            </w:r>
            <w:r>
              <w:t>O</w:t>
            </w:r>
          </w:p>
          <w:p>
            <w:pPr>
              <w:spacing w:before="240" w:beforeLines="100"/>
              <w:ind w:firstLine="480"/>
            </w:pPr>
            <w:r>
              <w:rPr>
                <w:rFonts w:hint="eastAsia"/>
              </w:rPr>
              <w:t>无</w:t>
            </w:r>
            <w:r>
              <w:t>组织</w:t>
            </w:r>
            <w:r>
              <w:rPr>
                <w:rFonts w:hint="eastAsia"/>
              </w:rPr>
              <w:t>恶臭气体</w:t>
            </w:r>
            <w:r>
              <w:t>NH</w:t>
            </w:r>
            <w:r>
              <w:rPr>
                <w:vertAlign w:val="subscript"/>
              </w:rPr>
              <w:t>3</w:t>
            </w:r>
            <w:r>
              <w:t>排放速率约为0.0</w:t>
            </w:r>
            <w:r>
              <w:rPr>
                <w:rFonts w:hint="eastAsia"/>
              </w:rPr>
              <w:t>1</w:t>
            </w:r>
            <w:r>
              <w:t>kg/h，</w:t>
            </w:r>
            <w:r>
              <w:rPr>
                <w:rFonts w:hint="eastAsia"/>
              </w:rPr>
              <w:t>生产量为0.028</w:t>
            </w:r>
            <w:r>
              <w:t>mg/m</w:t>
            </w:r>
            <w:r>
              <w:rPr>
                <w:vertAlign w:val="superscript"/>
              </w:rPr>
              <w:t>3</w:t>
            </w:r>
            <w:r>
              <w:rPr>
                <w:rFonts w:hint="eastAsia"/>
              </w:rPr>
              <w:t>；</w:t>
            </w:r>
            <w:r>
              <w:t>H</w:t>
            </w:r>
            <w:r>
              <w:rPr>
                <w:vertAlign w:val="subscript"/>
              </w:rPr>
              <w:t>2</w:t>
            </w:r>
            <w:r>
              <w:t>S的速率约0.001kg/h</w:t>
            </w:r>
            <w:r>
              <w:rPr>
                <w:rFonts w:hint="eastAsia"/>
              </w:rPr>
              <w:t>，生产量为0.004</w:t>
            </w:r>
            <w:r>
              <w:t>mg/m</w:t>
            </w:r>
            <w:r>
              <w:rPr>
                <w:vertAlign w:val="superscript"/>
              </w:rPr>
              <w:t>3</w:t>
            </w:r>
            <w:r>
              <w:t>。</w:t>
            </w:r>
          </w:p>
          <w:p>
            <w:pPr>
              <w:spacing w:before="240" w:beforeLines="100"/>
              <w:ind w:firstLine="480"/>
            </w:pPr>
            <w:r>
              <w:t xml:space="preserve"> 屠宰区无组织恶臭防治措施：为防止车间内有毒恶臭气积聚过多对操作工人及肉禽的健康带来危害，本评价要求须加强采取如下防治措施： </w:t>
            </w:r>
          </w:p>
          <w:p>
            <w:pPr>
              <w:spacing w:before="240" w:beforeLines="100"/>
              <w:ind w:firstLine="480"/>
            </w:pPr>
            <w:r>
              <w:t>a.及时清理待宰栏以及屠宰车间内的粪便、胃容物、碎肉和碎骨等废弃物；</w:t>
            </w:r>
          </w:p>
          <w:p>
            <w:pPr>
              <w:spacing w:before="240" w:beforeLines="100"/>
              <w:ind w:firstLine="480"/>
            </w:pPr>
            <w:r>
              <w:t>b.在屠宰车间的剖腹取内脏工序处增加通风次数，在产生恶臭的车间采用喷洒植物提取液的方式进行除臭</w:t>
            </w:r>
          </w:p>
          <w:p>
            <w:pPr>
              <w:spacing w:before="240" w:beforeLines="100"/>
              <w:ind w:firstLine="480"/>
            </w:pPr>
            <w:r>
              <w:t xml:space="preserve">c.项目屠宰车间和待宰栏应及时清洗地面，地面应铺设防血、防水和耐机械损坏的不透水材料，其表面应防滑； </w:t>
            </w:r>
          </w:p>
          <w:p>
            <w:pPr>
              <w:spacing w:before="240" w:beforeLines="100"/>
              <w:ind w:firstLine="480"/>
            </w:pPr>
            <w:r>
              <w:t>d.屠宰车间和待宰栏的地面应设计一定的坡度，一般为1.5%~3%，并设排水沟，上铺铁篦子，以便于清洗地面及排水；</w:t>
            </w:r>
          </w:p>
          <w:p>
            <w:pPr>
              <w:spacing w:before="120"/>
              <w:ind w:firstLine="0" w:firstLineChars="0"/>
              <w:jc w:val="center"/>
              <w:rPr>
                <w:b/>
                <w:color w:val="000000"/>
                <w:kern w:val="28"/>
                <w:sz w:val="21"/>
                <w:szCs w:val="21"/>
              </w:rPr>
            </w:pPr>
            <w:r>
              <w:rPr>
                <w:b/>
                <w:color w:val="000000"/>
                <w:kern w:val="28"/>
                <w:sz w:val="21"/>
                <w:szCs w:val="21"/>
              </w:rPr>
              <w:t xml:space="preserve">表4-7  </w:t>
            </w:r>
            <w:r>
              <w:rPr>
                <w:rFonts w:hint="eastAsia"/>
                <w:b/>
                <w:color w:val="000000"/>
                <w:kern w:val="28"/>
                <w:sz w:val="21"/>
                <w:szCs w:val="21"/>
              </w:rPr>
              <w:t>屠宰场恶臭污染物产生及排放情况</w:t>
            </w:r>
          </w:p>
          <w:tbl>
            <w:tblPr>
              <w:tblStyle w:val="23"/>
              <w:tblW w:w="8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38"/>
              <w:gridCol w:w="738"/>
              <w:gridCol w:w="738"/>
              <w:gridCol w:w="738"/>
              <w:gridCol w:w="738"/>
              <w:gridCol w:w="738"/>
              <w:gridCol w:w="746"/>
              <w:gridCol w:w="738"/>
              <w:gridCol w:w="738"/>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jc w:val="center"/>
              </w:trPr>
              <w:tc>
                <w:tcPr>
                  <w:tcW w:w="738" w:type="dxa"/>
                  <w:vMerge w:val="restart"/>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污染物</w:t>
                  </w:r>
                </w:p>
              </w:tc>
              <w:tc>
                <w:tcPr>
                  <w:tcW w:w="738" w:type="dxa"/>
                  <w:vMerge w:val="restart"/>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产生速率</w:t>
                  </w:r>
                  <w:r>
                    <w:rPr>
                      <w:rFonts w:cs="Times New Roman"/>
                      <w:bCs/>
                      <w:color w:val="000000"/>
                      <w:sz w:val="21"/>
                      <w:szCs w:val="21"/>
                    </w:rPr>
                    <w:t>k</w:t>
                  </w:r>
                  <w:r>
                    <w:rPr>
                      <w:rFonts w:hint="eastAsia" w:cs="Times New Roman"/>
                      <w:bCs/>
                      <w:color w:val="000000"/>
                      <w:sz w:val="21"/>
                      <w:szCs w:val="21"/>
                    </w:rPr>
                    <w:t>g/h</w:t>
                  </w:r>
                </w:p>
              </w:tc>
              <w:tc>
                <w:tcPr>
                  <w:tcW w:w="738" w:type="dxa"/>
                  <w:vMerge w:val="restart"/>
                  <w:tcBorders>
                    <w:top w:val="single" w:color="auto" w:sz="4" w:space="0"/>
                    <w:left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产生浓度</w:t>
                  </w:r>
                  <w:r>
                    <w:rPr>
                      <w:bCs/>
                      <w:sz w:val="18"/>
                      <w:szCs w:val="18"/>
                    </w:rPr>
                    <w:t>mg/m</w:t>
                  </w:r>
                  <w:r>
                    <w:rPr>
                      <w:bCs/>
                      <w:sz w:val="18"/>
                      <w:szCs w:val="18"/>
                      <w:vertAlign w:val="superscript"/>
                    </w:rPr>
                    <w:t>3</w:t>
                  </w:r>
                </w:p>
              </w:tc>
              <w:tc>
                <w:tcPr>
                  <w:tcW w:w="738" w:type="dxa"/>
                  <w:vMerge w:val="restart"/>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产生量t/a</w:t>
                  </w:r>
                </w:p>
              </w:tc>
              <w:tc>
                <w:tcPr>
                  <w:tcW w:w="738" w:type="dxa"/>
                  <w:vMerge w:val="restart"/>
                  <w:tcBorders>
                    <w:top w:val="single" w:color="auto" w:sz="4" w:space="0"/>
                    <w:left w:val="single" w:color="auto" w:sz="4" w:space="0"/>
                    <w:right w:val="single" w:color="auto" w:sz="4" w:space="0"/>
                  </w:tcBorders>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收集效率，处理效率</w:t>
                  </w:r>
                </w:p>
              </w:tc>
              <w:tc>
                <w:tcPr>
                  <w:tcW w:w="4439" w:type="dxa"/>
                  <w:gridSpan w:val="6"/>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left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left w:val="single" w:color="auto" w:sz="4" w:space="0"/>
                    <w:right w:val="single" w:color="auto" w:sz="4" w:space="0"/>
                  </w:tcBorders>
                </w:tcPr>
                <w:p>
                  <w:pPr>
                    <w:pStyle w:val="92"/>
                    <w:spacing w:before="120" w:line="240" w:lineRule="auto"/>
                    <w:ind w:firstLine="0" w:firstLineChars="0"/>
                    <w:jc w:val="center"/>
                    <w:rPr>
                      <w:rFonts w:cs="Times New Roman"/>
                      <w:bCs/>
                      <w:color w:val="000000"/>
                      <w:sz w:val="21"/>
                      <w:szCs w:val="21"/>
                    </w:rPr>
                  </w:pPr>
                </w:p>
              </w:tc>
              <w:tc>
                <w:tcPr>
                  <w:tcW w:w="2222" w:type="dxa"/>
                  <w:gridSpan w:val="3"/>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有组织</w:t>
                  </w:r>
                </w:p>
              </w:tc>
              <w:tc>
                <w:tcPr>
                  <w:tcW w:w="2216" w:type="dxa"/>
                  <w:gridSpan w:val="3"/>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jc w:val="center"/>
              </w:trPr>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738" w:type="dxa"/>
                  <w:vMerge w:val="continue"/>
                  <w:tcBorders>
                    <w:left w:val="single" w:color="auto" w:sz="4" w:space="0"/>
                    <w:bottom w:val="single" w:color="auto" w:sz="4" w:space="0"/>
                    <w:right w:val="single" w:color="auto" w:sz="4" w:space="0"/>
                  </w:tcBorders>
                </w:tcPr>
                <w:p>
                  <w:pPr>
                    <w:pStyle w:val="92"/>
                    <w:spacing w:before="120" w:line="240" w:lineRule="auto"/>
                    <w:ind w:firstLine="0" w:firstLineChars="0"/>
                    <w:jc w:val="center"/>
                    <w:rPr>
                      <w:rFonts w:cs="Times New Roman"/>
                      <w:bCs/>
                      <w:color w:val="000000"/>
                      <w:sz w:val="21"/>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排放浓度</w:t>
                  </w:r>
                  <w:r>
                    <w:rPr>
                      <w:bCs/>
                      <w:sz w:val="18"/>
                      <w:szCs w:val="18"/>
                    </w:rPr>
                    <w:t>mg/m</w:t>
                  </w:r>
                  <w:r>
                    <w:rPr>
                      <w:bCs/>
                      <w:sz w:val="18"/>
                      <w:szCs w:val="18"/>
                      <w:vertAlign w:val="superscript"/>
                    </w:rPr>
                    <w:t>3</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排放速率</w:t>
                  </w:r>
                  <w:r>
                    <w:rPr>
                      <w:rFonts w:cs="Times New Roman"/>
                      <w:bCs/>
                      <w:color w:val="000000"/>
                      <w:sz w:val="21"/>
                      <w:szCs w:val="21"/>
                    </w:rPr>
                    <w:t>k</w:t>
                  </w:r>
                  <w:r>
                    <w:rPr>
                      <w:rFonts w:hint="eastAsia" w:cs="Times New Roman"/>
                      <w:bCs/>
                      <w:color w:val="000000"/>
                      <w:sz w:val="21"/>
                      <w:szCs w:val="21"/>
                    </w:rPr>
                    <w:t>g/h</w:t>
                  </w:r>
                </w:p>
              </w:tc>
              <w:tc>
                <w:tcPr>
                  <w:tcW w:w="745"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排放量t/a</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排放浓度</w:t>
                  </w:r>
                  <w:r>
                    <w:rPr>
                      <w:bCs/>
                      <w:sz w:val="18"/>
                      <w:szCs w:val="18"/>
                    </w:rPr>
                    <w:t>mg/m</w:t>
                  </w:r>
                  <w:r>
                    <w:rPr>
                      <w:bCs/>
                      <w:sz w:val="18"/>
                      <w:szCs w:val="18"/>
                      <w:vertAlign w:val="superscript"/>
                    </w:rPr>
                    <w:t>3</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排放速率</w:t>
                  </w:r>
                  <w:r>
                    <w:rPr>
                      <w:rFonts w:cs="Times New Roman"/>
                      <w:bCs/>
                      <w:color w:val="000000"/>
                      <w:sz w:val="21"/>
                      <w:szCs w:val="21"/>
                    </w:rPr>
                    <w:t>k</w:t>
                  </w:r>
                  <w:r>
                    <w:rPr>
                      <w:rFonts w:hint="eastAsia" w:cs="Times New Roman"/>
                      <w:bCs/>
                      <w:color w:val="000000"/>
                      <w:sz w:val="21"/>
                      <w:szCs w:val="21"/>
                    </w:rPr>
                    <w:t>g/h</w:t>
                  </w:r>
                </w:p>
              </w:tc>
              <w:tc>
                <w:tcPr>
                  <w:tcW w:w="739"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NH</w:t>
                  </w:r>
                  <w:r>
                    <w:rPr>
                      <w:rFonts w:cs="Times New Roman"/>
                      <w:bCs/>
                      <w:color w:val="000000"/>
                      <w:sz w:val="21"/>
                      <w:szCs w:val="21"/>
                      <w:vertAlign w:val="subscript"/>
                    </w:rPr>
                    <w:t>3</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0.1</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1</w:t>
                  </w:r>
                  <w:r>
                    <w:rPr>
                      <w:rFonts w:cs="Times New Roman"/>
                      <w:bCs/>
                      <w:color w:val="000000"/>
                      <w:sz w:val="21"/>
                      <w:szCs w:val="21"/>
                    </w:rPr>
                    <w:t>0</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0.28</w:t>
                  </w:r>
                </w:p>
              </w:tc>
              <w:tc>
                <w:tcPr>
                  <w:tcW w:w="738" w:type="dxa"/>
                  <w:vMerge w:val="restart"/>
                  <w:tcBorders>
                    <w:top w:val="single" w:color="auto" w:sz="4" w:space="0"/>
                    <w:left w:val="single" w:color="auto" w:sz="4" w:space="0"/>
                    <w:right w:val="single" w:color="auto" w:sz="4" w:space="0"/>
                  </w:tcBorders>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9</w:t>
                  </w:r>
                  <w:r>
                    <w:rPr>
                      <w:rFonts w:cs="Times New Roman"/>
                      <w:bCs/>
                      <w:color w:val="000000"/>
                      <w:sz w:val="21"/>
                      <w:szCs w:val="21"/>
                    </w:rPr>
                    <w:t>0%</w:t>
                  </w:r>
                  <w:r>
                    <w:rPr>
                      <w:rFonts w:hint="eastAsia" w:cs="Times New Roman"/>
                      <w:bCs/>
                      <w:color w:val="000000"/>
                      <w:sz w:val="21"/>
                      <w:szCs w:val="21"/>
                    </w:rPr>
                    <w:t>，9</w:t>
                  </w:r>
                  <w:r>
                    <w:rPr>
                      <w:rFonts w:cs="Times New Roman"/>
                      <w:bCs/>
                      <w:color w:val="000000"/>
                      <w:sz w:val="21"/>
                      <w:szCs w:val="21"/>
                    </w:rPr>
                    <w:t>0%</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w:t>
                  </w:r>
                  <w:r>
                    <w:rPr>
                      <w:rFonts w:hint="eastAsia" w:cs="Times New Roman"/>
                      <w:bCs/>
                      <w:color w:val="000000"/>
                      <w:sz w:val="21"/>
                      <w:szCs w:val="21"/>
                    </w:rPr>
                    <w:t>9</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0.009</w:t>
                  </w:r>
                </w:p>
              </w:tc>
              <w:tc>
                <w:tcPr>
                  <w:tcW w:w="745"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.025</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.01</w:t>
                  </w:r>
                </w:p>
              </w:tc>
              <w:tc>
                <w:tcPr>
                  <w:tcW w:w="739"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H</w:t>
                  </w:r>
                  <w:r>
                    <w:rPr>
                      <w:rFonts w:cs="Times New Roman"/>
                      <w:bCs/>
                      <w:color w:val="000000"/>
                      <w:sz w:val="21"/>
                      <w:szCs w:val="21"/>
                      <w:vertAlign w:val="subscript"/>
                    </w:rPr>
                    <w:t>2</w:t>
                  </w:r>
                  <w:r>
                    <w:rPr>
                      <w:rFonts w:cs="Times New Roman"/>
                      <w:bCs/>
                      <w:color w:val="000000"/>
                      <w:sz w:val="21"/>
                      <w:szCs w:val="21"/>
                    </w:rPr>
                    <w:t>S</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.015</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1</w:t>
                  </w:r>
                  <w:r>
                    <w:rPr>
                      <w:rFonts w:cs="Times New Roman"/>
                      <w:bCs/>
                      <w:color w:val="000000"/>
                      <w:sz w:val="21"/>
                      <w:szCs w:val="21"/>
                    </w:rPr>
                    <w:t>.5</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0.042</w:t>
                  </w:r>
                </w:p>
              </w:tc>
              <w:tc>
                <w:tcPr>
                  <w:tcW w:w="738" w:type="dxa"/>
                  <w:vMerge w:val="continue"/>
                  <w:tcBorders>
                    <w:left w:val="single" w:color="auto" w:sz="4" w:space="0"/>
                    <w:bottom w:val="single" w:color="auto" w:sz="4" w:space="0"/>
                    <w:right w:val="single" w:color="auto" w:sz="4" w:space="0"/>
                  </w:tcBorders>
                </w:tcPr>
                <w:p>
                  <w:pPr>
                    <w:pStyle w:val="92"/>
                    <w:spacing w:before="120" w:line="240" w:lineRule="auto"/>
                    <w:ind w:firstLine="0" w:firstLineChars="0"/>
                    <w:jc w:val="center"/>
                    <w:rPr>
                      <w:rFonts w:cs="Times New Roman"/>
                      <w:bCs/>
                      <w:color w:val="000000"/>
                      <w:sz w:val="21"/>
                      <w:szCs w:val="21"/>
                    </w:rPr>
                  </w:pP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.1</w:t>
                  </w:r>
                  <w:r>
                    <w:rPr>
                      <w:rFonts w:hint="eastAsia" w:cs="Times New Roman"/>
                      <w:bCs/>
                      <w:color w:val="000000"/>
                      <w:sz w:val="21"/>
                      <w:szCs w:val="21"/>
                    </w:rPr>
                    <w:t>35</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0.00</w:t>
                  </w:r>
                  <w:r>
                    <w:rPr>
                      <w:rFonts w:hint="eastAsia" w:cs="Times New Roman"/>
                      <w:bCs/>
                      <w:color w:val="000000"/>
                      <w:sz w:val="21"/>
                      <w:szCs w:val="21"/>
                    </w:rPr>
                    <w:t>14</w:t>
                  </w:r>
                </w:p>
              </w:tc>
              <w:tc>
                <w:tcPr>
                  <w:tcW w:w="745"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.004</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w:t>
                  </w:r>
                </w:p>
              </w:tc>
              <w:tc>
                <w:tcPr>
                  <w:tcW w:w="73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.001</w:t>
                  </w:r>
                </w:p>
              </w:tc>
              <w:tc>
                <w:tcPr>
                  <w:tcW w:w="739"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.004</w:t>
                  </w:r>
                </w:p>
              </w:tc>
            </w:tr>
          </w:tbl>
          <w:p>
            <w:pPr>
              <w:spacing w:before="240" w:beforeLines="100"/>
              <w:ind w:firstLine="480"/>
              <w:rPr>
                <w:bCs/>
                <w:color w:val="000000"/>
              </w:rPr>
            </w:pPr>
            <w:r>
              <w:rPr>
                <w:rFonts w:hint="eastAsia"/>
                <w:bCs/>
                <w:color w:val="000000"/>
              </w:rPr>
              <w:t>（2）污水处理站臭气</w:t>
            </w:r>
          </w:p>
          <w:p>
            <w:pPr>
              <w:spacing w:before="240" w:beforeLines="100"/>
              <w:ind w:firstLine="480"/>
              <w:jc w:val="left"/>
            </w:pPr>
            <w:r>
              <w:t>根据美国EPA对城市污水处理厂恶臭污染物产生情况的研究，每处理1g的BOD</w:t>
            </w:r>
            <w:r>
              <w:rPr>
                <w:vertAlign w:val="subscript"/>
              </w:rPr>
              <w:t>5</w:t>
            </w:r>
            <w:r>
              <w:t>可产生0.0031g的NH</w:t>
            </w:r>
            <w:r>
              <w:rPr>
                <w:vertAlign w:val="subscript"/>
              </w:rPr>
              <w:t>3</w:t>
            </w:r>
            <w:r>
              <w:t>和0.00012g的H</w:t>
            </w:r>
            <w:r>
              <w:rPr>
                <w:vertAlign w:val="subscript"/>
              </w:rPr>
              <w:t>2</w:t>
            </w:r>
            <w:r>
              <w:t>S，本项目BOD</w:t>
            </w:r>
            <w:r>
              <w:rPr>
                <w:vertAlign w:val="subscript"/>
              </w:rPr>
              <w:t>5</w:t>
            </w:r>
            <w:r>
              <w:t xml:space="preserve">处理的量为 </w:t>
            </w:r>
            <w:r>
              <w:rPr>
                <w:rFonts w:hint="eastAsia"/>
              </w:rPr>
              <w:t>21.43</w:t>
            </w:r>
            <w:r>
              <w:t>t/a，因此项目恶臭污染物NH</w:t>
            </w:r>
            <w:r>
              <w:rPr>
                <w:vertAlign w:val="subscript"/>
              </w:rPr>
              <w:t>3</w:t>
            </w:r>
            <w:r>
              <w:t>、H</w:t>
            </w:r>
            <w:r>
              <w:rPr>
                <w:vertAlign w:val="subscript"/>
              </w:rPr>
              <w:t>2</w:t>
            </w:r>
            <w:r>
              <w:t>S的产生源强分别为0.</w:t>
            </w:r>
            <w:r>
              <w:rPr>
                <w:rFonts w:hint="eastAsia"/>
              </w:rPr>
              <w:t>066</w:t>
            </w:r>
            <w:r>
              <w:t>t/a、0.00</w:t>
            </w:r>
            <w:r>
              <w:rPr>
                <w:rFonts w:hint="eastAsia"/>
              </w:rPr>
              <w:t>3</w:t>
            </w:r>
            <w:r>
              <w:t>t/a。恶臭污染物主要来源于格栅、调节池、污泥池等单元。污水处理站采用地上式，除了</w:t>
            </w:r>
            <w:r>
              <w:rPr>
                <w:rFonts w:hint="eastAsia"/>
              </w:rPr>
              <w:t>曝气池</w:t>
            </w:r>
            <w:r>
              <w:t>外其余设施加盖密闭，废气经负压收集后，引入屠宰车间的</w:t>
            </w:r>
            <w:r>
              <w:rPr>
                <w:rFonts w:hint="eastAsia"/>
                <w:bCs/>
                <w:color w:val="000000"/>
                <w:kern w:val="2"/>
                <w:szCs w:val="22"/>
              </w:rPr>
              <w:t>生物（或碱）喷淋塔</w:t>
            </w:r>
            <w:r>
              <w:t>装置（设计风量为</w:t>
            </w:r>
            <w:r>
              <w:rPr>
                <w:rFonts w:hint="eastAsia"/>
              </w:rPr>
              <w:t>3</w:t>
            </w:r>
            <w:r>
              <w:t>000m</w:t>
            </w:r>
            <w:r>
              <w:rPr>
                <w:vertAlign w:val="superscript"/>
              </w:rPr>
              <w:t>3</w:t>
            </w:r>
            <w:r>
              <w:t>/h）吸附处理后经一根15m高排气筒（</w:t>
            </w:r>
            <w:r>
              <w:rPr>
                <w:rFonts w:hint="eastAsia"/>
              </w:rPr>
              <w:t>DA002</w:t>
            </w:r>
            <w:r>
              <w:t>）高空排放。污泥浓缩间和其他产生臭气的车间均设置有密闭装置，经过抽风后汇集至</w:t>
            </w:r>
            <w:r>
              <w:rPr>
                <w:rFonts w:hint="eastAsia"/>
                <w:bCs/>
                <w:color w:val="000000"/>
              </w:rPr>
              <w:t>生物（或碱）喷淋塔</w:t>
            </w:r>
            <w:r>
              <w:t>，污水站为地上设置，好氧段为露天设置，仅有此环节的恶臭气体为露天散发，由于本项目的污水站规模很小，曝气阶段的恶臭气体产生量和产生浓度都较低。按最保守估计，曝气阶段的恶臭气体占全部污水站产生量的10%，其余恶臭气体均经抽吸后由</w:t>
            </w:r>
            <w:r>
              <w:rPr>
                <w:rFonts w:hint="eastAsia"/>
              </w:rPr>
              <w:t>生物（或碱）喷淋塔</w:t>
            </w:r>
            <w:r>
              <w:t>处置后经排气筒排放。</w:t>
            </w:r>
          </w:p>
          <w:p>
            <w:pPr>
              <w:spacing w:before="240" w:beforeLines="100"/>
              <w:ind w:firstLine="480"/>
              <w:jc w:val="left"/>
            </w:pPr>
            <w:r>
              <w:rPr>
                <w:rFonts w:hint="eastAsia"/>
              </w:rPr>
              <w:t>本评价无组织排放的恶臭气体占10%，收集的恶臭气体占90%，恶臭气体的处理效率按90%计。本项目年工作3</w:t>
            </w:r>
            <w:r>
              <w:t>5</w:t>
            </w:r>
            <w:r>
              <w:rPr>
                <w:rFonts w:hint="eastAsia"/>
              </w:rPr>
              <w:t>0天，每天24小时，即每年工作8</w:t>
            </w:r>
            <w:r>
              <w:t>400</w:t>
            </w:r>
            <w:r>
              <w:rPr>
                <w:rFonts w:hint="eastAsia"/>
              </w:rPr>
              <w:t>h。</w:t>
            </w:r>
            <w:r>
              <w:rPr>
                <w:rFonts w:hint="eastAsia"/>
                <w:color w:val="000000"/>
                <w:kern w:val="28"/>
              </w:rPr>
              <w:t>恶臭污染物排放情况如下：</w:t>
            </w:r>
          </w:p>
          <w:p>
            <w:pPr>
              <w:spacing w:before="120"/>
              <w:ind w:firstLine="0" w:firstLineChars="0"/>
              <w:jc w:val="center"/>
              <w:rPr>
                <w:b/>
                <w:color w:val="000000"/>
                <w:kern w:val="28"/>
                <w:sz w:val="21"/>
                <w:szCs w:val="21"/>
              </w:rPr>
            </w:pPr>
            <w:r>
              <w:rPr>
                <w:b/>
                <w:color w:val="000000"/>
                <w:kern w:val="28"/>
                <w:sz w:val="21"/>
                <w:szCs w:val="21"/>
              </w:rPr>
              <w:t xml:space="preserve">表4-8 </w:t>
            </w:r>
            <w:r>
              <w:rPr>
                <w:rFonts w:hint="eastAsia"/>
                <w:b/>
                <w:color w:val="000000"/>
                <w:kern w:val="28"/>
                <w:sz w:val="21"/>
                <w:szCs w:val="21"/>
              </w:rPr>
              <w:t>污水处理站恶臭污染物产生及排放情况</w:t>
            </w:r>
          </w:p>
          <w:tbl>
            <w:tblPr>
              <w:tblStyle w:val="23"/>
              <w:tblW w:w="8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08"/>
              <w:gridCol w:w="808"/>
              <w:gridCol w:w="808"/>
              <w:gridCol w:w="808"/>
              <w:gridCol w:w="808"/>
              <w:gridCol w:w="815"/>
              <w:gridCol w:w="808"/>
              <w:gridCol w:w="808"/>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808" w:type="dxa"/>
                  <w:vMerge w:val="restart"/>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污染物</w:t>
                  </w:r>
                </w:p>
              </w:tc>
              <w:tc>
                <w:tcPr>
                  <w:tcW w:w="808" w:type="dxa"/>
                  <w:vMerge w:val="restart"/>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产生速率kg/h</w:t>
                  </w:r>
                </w:p>
              </w:tc>
              <w:tc>
                <w:tcPr>
                  <w:tcW w:w="808" w:type="dxa"/>
                  <w:vMerge w:val="restart"/>
                  <w:tcBorders>
                    <w:top w:val="single" w:color="auto" w:sz="4" w:space="0"/>
                    <w:left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产生量t/a</w:t>
                  </w:r>
                </w:p>
              </w:tc>
              <w:tc>
                <w:tcPr>
                  <w:tcW w:w="808" w:type="dxa"/>
                  <w:vMerge w:val="restart"/>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处理效率</w:t>
                  </w:r>
                </w:p>
              </w:tc>
              <w:tc>
                <w:tcPr>
                  <w:tcW w:w="4855" w:type="dxa"/>
                  <w:gridSpan w:val="6"/>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0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vMerge w:val="continue"/>
                  <w:tcBorders>
                    <w:left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2431" w:type="dxa"/>
                  <w:gridSpan w:val="3"/>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有组织</w:t>
                  </w:r>
                </w:p>
              </w:tc>
              <w:tc>
                <w:tcPr>
                  <w:tcW w:w="2424" w:type="dxa"/>
                  <w:gridSpan w:val="3"/>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80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vMerge w:val="continue"/>
                  <w:tcBorders>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vMerge w:val="continue"/>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排放浓度</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排放速率kg/h</w:t>
                  </w:r>
                </w:p>
              </w:tc>
              <w:tc>
                <w:tcPr>
                  <w:tcW w:w="815"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排放量t/a</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排放浓度</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排放速率kg/h</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NH</w:t>
                  </w:r>
                  <w:r>
                    <w:rPr>
                      <w:rFonts w:cs="Times New Roman"/>
                      <w:bCs/>
                      <w:color w:val="000000"/>
                      <w:sz w:val="21"/>
                      <w:szCs w:val="21"/>
                      <w:vertAlign w:val="subscript"/>
                    </w:rPr>
                    <w:t>3</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0.0079</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0.066</w:t>
                  </w:r>
                </w:p>
              </w:tc>
              <w:tc>
                <w:tcPr>
                  <w:tcW w:w="808" w:type="dxa"/>
                  <w:vMerge w:val="restart"/>
                  <w:tcBorders>
                    <w:top w:val="single" w:color="auto" w:sz="4" w:space="0"/>
                    <w:left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9</w:t>
                  </w:r>
                  <w:r>
                    <w:rPr>
                      <w:rFonts w:cs="Times New Roman"/>
                      <w:bCs/>
                      <w:color w:val="000000"/>
                      <w:sz w:val="21"/>
                      <w:szCs w:val="21"/>
                    </w:rPr>
                    <w:t>0</w:t>
                  </w:r>
                  <w:r>
                    <w:rPr>
                      <w:rFonts w:hint="eastAsia" w:cs="Times New Roman"/>
                      <w:bCs/>
                      <w:color w:val="000000"/>
                      <w:sz w:val="21"/>
                      <w:szCs w:val="21"/>
                    </w:rPr>
                    <w:t>%</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w:t>
                  </w:r>
                  <w:r>
                    <w:rPr>
                      <w:rFonts w:hint="eastAsia" w:cs="Times New Roman"/>
                      <w:bCs/>
                      <w:color w:val="000000"/>
                      <w:sz w:val="21"/>
                      <w:szCs w:val="21"/>
                    </w:rPr>
                    <w:t>236</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0.00</w:t>
                  </w:r>
                  <w:r>
                    <w:rPr>
                      <w:rFonts w:hint="eastAsia" w:cs="Times New Roman"/>
                      <w:bCs/>
                      <w:color w:val="000000"/>
                      <w:sz w:val="21"/>
                      <w:szCs w:val="21"/>
                    </w:rPr>
                    <w:t>071</w:t>
                  </w:r>
                </w:p>
              </w:tc>
              <w:tc>
                <w:tcPr>
                  <w:tcW w:w="815"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0.00594</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0.00</w:t>
                  </w:r>
                  <w:r>
                    <w:rPr>
                      <w:rFonts w:hint="eastAsia" w:cs="Times New Roman"/>
                      <w:bCs/>
                      <w:color w:val="000000"/>
                      <w:sz w:val="21"/>
                      <w:szCs w:val="21"/>
                    </w:rPr>
                    <w:t>079</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 xml:space="preserve">0.0066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H</w:t>
                  </w:r>
                  <w:r>
                    <w:rPr>
                      <w:rFonts w:cs="Times New Roman"/>
                      <w:bCs/>
                      <w:color w:val="000000"/>
                      <w:sz w:val="21"/>
                      <w:szCs w:val="21"/>
                      <w:vertAlign w:val="subscript"/>
                    </w:rPr>
                    <w:t>2</w:t>
                  </w:r>
                  <w:r>
                    <w:rPr>
                      <w:rFonts w:cs="Times New Roman"/>
                      <w:bCs/>
                      <w:color w:val="000000"/>
                      <w:sz w:val="21"/>
                      <w:szCs w:val="21"/>
                    </w:rPr>
                    <w:t>S</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0.000</w:t>
                  </w:r>
                  <w:r>
                    <w:rPr>
                      <w:rFonts w:hint="eastAsia" w:cs="Times New Roman"/>
                      <w:bCs/>
                      <w:color w:val="000000"/>
                      <w:sz w:val="21"/>
                      <w:szCs w:val="21"/>
                    </w:rPr>
                    <w:t>3</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0.003</w:t>
                  </w:r>
                </w:p>
              </w:tc>
              <w:tc>
                <w:tcPr>
                  <w:tcW w:w="808" w:type="dxa"/>
                  <w:vMerge w:val="continue"/>
                  <w:tcBorders>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w:t>
                  </w:r>
                  <w:r>
                    <w:rPr>
                      <w:rFonts w:hint="eastAsia" w:cs="Times New Roman"/>
                      <w:bCs/>
                      <w:color w:val="000000"/>
                      <w:sz w:val="21"/>
                      <w:szCs w:val="21"/>
                    </w:rPr>
                    <w:t>096</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0.0000</w:t>
                  </w:r>
                  <w:r>
                    <w:rPr>
                      <w:rFonts w:hint="eastAsia" w:cs="Times New Roman"/>
                      <w:bCs/>
                      <w:color w:val="000000"/>
                      <w:sz w:val="21"/>
                      <w:szCs w:val="21"/>
                    </w:rPr>
                    <w:t>3</w:t>
                  </w:r>
                </w:p>
              </w:tc>
              <w:tc>
                <w:tcPr>
                  <w:tcW w:w="815"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0.00027</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cs="Times New Roman"/>
                      <w:bCs/>
                      <w:color w:val="000000"/>
                      <w:sz w:val="21"/>
                      <w:szCs w:val="21"/>
                    </w:rPr>
                    <w:t>0.0000</w:t>
                  </w:r>
                  <w:r>
                    <w:rPr>
                      <w:rFonts w:hint="eastAsia" w:cs="Times New Roman"/>
                      <w:bCs/>
                      <w:color w:val="000000"/>
                      <w:sz w:val="21"/>
                      <w:szCs w:val="21"/>
                    </w:rPr>
                    <w:t>3</w:t>
                  </w:r>
                </w:p>
              </w:tc>
              <w:tc>
                <w:tcPr>
                  <w:tcW w:w="808" w:type="dxa"/>
                  <w:tcBorders>
                    <w:top w:val="single" w:color="auto" w:sz="4" w:space="0"/>
                    <w:left w:val="single" w:color="auto" w:sz="4" w:space="0"/>
                    <w:bottom w:val="single" w:color="auto" w:sz="4" w:space="0"/>
                    <w:right w:val="single" w:color="auto" w:sz="4" w:space="0"/>
                  </w:tcBorders>
                  <w:vAlign w:val="center"/>
                </w:tcPr>
                <w:p>
                  <w:pPr>
                    <w:pStyle w:val="92"/>
                    <w:spacing w:before="120" w:line="240" w:lineRule="auto"/>
                    <w:ind w:firstLine="0" w:firstLineChars="0"/>
                    <w:jc w:val="center"/>
                    <w:rPr>
                      <w:rFonts w:cs="Times New Roman"/>
                      <w:bCs/>
                      <w:color w:val="000000"/>
                      <w:sz w:val="21"/>
                      <w:szCs w:val="21"/>
                    </w:rPr>
                  </w:pPr>
                  <w:r>
                    <w:rPr>
                      <w:rFonts w:hint="eastAsia" w:cs="Times New Roman"/>
                      <w:bCs/>
                      <w:color w:val="000000"/>
                      <w:sz w:val="21"/>
                      <w:szCs w:val="21"/>
                    </w:rPr>
                    <w:t xml:space="preserve">0.0003 </w:t>
                  </w:r>
                </w:p>
              </w:tc>
            </w:tr>
          </w:tbl>
          <w:p>
            <w:pPr>
              <w:spacing w:before="120"/>
              <w:ind w:firstLine="480"/>
            </w:pPr>
            <w:r>
              <w:rPr>
                <w:rFonts w:hint="eastAsia"/>
              </w:rPr>
              <w:t>（3）无害化处理间臭</w:t>
            </w:r>
            <w:r>
              <w:t xml:space="preserve">气 </w:t>
            </w:r>
          </w:p>
          <w:p>
            <w:pPr>
              <w:spacing w:before="120"/>
              <w:ind w:firstLine="480"/>
            </w:pPr>
            <w:r>
              <w:t>项</w:t>
            </w:r>
            <w:r>
              <w:rPr>
                <w:rFonts w:hint="eastAsia"/>
              </w:rPr>
              <w:t>目对病死</w:t>
            </w:r>
            <w:r>
              <w:t>牲畜及屠宰废物通过</w:t>
            </w:r>
            <w:r>
              <w:rPr>
                <w:rFonts w:hint="eastAsia"/>
              </w:rPr>
              <w:t>无害化化制机进行处理，降解处理过程中会产生一定的恶臭气体，恶臭气体主要污染物为</w:t>
            </w:r>
            <w:r>
              <w:t>NH</w:t>
            </w:r>
            <w:r>
              <w:rPr>
                <w:vertAlign w:val="subscript"/>
              </w:rPr>
              <w:t>3</w:t>
            </w:r>
            <w:r>
              <w:rPr>
                <w:rFonts w:hint="eastAsia"/>
              </w:rPr>
              <w:t>、</w:t>
            </w:r>
            <w:r>
              <w:t>H</w:t>
            </w:r>
            <w:r>
              <w:rPr>
                <w:vertAlign w:val="subscript"/>
              </w:rPr>
              <w:t>2</w:t>
            </w:r>
            <w:r>
              <w:t>S</w:t>
            </w:r>
            <w:r>
              <w:rPr>
                <w:rFonts w:hint="eastAsia"/>
              </w:rPr>
              <w:t>。</w:t>
            </w:r>
          </w:p>
          <w:p>
            <w:pPr>
              <w:spacing w:before="120"/>
              <w:ind w:firstLine="480"/>
            </w:pPr>
            <w:r>
              <w:rPr>
                <w:rFonts w:hint="eastAsia"/>
              </w:rPr>
              <w:t>本项目无害化处理为高温降解干法化制，工艺原理为病死</w:t>
            </w:r>
            <w:r>
              <w:t>牲畜及屠宰废物</w:t>
            </w:r>
            <w:r>
              <w:rPr>
                <w:rFonts w:hint="eastAsia"/>
              </w:rPr>
              <w:t>等送入无害化化制机，经分切、绞碎后由益生菌进行生物降解处理，并进行后续的高温杀菌处理的处置技术。无害化化制机占地面积小，处置速度较快，杀灭病原彻底，产物可利用率高，适合屠宰场病死</w:t>
            </w:r>
            <w:r>
              <w:t>牲畜及屠宰废物</w:t>
            </w:r>
            <w:r>
              <w:rPr>
                <w:rFonts w:hint="eastAsia"/>
              </w:rPr>
              <w:t>处理。干法化制过程产生的恶臭污染物参考第二次全国污染源普查工作配套发放的工业源系数手册（试用版）中《0</w:t>
            </w:r>
            <w:r>
              <w:t>539</w:t>
            </w:r>
            <w:r>
              <w:rPr>
                <w:rFonts w:hint="eastAsia"/>
              </w:rPr>
              <w:t>其它畜牧专业及辅助性活动（畜禽尸体化制）》（2</w:t>
            </w:r>
            <w:r>
              <w:t>019</w:t>
            </w:r>
            <w:r>
              <w:rPr>
                <w:rFonts w:hint="eastAsia"/>
              </w:rPr>
              <w:t>年4月）所给出的相关数据，氨的产生系数为6</w:t>
            </w:r>
            <w:r>
              <w:t>38g/t</w:t>
            </w:r>
            <w:r>
              <w:rPr>
                <w:rFonts w:hint="eastAsia"/>
              </w:rPr>
              <w:t>原料，本项目屠宰的肉牛均重500kg，屠宰的肉羊均重50kg，单只肉牛的不可食用及病变部位1kg，单只肉羊的0.1kg，本项目年屠宰牛只1750头、羊5</w:t>
            </w:r>
            <w:r>
              <w:t>0</w:t>
            </w:r>
            <w:r>
              <w:rPr>
                <w:rFonts w:hint="eastAsia"/>
              </w:rPr>
              <w:t>7</w:t>
            </w:r>
            <w:r>
              <w:t>5</w:t>
            </w:r>
            <w:r>
              <w:rPr>
                <w:rFonts w:hint="eastAsia"/>
              </w:rPr>
              <w:t>0头；一般进场屠宰的牲畜疫病率0.01-0.05%，本项目取0.03%，年均无害化处理1头牛，1</w:t>
            </w:r>
            <w:r>
              <w:t>5</w:t>
            </w:r>
            <w:r>
              <w:rPr>
                <w:rFonts w:hint="eastAsia"/>
              </w:rPr>
              <w:t>只羊，共1</w:t>
            </w:r>
            <w:r>
              <w:t>.</w:t>
            </w:r>
            <w:r>
              <w:rPr>
                <w:rFonts w:hint="eastAsia"/>
              </w:rPr>
              <w:t>25</w:t>
            </w:r>
            <w:r>
              <w:t>t/a</w:t>
            </w:r>
            <w:r>
              <w:rPr>
                <w:rFonts w:hint="eastAsia"/>
              </w:rPr>
              <w:t>。不可食用部位中，牛为1</w:t>
            </w:r>
            <w:r>
              <w:t>.7</w:t>
            </w:r>
            <w:r>
              <w:rPr>
                <w:rFonts w:hint="eastAsia"/>
              </w:rPr>
              <w:t>5t/a，羊为5</w:t>
            </w:r>
            <w:r>
              <w:t>.0</w:t>
            </w:r>
            <w:r>
              <w:rPr>
                <w:rFonts w:hint="eastAsia"/>
              </w:rPr>
              <w:t>8t/a，不可食用部分合计6.83t/a，项目需无害化处理量总计为8.08</w:t>
            </w:r>
            <w:r>
              <w:t>t</w:t>
            </w:r>
            <w:r>
              <w:rPr>
                <w:rFonts w:hint="eastAsia"/>
              </w:rPr>
              <w:t>/a。则氨的产生量为5.16kg/a，</w:t>
            </w:r>
            <w:r>
              <w:t>H</w:t>
            </w:r>
            <w:r>
              <w:rPr>
                <w:vertAlign w:val="subscript"/>
              </w:rPr>
              <w:t>2</w:t>
            </w:r>
            <w:r>
              <w:t>S</w:t>
            </w:r>
            <w:r>
              <w:rPr>
                <w:rFonts w:hint="eastAsia"/>
              </w:rPr>
              <w:t>产生量参考该文献中恶臭源强中</w:t>
            </w:r>
            <w:r>
              <w:t>NH</w:t>
            </w:r>
            <w:r>
              <w:rPr>
                <w:vertAlign w:val="subscript"/>
              </w:rPr>
              <w:t>3</w:t>
            </w:r>
            <w:r>
              <w:rPr>
                <w:rFonts w:hint="eastAsia"/>
              </w:rPr>
              <w:t>与</w:t>
            </w:r>
            <w:r>
              <w:t>H</w:t>
            </w:r>
            <w:r>
              <w:rPr>
                <w:vertAlign w:val="subscript"/>
              </w:rPr>
              <w:t>2</w:t>
            </w:r>
            <w:r>
              <w:t>S</w:t>
            </w:r>
            <w:r>
              <w:rPr>
                <w:rFonts w:hint="eastAsia"/>
              </w:rPr>
              <w:t>的排放强度比例8：1，故</w:t>
            </w:r>
            <w:r>
              <w:t>H</w:t>
            </w:r>
            <w:r>
              <w:rPr>
                <w:vertAlign w:val="subscript"/>
              </w:rPr>
              <w:t>2</w:t>
            </w:r>
            <w:r>
              <w:t>S</w:t>
            </w:r>
            <w:r>
              <w:rPr>
                <w:rFonts w:hint="eastAsia"/>
              </w:rPr>
              <w:t>的产生量为0</w:t>
            </w:r>
            <w:r>
              <w:t>.6</w:t>
            </w:r>
            <w:r>
              <w:rPr>
                <w:rFonts w:hint="eastAsia"/>
              </w:rPr>
              <w:t>4kg/a，臭气浓度参照前述屠宰车间臭氧深度。1台化制法无害化处理设备每次处理量为2</w:t>
            </w:r>
            <w:r>
              <w:t>00kg</w:t>
            </w:r>
            <w:r>
              <w:rPr>
                <w:rFonts w:hint="eastAsia"/>
              </w:rPr>
              <w:t>，化制处理时间为5小时，全年处理时间为205小时，无害化处理间全密闭，风机风量为</w:t>
            </w:r>
            <w:r>
              <w:t>5000m</w:t>
            </w:r>
            <w:r>
              <w:rPr>
                <w:vertAlign w:val="superscript"/>
              </w:rPr>
              <w:t>3</w:t>
            </w:r>
            <w:r>
              <w:t>/h</w:t>
            </w:r>
            <w:r>
              <w:rPr>
                <w:rFonts w:hint="eastAsia"/>
              </w:rPr>
              <w:t>，运行时恶臭污染物产生及排放情况如下所示：</w:t>
            </w:r>
          </w:p>
          <w:p>
            <w:pPr>
              <w:spacing w:before="120"/>
              <w:ind w:firstLine="0" w:firstLineChars="0"/>
              <w:jc w:val="center"/>
              <w:rPr>
                <w:b/>
                <w:color w:val="000000"/>
                <w:kern w:val="28"/>
                <w:sz w:val="21"/>
                <w:szCs w:val="21"/>
              </w:rPr>
            </w:pPr>
            <w:r>
              <w:rPr>
                <w:b/>
                <w:color w:val="000000"/>
                <w:kern w:val="28"/>
                <w:sz w:val="21"/>
                <w:szCs w:val="21"/>
              </w:rPr>
              <w:t xml:space="preserve">表4-9  </w:t>
            </w:r>
            <w:r>
              <w:rPr>
                <w:rFonts w:hint="eastAsia"/>
                <w:b/>
                <w:color w:val="000000"/>
                <w:kern w:val="28"/>
                <w:sz w:val="21"/>
                <w:szCs w:val="21"/>
              </w:rPr>
              <w:t>无害化处理间恶臭污染物产生及排放情况</w:t>
            </w:r>
          </w:p>
          <w:tbl>
            <w:tblPr>
              <w:tblStyle w:val="22"/>
              <w:tblW w:w="7877" w:type="dxa"/>
              <w:jc w:val="center"/>
              <w:tblLayout w:type="fixed"/>
              <w:tblCellMar>
                <w:top w:w="0" w:type="dxa"/>
                <w:left w:w="108" w:type="dxa"/>
                <w:bottom w:w="0" w:type="dxa"/>
                <w:right w:w="108" w:type="dxa"/>
              </w:tblCellMar>
            </w:tblPr>
            <w:tblGrid>
              <w:gridCol w:w="1127"/>
              <w:gridCol w:w="773"/>
              <w:gridCol w:w="793"/>
              <w:gridCol w:w="793"/>
              <w:gridCol w:w="1002"/>
              <w:gridCol w:w="1127"/>
              <w:gridCol w:w="1127"/>
              <w:gridCol w:w="1135"/>
            </w:tblGrid>
            <w:tr>
              <w:tblPrEx>
                <w:tblCellMar>
                  <w:top w:w="0" w:type="dxa"/>
                  <w:left w:w="108" w:type="dxa"/>
                  <w:bottom w:w="0" w:type="dxa"/>
                  <w:right w:w="108" w:type="dxa"/>
                </w:tblCellMar>
              </w:tblPrEx>
              <w:trPr>
                <w:trHeight w:val="228" w:hRule="atLeast"/>
                <w:jc w:val="center"/>
              </w:trPr>
              <w:tc>
                <w:tcPr>
                  <w:tcW w:w="112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污染物</w:t>
                  </w:r>
                </w:p>
              </w:tc>
              <w:tc>
                <w:tcPr>
                  <w:tcW w:w="77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产生速率k</w:t>
                  </w:r>
                  <w:r>
                    <w:rPr>
                      <w:color w:val="000000"/>
                      <w:sz w:val="21"/>
                      <w:szCs w:val="21"/>
                    </w:rPr>
                    <w:t>g/h</w:t>
                  </w:r>
                </w:p>
              </w:tc>
              <w:tc>
                <w:tcPr>
                  <w:tcW w:w="79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产生浓度</w:t>
                  </w:r>
                  <w:r>
                    <w:rPr>
                      <w:color w:val="000000"/>
                      <w:sz w:val="21"/>
                      <w:szCs w:val="21"/>
                    </w:rPr>
                    <w:t>mg/m</w:t>
                  </w:r>
                  <w:r>
                    <w:rPr>
                      <w:color w:val="000000"/>
                      <w:sz w:val="21"/>
                      <w:szCs w:val="21"/>
                      <w:vertAlign w:val="superscript"/>
                    </w:rPr>
                    <w:t>3</w:t>
                  </w:r>
                </w:p>
              </w:tc>
              <w:tc>
                <w:tcPr>
                  <w:tcW w:w="793"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产生量</w:t>
                  </w:r>
                  <w:r>
                    <w:rPr>
                      <w:rFonts w:hint="eastAsia"/>
                      <w:color w:val="000000"/>
                      <w:sz w:val="21"/>
                      <w:szCs w:val="21"/>
                    </w:rPr>
                    <w:t>kg</w:t>
                  </w:r>
                  <w:r>
                    <w:rPr>
                      <w:color w:val="000000"/>
                      <w:sz w:val="21"/>
                      <w:szCs w:val="21"/>
                    </w:rPr>
                    <w:t>/a</w:t>
                  </w:r>
                </w:p>
              </w:tc>
              <w:tc>
                <w:tcPr>
                  <w:tcW w:w="100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收集效率，处理效率</w:t>
                  </w:r>
                </w:p>
              </w:tc>
              <w:tc>
                <w:tcPr>
                  <w:tcW w:w="3389" w:type="dxa"/>
                  <w:gridSpan w:val="3"/>
                  <w:tcBorders>
                    <w:top w:val="single" w:color="auto" w:sz="8" w:space="0"/>
                    <w:left w:val="nil"/>
                    <w:bottom w:val="single" w:color="auto" w:sz="8" w:space="0"/>
                    <w:right w:val="single" w:color="000000"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排放情况</w:t>
                  </w:r>
                </w:p>
              </w:tc>
            </w:tr>
            <w:tr>
              <w:tblPrEx>
                <w:tblCellMar>
                  <w:top w:w="0" w:type="dxa"/>
                  <w:left w:w="108" w:type="dxa"/>
                  <w:bottom w:w="0" w:type="dxa"/>
                  <w:right w:w="108" w:type="dxa"/>
                </w:tblCellMar>
              </w:tblPrEx>
              <w:trPr>
                <w:trHeight w:val="228" w:hRule="atLeast"/>
                <w:jc w:val="center"/>
              </w:trPr>
              <w:tc>
                <w:tcPr>
                  <w:tcW w:w="1127"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773"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793"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793"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1002"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3389" w:type="dxa"/>
                  <w:gridSpan w:val="3"/>
                  <w:tcBorders>
                    <w:top w:val="single" w:color="auto" w:sz="8" w:space="0"/>
                    <w:left w:val="nil"/>
                    <w:bottom w:val="single" w:color="auto" w:sz="8" w:space="0"/>
                    <w:right w:val="single" w:color="000000"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有组织</w:t>
                  </w:r>
                </w:p>
              </w:tc>
            </w:tr>
            <w:tr>
              <w:tblPrEx>
                <w:tblCellMar>
                  <w:top w:w="0" w:type="dxa"/>
                  <w:left w:w="108" w:type="dxa"/>
                  <w:bottom w:w="0" w:type="dxa"/>
                  <w:right w:w="108" w:type="dxa"/>
                </w:tblCellMar>
              </w:tblPrEx>
              <w:trPr>
                <w:trHeight w:val="416" w:hRule="atLeast"/>
                <w:jc w:val="center"/>
              </w:trPr>
              <w:tc>
                <w:tcPr>
                  <w:tcW w:w="1127"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773"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793"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793"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1002" w:type="dxa"/>
                  <w:vMerge w:val="continue"/>
                  <w:tcBorders>
                    <w:top w:val="single" w:color="auto" w:sz="8" w:space="0"/>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rFonts w:cs="宋体"/>
                      <w:color w:val="000000"/>
                      <w:sz w:val="21"/>
                      <w:szCs w:val="21"/>
                    </w:rPr>
                  </w:pPr>
                </w:p>
              </w:tc>
              <w:tc>
                <w:tcPr>
                  <w:tcW w:w="1127"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排放浓度</w:t>
                  </w:r>
                  <w:r>
                    <w:rPr>
                      <w:color w:val="000000"/>
                      <w:sz w:val="21"/>
                      <w:szCs w:val="21"/>
                    </w:rPr>
                    <w:t>mg/m</w:t>
                  </w:r>
                  <w:r>
                    <w:rPr>
                      <w:color w:val="000000"/>
                      <w:sz w:val="21"/>
                      <w:szCs w:val="21"/>
                      <w:vertAlign w:val="superscript"/>
                    </w:rPr>
                    <w:t>3</w:t>
                  </w:r>
                </w:p>
              </w:tc>
              <w:tc>
                <w:tcPr>
                  <w:tcW w:w="1127"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排放速率</w:t>
                  </w:r>
                  <w:r>
                    <w:rPr>
                      <w:color w:val="000000"/>
                      <w:sz w:val="21"/>
                      <w:szCs w:val="21"/>
                    </w:rPr>
                    <w:t>g/h</w:t>
                  </w:r>
                </w:p>
              </w:tc>
              <w:tc>
                <w:tcPr>
                  <w:tcW w:w="113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rFonts w:cs="宋体"/>
                      <w:color w:val="000000"/>
                      <w:sz w:val="21"/>
                      <w:szCs w:val="21"/>
                    </w:rPr>
                  </w:pPr>
                  <w:r>
                    <w:rPr>
                      <w:rFonts w:hint="eastAsia" w:cs="宋体"/>
                      <w:color w:val="000000"/>
                      <w:sz w:val="21"/>
                      <w:szCs w:val="21"/>
                    </w:rPr>
                    <w:t>排放量</w:t>
                  </w:r>
                  <w:r>
                    <w:rPr>
                      <w:rFonts w:hint="eastAsia"/>
                      <w:color w:val="000000"/>
                      <w:sz w:val="21"/>
                      <w:szCs w:val="21"/>
                    </w:rPr>
                    <w:t>kg</w:t>
                  </w:r>
                  <w:r>
                    <w:rPr>
                      <w:color w:val="000000"/>
                      <w:sz w:val="21"/>
                      <w:szCs w:val="21"/>
                    </w:rPr>
                    <w:t>/a</w:t>
                  </w:r>
                </w:p>
              </w:tc>
            </w:tr>
            <w:tr>
              <w:tblPrEx>
                <w:tblCellMar>
                  <w:top w:w="0" w:type="dxa"/>
                  <w:left w:w="108" w:type="dxa"/>
                  <w:bottom w:w="0" w:type="dxa"/>
                  <w:right w:w="108" w:type="dxa"/>
                </w:tblCellMar>
              </w:tblPrEx>
              <w:trPr>
                <w:trHeight w:val="225" w:hRule="atLeast"/>
                <w:jc w:val="center"/>
              </w:trPr>
              <w:tc>
                <w:tcPr>
                  <w:tcW w:w="1127"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NH</w:t>
                  </w:r>
                  <w:r>
                    <w:rPr>
                      <w:color w:val="000000"/>
                      <w:sz w:val="21"/>
                      <w:szCs w:val="21"/>
                      <w:vertAlign w:val="subscript"/>
                    </w:rPr>
                    <w:t>3</w:t>
                  </w:r>
                </w:p>
              </w:tc>
              <w:tc>
                <w:tcPr>
                  <w:tcW w:w="773"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0.025</w:t>
                  </w:r>
                </w:p>
              </w:tc>
              <w:tc>
                <w:tcPr>
                  <w:tcW w:w="793"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5.</w:t>
                  </w:r>
                  <w:r>
                    <w:rPr>
                      <w:rFonts w:hint="eastAsia"/>
                      <w:color w:val="000000"/>
                      <w:sz w:val="21"/>
                      <w:szCs w:val="21"/>
                    </w:rPr>
                    <w:t>03</w:t>
                  </w:r>
                </w:p>
              </w:tc>
              <w:tc>
                <w:tcPr>
                  <w:tcW w:w="793"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5.16</w:t>
                  </w:r>
                </w:p>
              </w:tc>
              <w:tc>
                <w:tcPr>
                  <w:tcW w:w="1002"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100%,90%</w:t>
                  </w:r>
                </w:p>
              </w:tc>
              <w:tc>
                <w:tcPr>
                  <w:tcW w:w="1127"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0.5034</w:t>
                  </w:r>
                </w:p>
              </w:tc>
              <w:tc>
                <w:tcPr>
                  <w:tcW w:w="1127"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2.517</w:t>
                  </w:r>
                </w:p>
              </w:tc>
              <w:tc>
                <w:tcPr>
                  <w:tcW w:w="113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0.</w:t>
                  </w:r>
                  <w:r>
                    <w:rPr>
                      <w:rFonts w:hint="eastAsia"/>
                      <w:color w:val="000000"/>
                      <w:sz w:val="21"/>
                      <w:szCs w:val="21"/>
                    </w:rPr>
                    <w:t>516</w:t>
                  </w:r>
                </w:p>
              </w:tc>
            </w:tr>
            <w:tr>
              <w:tblPrEx>
                <w:tblCellMar>
                  <w:top w:w="0" w:type="dxa"/>
                  <w:left w:w="108" w:type="dxa"/>
                  <w:bottom w:w="0" w:type="dxa"/>
                  <w:right w:w="108" w:type="dxa"/>
                </w:tblCellMar>
              </w:tblPrEx>
              <w:trPr>
                <w:trHeight w:val="275" w:hRule="atLeast"/>
                <w:jc w:val="center"/>
              </w:trPr>
              <w:tc>
                <w:tcPr>
                  <w:tcW w:w="1127"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H</w:t>
                  </w:r>
                  <w:r>
                    <w:rPr>
                      <w:color w:val="000000"/>
                      <w:sz w:val="21"/>
                      <w:szCs w:val="21"/>
                      <w:vertAlign w:val="subscript"/>
                    </w:rPr>
                    <w:t>2</w:t>
                  </w:r>
                  <w:r>
                    <w:rPr>
                      <w:color w:val="000000"/>
                      <w:sz w:val="21"/>
                      <w:szCs w:val="21"/>
                    </w:rPr>
                    <w:t>S</w:t>
                  </w:r>
                </w:p>
              </w:tc>
              <w:tc>
                <w:tcPr>
                  <w:tcW w:w="773"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0.003</w:t>
                  </w:r>
                </w:p>
              </w:tc>
              <w:tc>
                <w:tcPr>
                  <w:tcW w:w="793"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0.6</w:t>
                  </w:r>
                  <w:r>
                    <w:rPr>
                      <w:rFonts w:hint="eastAsia"/>
                      <w:color w:val="00000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0.6</w:t>
                  </w:r>
                  <w:r>
                    <w:rPr>
                      <w:rFonts w:hint="eastAsia"/>
                      <w:color w:val="000000"/>
                      <w:sz w:val="21"/>
                      <w:szCs w:val="21"/>
                    </w:rPr>
                    <w:t>4</w:t>
                  </w:r>
                </w:p>
              </w:tc>
              <w:tc>
                <w:tcPr>
                  <w:tcW w:w="1002" w:type="dxa"/>
                  <w:vMerge w:val="continue"/>
                  <w:tcBorders>
                    <w:top w:val="nil"/>
                    <w:left w:val="single" w:color="auto" w:sz="8" w:space="0"/>
                    <w:bottom w:val="single" w:color="000000" w:sz="8" w:space="0"/>
                    <w:right w:val="single" w:color="auto" w:sz="8" w:space="0"/>
                  </w:tcBorders>
                  <w:vAlign w:val="center"/>
                </w:tcPr>
                <w:p>
                  <w:pPr>
                    <w:widowControl/>
                    <w:spacing w:before="0" w:beforeLines="0" w:line="240" w:lineRule="auto"/>
                    <w:ind w:firstLine="0" w:firstLineChars="0"/>
                    <w:jc w:val="left"/>
                    <w:rPr>
                      <w:color w:val="000000"/>
                      <w:sz w:val="21"/>
                      <w:szCs w:val="21"/>
                    </w:rPr>
                  </w:pPr>
                </w:p>
              </w:tc>
              <w:tc>
                <w:tcPr>
                  <w:tcW w:w="1127"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0.0624</w:t>
                  </w:r>
                </w:p>
              </w:tc>
              <w:tc>
                <w:tcPr>
                  <w:tcW w:w="1127"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rFonts w:hint="eastAsia"/>
                      <w:color w:val="000000"/>
                      <w:sz w:val="21"/>
                      <w:szCs w:val="21"/>
                    </w:rPr>
                    <w:t>0.312</w:t>
                  </w:r>
                </w:p>
              </w:tc>
              <w:tc>
                <w:tcPr>
                  <w:tcW w:w="1135" w:type="dxa"/>
                  <w:tcBorders>
                    <w:top w:val="nil"/>
                    <w:left w:val="nil"/>
                    <w:bottom w:val="single" w:color="auto" w:sz="8" w:space="0"/>
                    <w:right w:val="single" w:color="auto" w:sz="8" w:space="0"/>
                  </w:tcBorders>
                  <w:shd w:val="clear" w:color="auto" w:fill="auto"/>
                  <w:vAlign w:val="center"/>
                </w:tcPr>
                <w:p>
                  <w:pPr>
                    <w:widowControl/>
                    <w:spacing w:before="0" w:beforeLines="0" w:line="240" w:lineRule="auto"/>
                    <w:ind w:firstLine="0" w:firstLineChars="0"/>
                    <w:jc w:val="center"/>
                    <w:rPr>
                      <w:color w:val="000000"/>
                      <w:sz w:val="21"/>
                      <w:szCs w:val="21"/>
                    </w:rPr>
                  </w:pPr>
                  <w:r>
                    <w:rPr>
                      <w:color w:val="000000"/>
                      <w:sz w:val="21"/>
                      <w:szCs w:val="21"/>
                    </w:rPr>
                    <w:t>0.06</w:t>
                  </w:r>
                  <w:r>
                    <w:rPr>
                      <w:rFonts w:hint="eastAsia"/>
                      <w:color w:val="000000"/>
                      <w:sz w:val="21"/>
                      <w:szCs w:val="21"/>
                    </w:rPr>
                    <w:t>4</w:t>
                  </w:r>
                </w:p>
              </w:tc>
            </w:tr>
          </w:tbl>
          <w:p>
            <w:pPr>
              <w:spacing w:before="240" w:beforeLines="100"/>
              <w:ind w:firstLine="480"/>
              <w:rPr>
                <w:bCs/>
                <w:color w:val="000000"/>
              </w:rPr>
            </w:pPr>
            <w:r>
              <w:rPr>
                <w:rFonts w:hint="eastAsia"/>
              </w:rPr>
              <w:t>（5）食堂油烟</w:t>
            </w:r>
          </w:p>
          <w:p>
            <w:pPr>
              <w:spacing w:before="240" w:beforeLines="100"/>
              <w:ind w:firstLine="480"/>
              <w:rPr>
                <w:bCs/>
                <w:color w:val="000000"/>
              </w:rPr>
            </w:pPr>
            <w:r>
              <w:rPr>
                <w:rFonts w:hint="eastAsia"/>
                <w:bCs/>
                <w:color w:val="000000"/>
              </w:rPr>
              <w:t>本项目设有员工食堂，食堂内设</w:t>
            </w:r>
            <w:r>
              <w:rPr>
                <w:bCs/>
                <w:color w:val="000000"/>
              </w:rPr>
              <w:t>2</w:t>
            </w:r>
            <w:r>
              <w:rPr>
                <w:rFonts w:hint="eastAsia"/>
                <w:bCs/>
                <w:color w:val="000000"/>
              </w:rPr>
              <w:t>个炉头，炉头每天使用时间为</w:t>
            </w:r>
            <w:r>
              <w:rPr>
                <w:bCs/>
                <w:color w:val="000000"/>
              </w:rPr>
              <w:t>4</w:t>
            </w:r>
            <w:r>
              <w:rPr>
                <w:rFonts w:hint="eastAsia"/>
                <w:bCs/>
                <w:color w:val="000000"/>
              </w:rPr>
              <w:t>个小时，每个基准灶头的风量按</w:t>
            </w:r>
            <w:r>
              <w:rPr>
                <w:bCs/>
                <w:color w:val="000000"/>
              </w:rPr>
              <w:t>2000m</w:t>
            </w:r>
            <w:r>
              <w:rPr>
                <w:bCs/>
                <w:color w:val="000000"/>
                <w:vertAlign w:val="superscript"/>
              </w:rPr>
              <w:t>3</w:t>
            </w:r>
            <w:r>
              <w:rPr>
                <w:bCs/>
                <w:color w:val="000000"/>
              </w:rPr>
              <w:t>/h</w:t>
            </w:r>
            <w:r>
              <w:rPr>
                <w:rFonts w:hint="eastAsia"/>
                <w:bCs/>
                <w:color w:val="000000"/>
              </w:rPr>
              <w:t>计算，在使用过程中动植物油过热裂解、挥发与水蒸汽一起挥发产生油烟废气。根据生态环境部《排放源统计调查产排污核算方法和系数手册》——《生活污染源产排污系数手册》中一区：广东餐饮油烟挥发量为165克/（人·年），按食堂就餐20人计算，则食堂年产生油烟量为</w:t>
            </w:r>
            <w:r>
              <w:rPr>
                <w:bCs/>
                <w:color w:val="000000"/>
              </w:rPr>
              <w:t>0.0033</w:t>
            </w:r>
            <w:r>
              <w:rPr>
                <w:rFonts w:hint="eastAsia"/>
                <w:bCs/>
                <w:color w:val="000000"/>
              </w:rPr>
              <w:t>t/a，浓度约为</w:t>
            </w:r>
            <w:r>
              <w:rPr>
                <w:bCs/>
                <w:color w:val="000000"/>
              </w:rPr>
              <w:t>0.59mg/m</w:t>
            </w:r>
            <w:r>
              <w:rPr>
                <w:bCs/>
                <w:color w:val="000000"/>
                <w:vertAlign w:val="superscript"/>
              </w:rPr>
              <w:t>3</w:t>
            </w:r>
            <w:r>
              <w:rPr>
                <w:rFonts w:hint="eastAsia"/>
                <w:bCs/>
                <w:color w:val="000000"/>
              </w:rPr>
              <w:t>。</w:t>
            </w:r>
          </w:p>
          <w:p>
            <w:pPr>
              <w:spacing w:before="240" w:beforeLines="100"/>
              <w:ind w:firstLine="480"/>
              <w:rPr>
                <w:bCs/>
                <w:color w:val="000000"/>
              </w:rPr>
            </w:pPr>
            <w:r>
              <w:rPr>
                <w:rFonts w:hint="eastAsia"/>
                <w:bCs/>
                <w:color w:val="000000"/>
              </w:rPr>
              <w:t>食堂油烟废气经过静电除油烟机净化处理，处理效率可达</w:t>
            </w:r>
            <w:r>
              <w:rPr>
                <w:bCs/>
                <w:color w:val="000000"/>
              </w:rPr>
              <w:t>60</w:t>
            </w:r>
            <w:r>
              <w:rPr>
                <w:rFonts w:hint="eastAsia"/>
                <w:bCs/>
                <w:color w:val="000000"/>
              </w:rPr>
              <w:t>%，处理后通过高于房顶</w:t>
            </w:r>
            <w:r>
              <w:rPr>
                <w:bCs/>
                <w:color w:val="000000"/>
              </w:rPr>
              <w:t>3m</w:t>
            </w:r>
            <w:r>
              <w:rPr>
                <w:rFonts w:hint="eastAsia"/>
                <w:bCs/>
                <w:color w:val="000000"/>
              </w:rPr>
              <w:t>排气筒排放，处理后油烟排放量为</w:t>
            </w:r>
            <w:r>
              <w:rPr>
                <w:bCs/>
                <w:color w:val="000000"/>
              </w:rPr>
              <w:t>1.32kg/a</w:t>
            </w:r>
            <w:r>
              <w:rPr>
                <w:rFonts w:hint="eastAsia"/>
                <w:bCs/>
                <w:color w:val="000000"/>
              </w:rPr>
              <w:t>，油烟排放浓度为</w:t>
            </w:r>
            <w:r>
              <w:rPr>
                <w:bCs/>
                <w:color w:val="000000"/>
              </w:rPr>
              <w:t>0.24mg/m</w:t>
            </w:r>
            <w:r>
              <w:rPr>
                <w:bCs/>
                <w:color w:val="000000"/>
                <w:vertAlign w:val="superscript"/>
              </w:rPr>
              <w:t>3</w:t>
            </w:r>
            <w:r>
              <w:rPr>
                <w:rFonts w:hint="eastAsia"/>
                <w:bCs/>
                <w:color w:val="000000"/>
              </w:rPr>
              <w:t>，排放浓度满足《饮食业油烟排放标准（试行）》（</w:t>
            </w:r>
            <w:r>
              <w:rPr>
                <w:bCs/>
                <w:color w:val="000000"/>
              </w:rPr>
              <w:t>GB18483-2001</w:t>
            </w:r>
            <w:r>
              <w:rPr>
                <w:rFonts w:hint="eastAsia"/>
                <w:bCs/>
                <w:color w:val="000000"/>
              </w:rPr>
              <w:t>）最高允许排放浓度</w:t>
            </w:r>
            <w:r>
              <w:rPr>
                <w:bCs/>
                <w:color w:val="000000"/>
              </w:rPr>
              <w:t>(2.0mg/m</w:t>
            </w:r>
            <w:r>
              <w:rPr>
                <w:bCs/>
                <w:color w:val="000000"/>
                <w:vertAlign w:val="superscript"/>
              </w:rPr>
              <w:t>3</w:t>
            </w:r>
            <w:r>
              <w:rPr>
                <w:bCs/>
                <w:color w:val="000000"/>
              </w:rPr>
              <w:t>)</w:t>
            </w:r>
            <w:r>
              <w:rPr>
                <w:rFonts w:hint="eastAsia"/>
                <w:bCs/>
                <w:color w:val="000000"/>
              </w:rPr>
              <w:t>的要求。</w:t>
            </w:r>
          </w:p>
          <w:p>
            <w:pPr>
              <w:spacing w:before="120"/>
              <w:ind w:firstLine="0" w:firstLineChars="0"/>
              <w:jc w:val="center"/>
              <w:rPr>
                <w:b/>
                <w:color w:val="000000"/>
                <w:kern w:val="28"/>
                <w:sz w:val="21"/>
                <w:szCs w:val="32"/>
              </w:rPr>
            </w:pPr>
            <w:r>
              <w:rPr>
                <w:b/>
                <w:color w:val="000000"/>
                <w:kern w:val="28"/>
                <w:sz w:val="21"/>
                <w:szCs w:val="32"/>
              </w:rPr>
              <w:t xml:space="preserve">表4-10  </w:t>
            </w:r>
            <w:r>
              <w:rPr>
                <w:rFonts w:hint="eastAsia"/>
                <w:b/>
                <w:color w:val="000000"/>
                <w:kern w:val="28"/>
                <w:sz w:val="21"/>
                <w:szCs w:val="32"/>
              </w:rPr>
              <w:t>有组织废气产排污情况一览表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985"/>
              <w:gridCol w:w="985"/>
              <w:gridCol w:w="985"/>
              <w:gridCol w:w="985"/>
              <w:gridCol w:w="985"/>
              <w:gridCol w:w="98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9"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产排污环节</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污染物种类</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污染物产生量</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产生浓度（m</w:t>
                  </w:r>
                  <w:r>
                    <w:rPr>
                      <w:rFonts w:cs="Times New Roman"/>
                      <w:bCs/>
                      <w:color w:val="000000"/>
                      <w:sz w:val="21"/>
                      <w:szCs w:val="21"/>
                    </w:rPr>
                    <w:t>g/m</w:t>
                  </w:r>
                  <w:r>
                    <w:rPr>
                      <w:rFonts w:cs="Times New Roman"/>
                      <w:bCs/>
                      <w:color w:val="000000"/>
                      <w:sz w:val="21"/>
                      <w:szCs w:val="21"/>
                      <w:vertAlign w:val="superscript"/>
                    </w:rPr>
                    <w:t>3</w:t>
                  </w:r>
                  <w:r>
                    <w:rPr>
                      <w:rFonts w:hint="eastAsia" w:cs="Times New Roman"/>
                      <w:bCs/>
                      <w:color w:val="000000"/>
                      <w:sz w:val="21"/>
                      <w:szCs w:val="21"/>
                    </w:rPr>
                    <w:t>）</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治理设施</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污染物排放浓度（m</w:t>
                  </w:r>
                  <w:r>
                    <w:rPr>
                      <w:rFonts w:cs="Times New Roman"/>
                      <w:bCs/>
                      <w:color w:val="000000"/>
                      <w:sz w:val="21"/>
                      <w:szCs w:val="21"/>
                    </w:rPr>
                    <w:t>g/ m</w:t>
                  </w:r>
                  <w:r>
                    <w:rPr>
                      <w:rFonts w:cs="Times New Roman"/>
                      <w:bCs/>
                      <w:color w:val="000000"/>
                      <w:sz w:val="21"/>
                      <w:szCs w:val="21"/>
                      <w:vertAlign w:val="superscript"/>
                    </w:rPr>
                    <w:t>3</w:t>
                  </w:r>
                  <w:r>
                    <w:rPr>
                      <w:rFonts w:hint="eastAsia" w:cs="Times New Roman"/>
                      <w:bCs/>
                      <w:color w:val="000000"/>
                      <w:sz w:val="21"/>
                      <w:szCs w:val="21"/>
                    </w:rPr>
                    <w:t>）</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速率</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污染物排放量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85" w:type="dxa"/>
                  <w:vMerge w:val="restart"/>
                  <w:tcBorders>
                    <w:top w:val="nil"/>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待宰栏及屠宰间合用排气筒</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NH</w:t>
                  </w:r>
                  <w:r>
                    <w:rPr>
                      <w:rFonts w:hint="eastAsia" w:cs="Times New Roman"/>
                      <w:bCs/>
                      <w:color w:val="000000"/>
                      <w:sz w:val="21"/>
                      <w:szCs w:val="21"/>
                      <w:vertAlign w:val="subscript"/>
                    </w:rPr>
                    <w:t>3</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0.28t/a</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10</w:t>
                  </w:r>
                </w:p>
              </w:tc>
              <w:tc>
                <w:tcPr>
                  <w:tcW w:w="985" w:type="dxa"/>
                  <w:vMerge w:val="restart"/>
                  <w:tcBorders>
                    <w:top w:val="nil"/>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生物（或碱）喷淋塔</w:t>
                  </w:r>
                  <w:r>
                    <w:rPr>
                      <w:rFonts w:cs="Times New Roman"/>
                      <w:bCs/>
                      <w:color w:val="000000"/>
                      <w:sz w:val="21"/>
                      <w:szCs w:val="21"/>
                    </w:rPr>
                    <w:t>+15m</w:t>
                  </w:r>
                  <w:r>
                    <w:rPr>
                      <w:rFonts w:hint="eastAsia" w:cs="Times New Roman"/>
                      <w:bCs/>
                      <w:color w:val="000000"/>
                      <w:sz w:val="21"/>
                      <w:szCs w:val="21"/>
                    </w:rPr>
                    <w:t>排气筒</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.9</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.009kg/h</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0.025t/a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85" w:type="dxa"/>
                  <w:vMerge w:val="continue"/>
                  <w:tcBorders>
                    <w:top w:val="nil"/>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H</w:t>
                  </w:r>
                  <w:r>
                    <w:rPr>
                      <w:rFonts w:hint="eastAsia" w:cs="Times New Roman"/>
                      <w:bCs/>
                      <w:color w:val="000000"/>
                      <w:sz w:val="21"/>
                      <w:szCs w:val="21"/>
                      <w:vertAlign w:val="subscript"/>
                    </w:rPr>
                    <w:t>2</w:t>
                  </w:r>
                  <w:r>
                    <w:rPr>
                      <w:rFonts w:hint="eastAsia" w:cs="Times New Roman"/>
                      <w:bCs/>
                      <w:color w:val="000000"/>
                      <w:sz w:val="21"/>
                      <w:szCs w:val="21"/>
                    </w:rPr>
                    <w:t>S</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0.042t/a</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1.5</w:t>
                  </w:r>
                </w:p>
              </w:tc>
              <w:tc>
                <w:tcPr>
                  <w:tcW w:w="985" w:type="dxa"/>
                  <w:vMerge w:val="continue"/>
                  <w:tcBorders>
                    <w:top w:val="nil"/>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.1</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.001kg/h</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0.004t/a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5" w:type="dxa"/>
                  <w:vMerge w:val="restart"/>
                  <w:tcBorders>
                    <w:top w:val="nil"/>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污水处理站及无害化处理间合用排气筒</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NH</w:t>
                  </w:r>
                  <w:r>
                    <w:rPr>
                      <w:rFonts w:hint="eastAsia" w:cs="Times New Roman"/>
                      <w:bCs/>
                      <w:color w:val="000000"/>
                      <w:sz w:val="21"/>
                      <w:szCs w:val="21"/>
                      <w:vertAlign w:val="subscript"/>
                    </w:rPr>
                    <w:t>3</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71.16</w:t>
                  </w:r>
                  <w:r>
                    <w:rPr>
                      <w:rFonts w:cs="Times New Roman"/>
                      <w:bCs/>
                      <w:color w:val="000000"/>
                      <w:sz w:val="21"/>
                      <w:szCs w:val="21"/>
                    </w:rPr>
                    <w:t>kg</w:t>
                  </w:r>
                  <w:r>
                    <w:rPr>
                      <w:rFonts w:hint="eastAsia" w:cs="Times New Roman"/>
                      <w:bCs/>
                      <w:color w:val="000000"/>
                      <w:sz w:val="21"/>
                      <w:szCs w:val="21"/>
                    </w:rPr>
                    <w:t>/</w:t>
                  </w:r>
                  <w:r>
                    <w:rPr>
                      <w:rFonts w:cs="Times New Roman"/>
                      <w:bCs/>
                      <w:color w:val="000000"/>
                      <w:sz w:val="21"/>
                      <w:szCs w:val="21"/>
                    </w:rPr>
                    <w:t>a</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4.</w:t>
                  </w:r>
                  <w:r>
                    <w:rPr>
                      <w:rFonts w:hint="eastAsia" w:cs="Times New Roman"/>
                      <w:bCs/>
                      <w:color w:val="000000"/>
                      <w:sz w:val="21"/>
                      <w:szCs w:val="21"/>
                    </w:rPr>
                    <w:t>113（最大）</w:t>
                  </w:r>
                </w:p>
              </w:tc>
              <w:tc>
                <w:tcPr>
                  <w:tcW w:w="985" w:type="dxa"/>
                  <w:vMerge w:val="restart"/>
                  <w:tcBorders>
                    <w:top w:val="nil"/>
                    <w:left w:val="single" w:color="auto" w:sz="4" w:space="0"/>
                    <w:bottom w:val="single" w:color="auto" w:sz="4" w:space="0"/>
                    <w:right w:val="single" w:color="auto" w:sz="4" w:space="0"/>
                  </w:tcBorders>
                  <w:vAlign w:val="center"/>
                </w:tcPr>
                <w:p>
                  <w:pPr>
                    <w:pStyle w:val="92"/>
                    <w:spacing w:line="240" w:lineRule="auto"/>
                    <w:ind w:firstLine="0" w:firstLineChars="0"/>
                    <w:rPr>
                      <w:rFonts w:cs="Times New Roman"/>
                      <w:bCs/>
                      <w:color w:val="000000"/>
                      <w:sz w:val="21"/>
                      <w:szCs w:val="21"/>
                    </w:rPr>
                  </w:pPr>
                  <w:r>
                    <w:rPr>
                      <w:rFonts w:hint="eastAsia" w:cs="Times New Roman"/>
                      <w:bCs/>
                      <w:color w:val="000000"/>
                      <w:sz w:val="21"/>
                      <w:szCs w:val="21"/>
                    </w:rPr>
                    <w:t>生物（或碱）喷淋塔</w:t>
                  </w:r>
                  <w:r>
                    <w:rPr>
                      <w:rFonts w:cs="Times New Roman"/>
                      <w:bCs/>
                      <w:color w:val="000000"/>
                      <w:sz w:val="21"/>
                      <w:szCs w:val="21"/>
                    </w:rPr>
                    <w:t>+15m</w:t>
                  </w:r>
                  <w:r>
                    <w:rPr>
                      <w:rFonts w:hint="eastAsia" w:cs="Times New Roman"/>
                      <w:bCs/>
                      <w:color w:val="000000"/>
                      <w:sz w:val="21"/>
                      <w:szCs w:val="21"/>
                    </w:rPr>
                    <w:t>排气筒</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0.4</w:t>
                  </w:r>
                  <w:r>
                    <w:rPr>
                      <w:rFonts w:hint="eastAsia" w:cs="Times New Roman"/>
                      <w:bCs/>
                      <w:color w:val="000000"/>
                      <w:sz w:val="21"/>
                      <w:szCs w:val="21"/>
                    </w:rPr>
                    <w:t>（最大）</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3.2</w:t>
                  </w:r>
                  <w:r>
                    <w:rPr>
                      <w:rFonts w:hint="eastAsia" w:cs="Times New Roman"/>
                      <w:bCs/>
                      <w:color w:val="000000"/>
                      <w:sz w:val="21"/>
                      <w:szCs w:val="21"/>
                    </w:rPr>
                    <w:t>2g</w:t>
                  </w:r>
                  <w:r>
                    <w:rPr>
                      <w:rFonts w:cs="Times New Roman"/>
                      <w:bCs/>
                      <w:color w:val="000000"/>
                      <w:sz w:val="21"/>
                      <w:szCs w:val="21"/>
                    </w:rPr>
                    <w:t>/h</w:t>
                  </w:r>
                  <w:r>
                    <w:rPr>
                      <w:rFonts w:hint="eastAsia" w:cs="Times New Roman"/>
                      <w:bCs/>
                      <w:color w:val="000000"/>
                      <w:sz w:val="21"/>
                      <w:szCs w:val="21"/>
                    </w:rPr>
                    <w:t>（最大）</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6.</w:t>
                  </w:r>
                  <w:r>
                    <w:rPr>
                      <w:rFonts w:hint="eastAsia" w:cs="Times New Roman"/>
                      <w:bCs/>
                      <w:color w:val="000000"/>
                      <w:sz w:val="21"/>
                      <w:szCs w:val="21"/>
                    </w:rPr>
                    <w:t>456</w:t>
                  </w:r>
                  <w:r>
                    <w:rPr>
                      <w:rFonts w:cs="Times New Roman"/>
                      <w:bCs/>
                      <w:color w:val="000000"/>
                      <w:sz w:val="21"/>
                      <w:szCs w:val="21"/>
                    </w:rPr>
                    <w:t>kg</w:t>
                  </w:r>
                  <w:r>
                    <w:rPr>
                      <w:rFonts w:hint="eastAsia" w:cs="Times New Roman"/>
                      <w:bCs/>
                      <w:color w:val="000000"/>
                      <w:sz w:val="21"/>
                      <w:szCs w:val="21"/>
                    </w:rPr>
                    <w:t>/</w:t>
                  </w:r>
                  <w:r>
                    <w:rPr>
                      <w:rFonts w:cs="Times New Roman"/>
                      <w:bCs/>
                      <w:color w:val="00000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985" w:type="dxa"/>
                  <w:vMerge w:val="continue"/>
                  <w:tcBorders>
                    <w:top w:val="nil"/>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H</w:t>
                  </w:r>
                  <w:r>
                    <w:rPr>
                      <w:rFonts w:hint="eastAsia" w:cs="Times New Roman"/>
                      <w:bCs/>
                      <w:color w:val="000000"/>
                      <w:sz w:val="21"/>
                      <w:szCs w:val="21"/>
                      <w:vertAlign w:val="subscript"/>
                    </w:rPr>
                    <w:t>2</w:t>
                  </w:r>
                  <w:r>
                    <w:rPr>
                      <w:rFonts w:hint="eastAsia" w:cs="Times New Roman"/>
                      <w:bCs/>
                      <w:color w:val="000000"/>
                      <w:sz w:val="21"/>
                      <w:szCs w:val="21"/>
                    </w:rPr>
                    <w:t>S</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3.</w:t>
                  </w:r>
                  <w:r>
                    <w:rPr>
                      <w:rFonts w:hint="eastAsia" w:cs="Times New Roman"/>
                      <w:bCs/>
                      <w:color w:val="000000"/>
                      <w:sz w:val="21"/>
                      <w:szCs w:val="21"/>
                    </w:rPr>
                    <w:t>64</w:t>
                  </w:r>
                  <w:r>
                    <w:rPr>
                      <w:rFonts w:cs="Times New Roman"/>
                      <w:bCs/>
                      <w:color w:val="000000"/>
                      <w:sz w:val="21"/>
                      <w:szCs w:val="21"/>
                    </w:rPr>
                    <w:t>kg</w:t>
                  </w:r>
                  <w:r>
                    <w:rPr>
                      <w:rFonts w:hint="eastAsia" w:cs="Times New Roman"/>
                      <w:bCs/>
                      <w:color w:val="000000"/>
                      <w:sz w:val="21"/>
                      <w:szCs w:val="21"/>
                    </w:rPr>
                    <w:t>/</w:t>
                  </w:r>
                  <w:r>
                    <w:rPr>
                      <w:rFonts w:cs="Times New Roman"/>
                      <w:bCs/>
                      <w:color w:val="000000"/>
                      <w:sz w:val="21"/>
                      <w:szCs w:val="21"/>
                    </w:rPr>
                    <w:t>a</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0.4</w:t>
                  </w:r>
                  <w:r>
                    <w:rPr>
                      <w:rFonts w:hint="eastAsia" w:cs="Times New Roman"/>
                      <w:bCs/>
                      <w:color w:val="000000"/>
                      <w:sz w:val="21"/>
                      <w:szCs w:val="21"/>
                    </w:rPr>
                    <w:t>13（最大）</w:t>
                  </w:r>
                </w:p>
              </w:tc>
              <w:tc>
                <w:tcPr>
                  <w:tcW w:w="985" w:type="dxa"/>
                  <w:vMerge w:val="continue"/>
                  <w:tcBorders>
                    <w:top w:val="nil"/>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0.04</w:t>
                  </w:r>
                  <w:r>
                    <w:rPr>
                      <w:rFonts w:hint="eastAsia" w:cs="Times New Roman"/>
                      <w:bCs/>
                      <w:color w:val="000000"/>
                      <w:sz w:val="21"/>
                      <w:szCs w:val="21"/>
                    </w:rPr>
                    <w:t>（最大）</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0.34</w:t>
                  </w:r>
                  <w:r>
                    <w:rPr>
                      <w:rFonts w:hint="eastAsia" w:cs="Times New Roman"/>
                      <w:bCs/>
                      <w:color w:val="000000"/>
                      <w:sz w:val="21"/>
                      <w:szCs w:val="21"/>
                    </w:rPr>
                    <w:t>2 g</w:t>
                  </w:r>
                  <w:r>
                    <w:rPr>
                      <w:rFonts w:cs="Times New Roman"/>
                      <w:bCs/>
                      <w:color w:val="000000"/>
                      <w:sz w:val="21"/>
                      <w:szCs w:val="21"/>
                    </w:rPr>
                    <w:t>/h</w:t>
                  </w:r>
                  <w:r>
                    <w:rPr>
                      <w:rFonts w:hint="eastAsia" w:cs="Times New Roman"/>
                      <w:bCs/>
                      <w:color w:val="000000"/>
                      <w:sz w:val="21"/>
                      <w:szCs w:val="21"/>
                    </w:rPr>
                    <w:t>（最大）</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w:t>
                  </w:r>
                  <w:r>
                    <w:rPr>
                      <w:rFonts w:hint="eastAsia" w:cs="Times New Roman"/>
                      <w:bCs/>
                      <w:color w:val="000000"/>
                      <w:sz w:val="21"/>
                      <w:szCs w:val="21"/>
                    </w:rPr>
                    <w:t>334</w:t>
                  </w:r>
                  <w:r>
                    <w:rPr>
                      <w:rFonts w:cs="Times New Roman"/>
                      <w:bCs/>
                      <w:color w:val="000000"/>
                      <w:sz w:val="21"/>
                      <w:szCs w:val="21"/>
                    </w:rPr>
                    <w:t xml:space="preserve"> kg</w:t>
                  </w:r>
                  <w:r>
                    <w:rPr>
                      <w:rFonts w:hint="eastAsia" w:cs="Times New Roman"/>
                      <w:bCs/>
                      <w:color w:val="000000"/>
                      <w:sz w:val="21"/>
                      <w:szCs w:val="21"/>
                    </w:rPr>
                    <w:t>/</w:t>
                  </w:r>
                  <w:r>
                    <w:rPr>
                      <w:rFonts w:cs="Times New Roman"/>
                      <w:bCs/>
                      <w:color w:val="00000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jc w:val="center"/>
              </w:trPr>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食堂</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油烟</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0.0033</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cs="Times New Roman"/>
                      <w:bCs/>
                      <w:color w:val="000000"/>
                      <w:sz w:val="21"/>
                      <w:szCs w:val="21"/>
                    </w:rPr>
                    <w:t>0.59</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静电除油烟机+高于房顶3m排气筒排放</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.24</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.0034</w:t>
                  </w:r>
                </w:p>
              </w:tc>
              <w:tc>
                <w:tcPr>
                  <w:tcW w:w="985" w:type="dxa"/>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85" w:type="dxa"/>
                  <w:vMerge w:val="restart"/>
                  <w:tcBorders>
                    <w:top w:val="single" w:color="auto" w:sz="4" w:space="0"/>
                    <w:left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国家或地方污染物排放标准</w:t>
                  </w:r>
                </w:p>
              </w:tc>
              <w:tc>
                <w:tcPr>
                  <w:tcW w:w="1970" w:type="dxa"/>
                  <w:gridSpan w:val="2"/>
                  <w:vMerge w:val="restart"/>
                  <w:tcBorders>
                    <w:top w:val="single" w:color="auto" w:sz="4" w:space="0"/>
                    <w:left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标准限值</w:t>
                  </w:r>
                </w:p>
              </w:tc>
              <w:tc>
                <w:tcPr>
                  <w:tcW w:w="1970" w:type="dxa"/>
                  <w:gridSpan w:val="2"/>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NH</w:t>
                  </w:r>
                  <w:r>
                    <w:rPr>
                      <w:rFonts w:hint="eastAsia" w:cs="Times New Roman"/>
                      <w:bCs/>
                      <w:color w:val="000000"/>
                      <w:sz w:val="21"/>
                      <w:szCs w:val="21"/>
                      <w:vertAlign w:val="subscript"/>
                    </w:rPr>
                    <w:t>3</w:t>
                  </w:r>
                </w:p>
              </w:tc>
              <w:tc>
                <w:tcPr>
                  <w:tcW w:w="2955" w:type="dxa"/>
                  <w:gridSpan w:val="3"/>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4.9kg/h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985" w:type="dxa"/>
                  <w:vMerge w:val="continue"/>
                  <w:tcBorders>
                    <w:left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1970" w:type="dxa"/>
                  <w:gridSpan w:val="2"/>
                  <w:vMerge w:val="continue"/>
                  <w:tcBorders>
                    <w:left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H</w:t>
                  </w:r>
                  <w:r>
                    <w:rPr>
                      <w:rFonts w:hint="eastAsia" w:cs="Times New Roman"/>
                      <w:bCs/>
                      <w:color w:val="000000"/>
                      <w:sz w:val="21"/>
                      <w:szCs w:val="21"/>
                      <w:vertAlign w:val="subscript"/>
                    </w:rPr>
                    <w:t>2</w:t>
                  </w:r>
                  <w:r>
                    <w:rPr>
                      <w:rFonts w:hint="eastAsia" w:cs="Times New Roman"/>
                      <w:bCs/>
                      <w:color w:val="000000"/>
                      <w:sz w:val="21"/>
                      <w:szCs w:val="21"/>
                    </w:rPr>
                    <w:t>S</w:t>
                  </w:r>
                </w:p>
              </w:tc>
              <w:tc>
                <w:tcPr>
                  <w:tcW w:w="2955" w:type="dxa"/>
                  <w:gridSpan w:val="3"/>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0.33kg/h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85" w:type="dxa"/>
                  <w:vMerge w:val="continue"/>
                  <w:tcBorders>
                    <w:left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1970" w:type="dxa"/>
                  <w:gridSpan w:val="2"/>
                  <w:vMerge w:val="continue"/>
                  <w:tcBorders>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油烟</w:t>
                  </w:r>
                </w:p>
              </w:tc>
              <w:tc>
                <w:tcPr>
                  <w:tcW w:w="2955" w:type="dxa"/>
                  <w:gridSpan w:val="3"/>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2.0mg/m</w:t>
                  </w:r>
                  <w:r>
                    <w:rPr>
                      <w:rFonts w:hint="eastAsia" w:cs="Times New Roman"/>
                      <w:bCs/>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85" w:type="dxa"/>
                  <w:vMerge w:val="continue"/>
                  <w:tcBorders>
                    <w:left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1970" w:type="dxa"/>
                  <w:gridSpan w:val="2"/>
                  <w:vMerge w:val="restart"/>
                  <w:tcBorders>
                    <w:top w:val="single" w:color="auto" w:sz="4" w:space="0"/>
                    <w:left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标准名称</w:t>
                  </w:r>
                </w:p>
              </w:tc>
              <w:tc>
                <w:tcPr>
                  <w:tcW w:w="1970" w:type="dxa"/>
                  <w:gridSpan w:val="2"/>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NH</w:t>
                  </w:r>
                  <w:r>
                    <w:rPr>
                      <w:rFonts w:hint="eastAsia" w:cs="Times New Roman"/>
                      <w:bCs/>
                      <w:color w:val="000000"/>
                      <w:sz w:val="21"/>
                      <w:szCs w:val="21"/>
                      <w:vertAlign w:val="subscript"/>
                    </w:rPr>
                    <w:t>3、</w:t>
                  </w:r>
                  <w:r>
                    <w:rPr>
                      <w:rFonts w:hint="eastAsia" w:cs="Times New Roman"/>
                      <w:bCs/>
                      <w:color w:val="000000"/>
                      <w:sz w:val="21"/>
                      <w:szCs w:val="21"/>
                    </w:rPr>
                    <w:t>H</w:t>
                  </w:r>
                  <w:r>
                    <w:rPr>
                      <w:rFonts w:hint="eastAsia" w:cs="Times New Roman"/>
                      <w:bCs/>
                      <w:color w:val="000000"/>
                      <w:sz w:val="21"/>
                      <w:szCs w:val="21"/>
                      <w:vertAlign w:val="subscript"/>
                    </w:rPr>
                    <w:t>2</w:t>
                  </w:r>
                  <w:r>
                    <w:rPr>
                      <w:rFonts w:hint="eastAsia" w:cs="Times New Roman"/>
                      <w:bCs/>
                      <w:color w:val="000000"/>
                      <w:sz w:val="21"/>
                      <w:szCs w:val="21"/>
                    </w:rPr>
                    <w:t>S</w:t>
                  </w:r>
                </w:p>
              </w:tc>
              <w:tc>
                <w:tcPr>
                  <w:tcW w:w="2955" w:type="dxa"/>
                  <w:gridSpan w:val="3"/>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《恶臭污染物排放标准》（GB14554-93）表2排放标准限值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85" w:type="dxa"/>
                  <w:vMerge w:val="continue"/>
                  <w:tcBorders>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1970" w:type="dxa"/>
                  <w:gridSpan w:val="2"/>
                  <w:vMerge w:val="continue"/>
                  <w:tcBorders>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p>
              </w:tc>
              <w:tc>
                <w:tcPr>
                  <w:tcW w:w="1970" w:type="dxa"/>
                  <w:gridSpan w:val="2"/>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油烟</w:t>
                  </w:r>
                </w:p>
              </w:tc>
              <w:tc>
                <w:tcPr>
                  <w:tcW w:w="2955" w:type="dxa"/>
                  <w:gridSpan w:val="3"/>
                  <w:tcBorders>
                    <w:top w:val="single" w:color="auto" w:sz="4" w:space="0"/>
                    <w:left w:val="single" w:color="auto" w:sz="4" w:space="0"/>
                    <w:bottom w:val="single" w:color="auto" w:sz="4" w:space="0"/>
                    <w:right w:val="single" w:color="auto" w:sz="4" w:space="0"/>
                  </w:tcBorders>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《饮食业油烟标准排放标准（试行）》（GB18483-2001）</w:t>
                  </w:r>
                </w:p>
              </w:tc>
            </w:tr>
          </w:tbl>
          <w:p>
            <w:pPr>
              <w:spacing w:before="120"/>
              <w:ind w:firstLine="0" w:firstLineChars="0"/>
              <w:rPr>
                <w:b/>
                <w:color w:val="000000"/>
                <w:kern w:val="28"/>
                <w:sz w:val="21"/>
                <w:szCs w:val="32"/>
              </w:rPr>
            </w:pPr>
            <w:r>
              <w:rPr>
                <w:rFonts w:hint="eastAsia"/>
                <w:b/>
                <w:color w:val="000000"/>
                <w:kern w:val="28"/>
                <w:sz w:val="21"/>
                <w:szCs w:val="32"/>
              </w:rPr>
              <w:t xml:space="preserve">  </w:t>
            </w:r>
            <w:r>
              <w:rPr>
                <w:rFonts w:hint="eastAsia"/>
                <w:bCs/>
                <w:color w:val="000000"/>
                <w:kern w:val="28"/>
                <w:sz w:val="21"/>
                <w:szCs w:val="32"/>
              </w:rPr>
              <w:t>注：污水处理站及无害化处理间合用排气筒排放浓度“最大”指的是污水处理站与无害化间废气同时排放时的浓度。</w:t>
            </w:r>
          </w:p>
          <w:p>
            <w:pPr>
              <w:spacing w:before="120"/>
              <w:ind w:firstLine="0" w:firstLineChars="0"/>
              <w:jc w:val="center"/>
              <w:rPr>
                <w:b/>
                <w:color w:val="000000"/>
                <w:kern w:val="28"/>
                <w:sz w:val="21"/>
                <w:szCs w:val="32"/>
              </w:rPr>
            </w:pPr>
            <w:r>
              <w:rPr>
                <w:b/>
                <w:color w:val="000000"/>
                <w:kern w:val="28"/>
                <w:sz w:val="21"/>
                <w:szCs w:val="32"/>
              </w:rPr>
              <w:t xml:space="preserve">表4-11  </w:t>
            </w:r>
            <w:r>
              <w:rPr>
                <w:rFonts w:hint="eastAsia"/>
                <w:b/>
                <w:color w:val="000000"/>
                <w:kern w:val="28"/>
                <w:sz w:val="21"/>
                <w:szCs w:val="32"/>
              </w:rPr>
              <w:t>无组织废气排污情况一览表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262"/>
              <w:gridCol w:w="1262"/>
              <w:gridCol w:w="1262"/>
              <w:gridCol w:w="1265"/>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62" w:type="dxa"/>
                  <w:vMerge w:val="restart"/>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产排环节</w:t>
                  </w:r>
                </w:p>
              </w:tc>
              <w:tc>
                <w:tcPr>
                  <w:tcW w:w="1262" w:type="dxa"/>
                  <w:vMerge w:val="restart"/>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污染物</w:t>
                  </w:r>
                </w:p>
              </w:tc>
              <w:tc>
                <w:tcPr>
                  <w:tcW w:w="1262" w:type="dxa"/>
                  <w:vMerge w:val="restart"/>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主要污染防治措施</w:t>
                  </w:r>
                </w:p>
              </w:tc>
              <w:tc>
                <w:tcPr>
                  <w:tcW w:w="2527" w:type="dxa"/>
                  <w:gridSpan w:val="2"/>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国家或地方污染物排放标准</w:t>
                  </w:r>
                </w:p>
              </w:tc>
              <w:tc>
                <w:tcPr>
                  <w:tcW w:w="1263" w:type="dxa"/>
                  <w:vMerge w:val="restart"/>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核算年排放量(</w:t>
                  </w:r>
                  <w:r>
                    <w:rPr>
                      <w:rFonts w:cs="Times New Roman"/>
                      <w:bCs/>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2" w:type="dxa"/>
                  <w:vMerge w:val="continue"/>
                  <w:vAlign w:val="center"/>
                </w:tcPr>
                <w:p>
                  <w:pPr>
                    <w:pStyle w:val="92"/>
                    <w:spacing w:line="240" w:lineRule="auto"/>
                    <w:ind w:firstLine="0" w:firstLineChars="0"/>
                    <w:jc w:val="center"/>
                    <w:rPr>
                      <w:rFonts w:cs="Times New Roman"/>
                      <w:bCs/>
                      <w:color w:val="000000"/>
                      <w:sz w:val="21"/>
                      <w:szCs w:val="21"/>
                    </w:rPr>
                  </w:pPr>
                </w:p>
              </w:tc>
              <w:tc>
                <w:tcPr>
                  <w:tcW w:w="1262" w:type="dxa"/>
                  <w:vMerge w:val="continue"/>
                  <w:vAlign w:val="center"/>
                </w:tcPr>
                <w:p>
                  <w:pPr>
                    <w:pStyle w:val="92"/>
                    <w:spacing w:line="240" w:lineRule="auto"/>
                    <w:ind w:firstLine="0" w:firstLineChars="0"/>
                    <w:jc w:val="center"/>
                    <w:rPr>
                      <w:rFonts w:cs="Times New Roman"/>
                      <w:bCs/>
                      <w:color w:val="000000"/>
                      <w:sz w:val="21"/>
                      <w:szCs w:val="21"/>
                    </w:rPr>
                  </w:pPr>
                </w:p>
              </w:tc>
              <w:tc>
                <w:tcPr>
                  <w:tcW w:w="1262" w:type="dxa"/>
                  <w:vMerge w:val="continue"/>
                  <w:vAlign w:val="center"/>
                </w:tcPr>
                <w:p>
                  <w:pPr>
                    <w:pStyle w:val="92"/>
                    <w:spacing w:line="240" w:lineRule="auto"/>
                    <w:ind w:firstLine="0" w:firstLineChars="0"/>
                    <w:jc w:val="center"/>
                    <w:rPr>
                      <w:rFonts w:cs="Times New Roman"/>
                      <w:bCs/>
                      <w:color w:val="000000"/>
                      <w:sz w:val="21"/>
                      <w:szCs w:val="21"/>
                    </w:rPr>
                  </w:pPr>
                </w:p>
              </w:tc>
              <w:tc>
                <w:tcPr>
                  <w:tcW w:w="1262"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标准名称</w:t>
                  </w:r>
                </w:p>
              </w:tc>
              <w:tc>
                <w:tcPr>
                  <w:tcW w:w="1265"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浓度限值（</w:t>
                  </w:r>
                  <w:r>
                    <w:rPr>
                      <w:rFonts w:cs="Times New Roman"/>
                      <w:bCs/>
                      <w:color w:val="000000"/>
                      <w:sz w:val="21"/>
                      <w:szCs w:val="21"/>
                    </w:rPr>
                    <w:t>mg/m</w:t>
                  </w:r>
                  <w:r>
                    <w:rPr>
                      <w:rFonts w:cs="Times New Roman"/>
                      <w:bCs/>
                      <w:color w:val="000000"/>
                      <w:sz w:val="21"/>
                      <w:szCs w:val="21"/>
                      <w:vertAlign w:val="superscript"/>
                    </w:rPr>
                    <w:t>3</w:t>
                  </w:r>
                  <w:r>
                    <w:rPr>
                      <w:rFonts w:hint="eastAsia" w:cs="Times New Roman"/>
                      <w:bCs/>
                      <w:color w:val="000000"/>
                      <w:sz w:val="21"/>
                      <w:szCs w:val="21"/>
                    </w:rPr>
                    <w:t>）</w:t>
                  </w:r>
                </w:p>
              </w:tc>
              <w:tc>
                <w:tcPr>
                  <w:tcW w:w="1263" w:type="dxa"/>
                  <w:vMerge w:val="continue"/>
                  <w:vAlign w:val="center"/>
                </w:tcPr>
                <w:p>
                  <w:pPr>
                    <w:pStyle w:val="92"/>
                    <w:spacing w:line="240" w:lineRule="auto"/>
                    <w:ind w:firstLine="0" w:firstLineChars="0"/>
                    <w:jc w:val="center"/>
                    <w:rPr>
                      <w:rFonts w:cs="Times New Roman"/>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262" w:type="dxa"/>
                  <w:vMerge w:val="restart"/>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待宰栏、屠宰间、污水处理站等</w:t>
                  </w:r>
                </w:p>
              </w:tc>
              <w:tc>
                <w:tcPr>
                  <w:tcW w:w="1262"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NH</w:t>
                  </w:r>
                  <w:r>
                    <w:rPr>
                      <w:rFonts w:hint="eastAsia" w:cs="Times New Roman"/>
                      <w:bCs/>
                      <w:color w:val="000000"/>
                      <w:sz w:val="21"/>
                      <w:szCs w:val="21"/>
                      <w:vertAlign w:val="subscript"/>
                    </w:rPr>
                    <w:t>3</w:t>
                  </w:r>
                </w:p>
              </w:tc>
              <w:tc>
                <w:tcPr>
                  <w:tcW w:w="1262" w:type="dxa"/>
                  <w:vMerge w:val="restart"/>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及时清理废物、清</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洗地面、增加通风</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次数、排风系统安</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装除臭剂、喷洒植</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物液除臭、加强周</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边绿化。</w:t>
                  </w:r>
                </w:p>
              </w:tc>
              <w:tc>
                <w:tcPr>
                  <w:tcW w:w="1262" w:type="dxa"/>
                  <w:vMerge w:val="restart"/>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《恶臭污染物排放</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标准</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（GB14554-93）》</w:t>
                  </w:r>
                </w:p>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厂界浓度限值</w:t>
                  </w:r>
                </w:p>
              </w:tc>
              <w:tc>
                <w:tcPr>
                  <w:tcW w:w="1265"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1</w:t>
                  </w:r>
                  <w:r>
                    <w:rPr>
                      <w:rFonts w:cs="Times New Roman"/>
                      <w:bCs/>
                      <w:color w:val="000000"/>
                      <w:sz w:val="21"/>
                      <w:szCs w:val="21"/>
                    </w:rPr>
                    <w:t>.</w:t>
                  </w:r>
                  <w:r>
                    <w:rPr>
                      <w:rFonts w:hint="eastAsia" w:cs="Times New Roman"/>
                      <w:bCs/>
                      <w:color w:val="000000"/>
                      <w:sz w:val="21"/>
                      <w:szCs w:val="21"/>
                    </w:rPr>
                    <w:t>5</w:t>
                  </w:r>
                </w:p>
              </w:tc>
              <w:tc>
                <w:tcPr>
                  <w:tcW w:w="1263"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w:t>
                  </w:r>
                  <w:r>
                    <w:rPr>
                      <w:rFonts w:hint="eastAsia" w:cs="Times New Roman"/>
                      <w:bCs/>
                      <w:color w:val="000000"/>
                      <w:sz w:val="21"/>
                      <w:szCs w:val="21"/>
                    </w:rPr>
                    <w:t>0346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2" w:hRule="atLeast"/>
                <w:jc w:val="center"/>
              </w:trPr>
              <w:tc>
                <w:tcPr>
                  <w:tcW w:w="1262" w:type="dxa"/>
                  <w:vMerge w:val="continue"/>
                  <w:vAlign w:val="center"/>
                </w:tcPr>
                <w:p>
                  <w:pPr>
                    <w:pStyle w:val="92"/>
                    <w:spacing w:line="240" w:lineRule="auto"/>
                    <w:ind w:firstLine="0" w:firstLineChars="0"/>
                    <w:jc w:val="center"/>
                    <w:rPr>
                      <w:rFonts w:cs="Times New Roman"/>
                      <w:bCs/>
                      <w:color w:val="000000"/>
                      <w:sz w:val="21"/>
                      <w:szCs w:val="21"/>
                    </w:rPr>
                  </w:pPr>
                </w:p>
              </w:tc>
              <w:tc>
                <w:tcPr>
                  <w:tcW w:w="1262"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H</w:t>
                  </w:r>
                  <w:r>
                    <w:rPr>
                      <w:rFonts w:hint="eastAsia" w:cs="Times New Roman"/>
                      <w:bCs/>
                      <w:color w:val="000000"/>
                      <w:sz w:val="21"/>
                      <w:szCs w:val="21"/>
                      <w:vertAlign w:val="subscript"/>
                    </w:rPr>
                    <w:t>2</w:t>
                  </w:r>
                  <w:r>
                    <w:rPr>
                      <w:rFonts w:hint="eastAsia" w:cs="Times New Roman"/>
                      <w:bCs/>
                      <w:color w:val="000000"/>
                      <w:sz w:val="21"/>
                      <w:szCs w:val="21"/>
                    </w:rPr>
                    <w:t>S</w:t>
                  </w:r>
                </w:p>
              </w:tc>
              <w:tc>
                <w:tcPr>
                  <w:tcW w:w="1262" w:type="dxa"/>
                  <w:vMerge w:val="continue"/>
                  <w:vAlign w:val="center"/>
                </w:tcPr>
                <w:p>
                  <w:pPr>
                    <w:pStyle w:val="92"/>
                    <w:spacing w:line="240" w:lineRule="auto"/>
                    <w:ind w:firstLine="0" w:firstLineChars="0"/>
                    <w:jc w:val="center"/>
                    <w:rPr>
                      <w:rFonts w:cs="Times New Roman"/>
                      <w:bCs/>
                      <w:color w:val="000000"/>
                      <w:sz w:val="21"/>
                      <w:szCs w:val="21"/>
                    </w:rPr>
                  </w:pPr>
                </w:p>
              </w:tc>
              <w:tc>
                <w:tcPr>
                  <w:tcW w:w="1262" w:type="dxa"/>
                  <w:vMerge w:val="continue"/>
                  <w:vAlign w:val="center"/>
                </w:tcPr>
                <w:p>
                  <w:pPr>
                    <w:pStyle w:val="92"/>
                    <w:spacing w:line="240" w:lineRule="auto"/>
                    <w:ind w:firstLine="0" w:firstLineChars="0"/>
                    <w:jc w:val="center"/>
                    <w:rPr>
                      <w:rFonts w:cs="Times New Roman"/>
                      <w:bCs/>
                      <w:color w:val="000000"/>
                      <w:sz w:val="21"/>
                      <w:szCs w:val="21"/>
                    </w:rPr>
                  </w:pPr>
                </w:p>
              </w:tc>
              <w:tc>
                <w:tcPr>
                  <w:tcW w:w="1265"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w:t>
                  </w:r>
                  <w:r>
                    <w:rPr>
                      <w:rFonts w:hint="eastAsia" w:cs="Times New Roman"/>
                      <w:bCs/>
                      <w:color w:val="000000"/>
                      <w:sz w:val="21"/>
                      <w:szCs w:val="21"/>
                    </w:rPr>
                    <w:t>6</w:t>
                  </w:r>
                </w:p>
              </w:tc>
              <w:tc>
                <w:tcPr>
                  <w:tcW w:w="1263" w:type="dxa"/>
                  <w:vAlign w:val="center"/>
                </w:tcPr>
                <w:p>
                  <w:pPr>
                    <w:pStyle w:val="92"/>
                    <w:spacing w:line="240" w:lineRule="auto"/>
                    <w:ind w:firstLine="0" w:firstLineChars="0"/>
                    <w:jc w:val="center"/>
                    <w:rPr>
                      <w:rFonts w:cs="Times New Roman"/>
                      <w:bCs/>
                      <w:color w:val="000000"/>
                      <w:sz w:val="21"/>
                      <w:szCs w:val="21"/>
                    </w:rPr>
                  </w:pPr>
                  <w:r>
                    <w:rPr>
                      <w:rFonts w:hint="eastAsia" w:cs="Times New Roman"/>
                      <w:bCs/>
                      <w:color w:val="000000"/>
                      <w:sz w:val="21"/>
                      <w:szCs w:val="21"/>
                    </w:rPr>
                    <w:t>0</w:t>
                  </w:r>
                  <w:r>
                    <w:rPr>
                      <w:rFonts w:cs="Times New Roman"/>
                      <w:bCs/>
                      <w:color w:val="000000"/>
                      <w:sz w:val="21"/>
                      <w:szCs w:val="21"/>
                    </w:rPr>
                    <w:t>.00</w:t>
                  </w:r>
                  <w:r>
                    <w:rPr>
                      <w:rFonts w:hint="eastAsia" w:cs="Times New Roman"/>
                      <w:bCs/>
                      <w:color w:val="000000"/>
                      <w:sz w:val="21"/>
                      <w:szCs w:val="21"/>
                    </w:rPr>
                    <w:t>43</w:t>
                  </w:r>
                </w:p>
              </w:tc>
            </w:tr>
          </w:tbl>
          <w:p>
            <w:pPr>
              <w:spacing w:before="240" w:beforeLines="100"/>
              <w:ind w:firstLine="480"/>
              <w:rPr>
                <w:bCs/>
                <w:color w:val="000000"/>
              </w:rPr>
            </w:pPr>
            <w:r>
              <w:rPr>
                <w:rFonts w:hint="eastAsia"/>
                <w:bCs/>
                <w:color w:val="000000"/>
              </w:rPr>
              <w:t>2.2</w:t>
            </w:r>
            <w:r>
              <w:rPr>
                <w:bCs/>
                <w:color w:val="000000"/>
              </w:rPr>
              <w:t>大气环境影响分析</w:t>
            </w:r>
          </w:p>
          <w:p>
            <w:pPr>
              <w:spacing w:before="120"/>
              <w:ind w:firstLine="480"/>
              <w:rPr>
                <w:bCs/>
                <w:color w:val="000000"/>
              </w:rPr>
            </w:pPr>
            <w:r>
              <w:t>本项目作为牛羊屠宰项目，日常运营过程中的废气主要是各类恶臭气体的散发。排放位置主要出现与牛羊</w:t>
            </w:r>
            <w:r>
              <w:rPr>
                <w:rFonts w:hint="eastAsia"/>
              </w:rPr>
              <w:t>待宰栏</w:t>
            </w:r>
            <w:r>
              <w:t>，屠宰车间，污水处理站，同时为了处置屠宰体中不可食用及病变部分，项目设置了</w:t>
            </w:r>
            <w:r>
              <w:rPr>
                <w:rFonts w:hint="eastAsia"/>
              </w:rPr>
              <w:t>无害化处理间</w:t>
            </w:r>
            <w:r>
              <w:t>用于处理生物组织。</w:t>
            </w:r>
            <w:r>
              <w:rPr>
                <w:rFonts w:hint="eastAsia"/>
                <w:bCs/>
                <w:color w:val="000000"/>
              </w:rPr>
              <w:t>从源强分析可知，各类恶臭气体排放浓度及速率均在较低水平，本项目厂站边界无组织排放恶臭气体执行《恶臭污染物排放标准（GB14554-93）》厂界浓度限值，正常运营时本项目各类废气对于大气环境影响较小。</w:t>
            </w:r>
          </w:p>
          <w:p>
            <w:pPr>
              <w:spacing w:before="120"/>
              <w:ind w:firstLine="480"/>
              <w:rPr>
                <w:bCs/>
                <w:color w:val="000000"/>
              </w:rPr>
            </w:pPr>
            <w:r>
              <w:rPr>
                <w:rFonts w:hint="eastAsia"/>
                <w:bCs/>
                <w:color w:val="000000"/>
              </w:rPr>
              <w:t>此外为分析本项目无组织废气对界外环境保护目标健康影响情况，现计算卫生防护距离，根据《大气有害物质无组织排放卫生防护距离推导技术导则》（G</w:t>
            </w:r>
            <w:r>
              <w:rPr>
                <w:bCs/>
                <w:color w:val="000000"/>
              </w:rPr>
              <w:t>B/T 39499-2020</w:t>
            </w:r>
            <w:r>
              <w:rPr>
                <w:rFonts w:hint="eastAsia"/>
                <w:bCs/>
                <w:color w:val="000000"/>
              </w:rPr>
              <w:t>）中卫生防护距离初值计算公式：</w:t>
            </w:r>
          </w:p>
          <w:p>
            <w:pPr>
              <w:spacing w:before="120"/>
              <w:ind w:firstLine="480"/>
              <w:jc w:val="center"/>
              <w:rPr>
                <w:bCs/>
                <w:color w:val="000000"/>
              </w:rPr>
            </w:pPr>
            <w:r>
              <w:drawing>
                <wp:inline distT="0" distB="0" distL="0" distR="0">
                  <wp:extent cx="5274310" cy="1582420"/>
                  <wp:effectExtent l="0" t="0" r="2540"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1582420"/>
                          </a:xfrm>
                          <a:prstGeom prst="rect">
                            <a:avLst/>
                          </a:prstGeom>
                          <a:noFill/>
                          <a:ln>
                            <a:noFill/>
                          </a:ln>
                        </pic:spPr>
                      </pic:pic>
                    </a:graphicData>
                  </a:graphic>
                </wp:inline>
              </w:drawing>
            </w:r>
          </w:p>
          <w:p>
            <w:pPr>
              <w:spacing w:before="120"/>
              <w:ind w:firstLine="480"/>
              <w:rPr>
                <w:bCs/>
                <w:color w:val="000000"/>
              </w:rPr>
            </w:pPr>
            <w:r>
              <w:rPr>
                <w:rFonts w:hint="eastAsia"/>
                <w:bCs/>
                <w:color w:val="000000"/>
              </w:rPr>
              <w:t>式中：C</w:t>
            </w:r>
            <w:r>
              <w:rPr>
                <w:rFonts w:hint="eastAsia"/>
                <w:bCs/>
                <w:color w:val="000000"/>
                <w:vertAlign w:val="subscript"/>
              </w:rPr>
              <w:t>m</w:t>
            </w:r>
            <w:r>
              <w:rPr>
                <w:rFonts w:hint="eastAsia"/>
                <w:bCs/>
                <w:color w:val="000000"/>
              </w:rPr>
              <w:t>—标准浓度限值，本项目取环境空气质量二级标准一次浓度限值，该标准未规定浓度限值的大气污染物，取TJ36-79规定的居住区1次最高容许浓度限值，即H</w:t>
            </w:r>
            <w:r>
              <w:rPr>
                <w:bCs/>
                <w:color w:val="000000"/>
                <w:vertAlign w:val="subscript"/>
              </w:rPr>
              <w:t>2</w:t>
            </w:r>
            <w:r>
              <w:rPr>
                <w:bCs/>
                <w:color w:val="000000"/>
              </w:rPr>
              <w:t>S</w:t>
            </w:r>
            <w:r>
              <w:rPr>
                <w:rFonts w:hint="eastAsia"/>
                <w:bCs/>
                <w:color w:val="000000"/>
              </w:rPr>
              <w:t>：0</w:t>
            </w:r>
            <w:r>
              <w:rPr>
                <w:bCs/>
                <w:color w:val="000000"/>
              </w:rPr>
              <w:t>.01</w:t>
            </w:r>
            <w:r>
              <w:rPr>
                <w:rFonts w:hint="eastAsia"/>
                <w:bCs/>
                <w:color w:val="000000"/>
              </w:rPr>
              <w:t xml:space="preserve"> mg/m</w:t>
            </w:r>
            <w:r>
              <w:rPr>
                <w:rFonts w:hint="eastAsia"/>
                <w:bCs/>
                <w:color w:val="000000"/>
                <w:vertAlign w:val="superscript"/>
              </w:rPr>
              <w:t>3</w:t>
            </w:r>
            <w:r>
              <w:rPr>
                <w:rFonts w:hint="eastAsia"/>
                <w:bCs/>
                <w:color w:val="000000"/>
              </w:rPr>
              <w:t>，</w:t>
            </w:r>
            <w:r>
              <w:rPr>
                <w:bCs/>
                <w:color w:val="000000"/>
              </w:rPr>
              <w:t>N</w:t>
            </w:r>
            <w:r>
              <w:rPr>
                <w:bCs/>
                <w:color w:val="000000"/>
                <w:vertAlign w:val="subscript"/>
              </w:rPr>
              <w:t>3</w:t>
            </w:r>
            <w:r>
              <w:rPr>
                <w:bCs/>
                <w:color w:val="000000"/>
              </w:rPr>
              <w:t>H</w:t>
            </w:r>
            <w:r>
              <w:rPr>
                <w:rFonts w:hint="eastAsia"/>
                <w:bCs/>
                <w:color w:val="000000"/>
              </w:rPr>
              <w:t>：0</w:t>
            </w:r>
            <w:r>
              <w:rPr>
                <w:bCs/>
                <w:color w:val="000000"/>
              </w:rPr>
              <w:t>.2</w:t>
            </w:r>
            <w:r>
              <w:rPr>
                <w:rFonts w:hint="eastAsia"/>
                <w:bCs/>
                <w:color w:val="000000"/>
              </w:rPr>
              <w:t>mg/m</w:t>
            </w:r>
            <w:r>
              <w:rPr>
                <w:rFonts w:hint="eastAsia"/>
                <w:bCs/>
                <w:color w:val="000000"/>
                <w:vertAlign w:val="superscript"/>
              </w:rPr>
              <w:t>3</w:t>
            </w:r>
            <w:r>
              <w:rPr>
                <w:rFonts w:hint="eastAsia"/>
                <w:bCs/>
                <w:color w:val="000000"/>
              </w:rPr>
              <w:t>。其它参数选取如下：</w:t>
            </w:r>
          </w:p>
          <w:p>
            <w:pPr>
              <w:spacing w:before="120"/>
              <w:ind w:firstLine="480"/>
              <w:rPr>
                <w:bCs/>
                <w:color w:val="000000"/>
              </w:rPr>
            </w:pPr>
            <w:r>
              <w:rPr>
                <w:rFonts w:hint="eastAsia"/>
                <w:bCs/>
                <w:color w:val="000000"/>
              </w:rPr>
              <w:t>①风速：1.</w:t>
            </w:r>
            <w:r>
              <w:rPr>
                <w:bCs/>
                <w:color w:val="000000"/>
              </w:rPr>
              <w:t>5</w:t>
            </w:r>
            <w:r>
              <w:rPr>
                <w:rFonts w:hint="eastAsia"/>
                <w:bCs/>
                <w:color w:val="000000"/>
              </w:rPr>
              <w:t>m/s</w:t>
            </w:r>
          </w:p>
          <w:p>
            <w:pPr>
              <w:spacing w:before="120"/>
              <w:ind w:firstLine="480"/>
              <w:rPr>
                <w:bCs/>
                <w:color w:val="000000"/>
              </w:rPr>
            </w:pPr>
            <w:r>
              <w:rPr>
                <w:rFonts w:hint="eastAsia" w:ascii="宋体" w:hAnsi="宋体"/>
                <w:bCs/>
                <w:color w:val="000000"/>
              </w:rPr>
              <w:t>②</w:t>
            </w:r>
            <w:r>
              <w:rPr>
                <w:rFonts w:hint="eastAsia"/>
                <w:bCs/>
                <w:color w:val="000000"/>
              </w:rPr>
              <w:t>生产单位占地面积约：1</w:t>
            </w:r>
            <w:r>
              <w:rPr>
                <w:bCs/>
                <w:color w:val="000000"/>
              </w:rPr>
              <w:t>872</w:t>
            </w:r>
            <w:r>
              <w:rPr>
                <w:rFonts w:hint="eastAsia"/>
                <w:bCs/>
                <w:color w:val="000000"/>
              </w:rPr>
              <w:t>m</w:t>
            </w:r>
            <w:r>
              <w:rPr>
                <w:bCs/>
                <w:color w:val="000000"/>
                <w:vertAlign w:val="superscript"/>
              </w:rPr>
              <w:t>2</w:t>
            </w:r>
          </w:p>
          <w:p>
            <w:pPr>
              <w:spacing w:before="120"/>
              <w:ind w:firstLine="480"/>
              <w:rPr>
                <w:bCs/>
                <w:color w:val="000000"/>
              </w:rPr>
            </w:pPr>
            <w:r>
              <w:rPr>
                <w:rFonts w:hint="eastAsia" w:ascii="宋体" w:hAnsi="宋体"/>
                <w:bCs/>
                <w:color w:val="000000"/>
              </w:rPr>
              <w:t>③</w:t>
            </w:r>
            <w:r>
              <w:rPr>
                <w:rFonts w:hint="eastAsia"/>
                <w:bCs/>
                <w:color w:val="000000"/>
              </w:rPr>
              <w:t>工业企业大气污染源构成类别：</w:t>
            </w:r>
            <w:r>
              <w:rPr>
                <w:rFonts w:hint="eastAsia" w:ascii="宋体" w:hAnsi="宋体"/>
                <w:bCs/>
                <w:color w:val="000000"/>
              </w:rPr>
              <w:t>Ⅱ</w:t>
            </w:r>
            <w:r>
              <w:rPr>
                <w:rFonts w:hint="eastAsia"/>
                <w:bCs/>
                <w:color w:val="000000"/>
              </w:rPr>
              <w:t>类</w:t>
            </w:r>
          </w:p>
          <w:p>
            <w:pPr>
              <w:spacing w:before="120"/>
              <w:ind w:firstLine="480"/>
              <w:rPr>
                <w:bCs/>
                <w:color w:val="000000"/>
              </w:rPr>
            </w:pPr>
            <w:r>
              <w:rPr>
                <w:rFonts w:hint="eastAsia" w:ascii="宋体" w:hAnsi="宋体"/>
                <w:bCs/>
                <w:color w:val="000000"/>
              </w:rPr>
              <w:t>④</w:t>
            </w:r>
            <w:r>
              <w:rPr>
                <w:rFonts w:hint="eastAsia"/>
                <w:bCs/>
                <w:color w:val="000000"/>
              </w:rPr>
              <w:t>计算系数：A、B、C、D分别取值400、0.01、1.85、0.78。</w:t>
            </w:r>
          </w:p>
          <w:p>
            <w:pPr>
              <w:spacing w:before="120"/>
              <w:ind w:firstLine="480"/>
              <w:rPr>
                <w:bCs/>
                <w:color w:val="000000"/>
              </w:rPr>
            </w:pPr>
            <w:r>
              <w:rPr>
                <w:rFonts w:hint="eastAsia"/>
                <w:bCs/>
                <w:color w:val="000000"/>
              </w:rPr>
              <w:t>由前文可知无组织H</w:t>
            </w:r>
            <w:r>
              <w:rPr>
                <w:bCs/>
                <w:color w:val="000000"/>
                <w:vertAlign w:val="subscript"/>
              </w:rPr>
              <w:t>2</w:t>
            </w:r>
            <w:r>
              <w:rPr>
                <w:bCs/>
                <w:color w:val="000000"/>
              </w:rPr>
              <w:t>S</w:t>
            </w:r>
            <w:r>
              <w:rPr>
                <w:rFonts w:hint="eastAsia"/>
                <w:bCs/>
                <w:color w:val="000000"/>
              </w:rPr>
              <w:t>：0</w:t>
            </w:r>
            <w:r>
              <w:rPr>
                <w:bCs/>
                <w:color w:val="000000"/>
              </w:rPr>
              <w:t>.00102</w:t>
            </w:r>
            <w:r>
              <w:rPr>
                <w:rFonts w:hint="eastAsia"/>
                <w:bCs/>
                <w:color w:val="000000"/>
              </w:rPr>
              <w:t>kg/h，</w:t>
            </w:r>
            <w:r>
              <w:rPr>
                <w:bCs/>
                <w:color w:val="000000"/>
              </w:rPr>
              <w:t>N</w:t>
            </w:r>
            <w:r>
              <w:rPr>
                <w:bCs/>
                <w:color w:val="000000"/>
                <w:vertAlign w:val="subscript"/>
              </w:rPr>
              <w:t>3</w:t>
            </w:r>
            <w:r>
              <w:rPr>
                <w:bCs/>
                <w:color w:val="000000"/>
              </w:rPr>
              <w:t>H</w:t>
            </w:r>
            <w:r>
              <w:rPr>
                <w:rFonts w:hint="eastAsia"/>
                <w:bCs/>
                <w:color w:val="000000"/>
              </w:rPr>
              <w:t>：0</w:t>
            </w:r>
            <w:r>
              <w:rPr>
                <w:bCs/>
                <w:color w:val="000000"/>
              </w:rPr>
              <w:t>.0108</w:t>
            </w:r>
            <w:r>
              <w:rPr>
                <w:rFonts w:hint="eastAsia"/>
                <w:bCs/>
                <w:color w:val="000000"/>
              </w:rPr>
              <w:t>kg</w:t>
            </w:r>
            <w:r>
              <w:rPr>
                <w:bCs/>
                <w:color w:val="000000"/>
              </w:rPr>
              <w:t>/</w:t>
            </w:r>
            <w:r>
              <w:rPr>
                <w:rFonts w:hint="eastAsia"/>
                <w:bCs/>
                <w:color w:val="000000"/>
              </w:rPr>
              <w:t>h，经计算</w:t>
            </w:r>
            <w:r>
              <w:rPr>
                <w:bCs/>
                <w:color w:val="000000"/>
              </w:rPr>
              <w:t>N</w:t>
            </w:r>
            <w:r>
              <w:rPr>
                <w:bCs/>
                <w:color w:val="000000"/>
                <w:vertAlign w:val="subscript"/>
              </w:rPr>
              <w:t>3</w:t>
            </w:r>
            <w:r>
              <w:rPr>
                <w:bCs/>
                <w:color w:val="000000"/>
              </w:rPr>
              <w:t>H</w:t>
            </w:r>
            <w:r>
              <w:rPr>
                <w:rFonts w:hint="eastAsia"/>
                <w:bCs/>
                <w:color w:val="000000"/>
              </w:rPr>
              <w:t>无组织排放源的卫生防护距离为2</w:t>
            </w:r>
            <w:r>
              <w:rPr>
                <w:bCs/>
                <w:color w:val="000000"/>
              </w:rPr>
              <w:t>.078</w:t>
            </w:r>
            <w:r>
              <w:rPr>
                <w:rFonts w:hint="eastAsia"/>
                <w:bCs/>
                <w:color w:val="000000"/>
              </w:rPr>
              <w:t>米，H</w:t>
            </w:r>
            <w:r>
              <w:rPr>
                <w:bCs/>
                <w:color w:val="000000"/>
                <w:vertAlign w:val="subscript"/>
              </w:rPr>
              <w:t>2</w:t>
            </w:r>
            <w:r>
              <w:rPr>
                <w:bCs/>
                <w:color w:val="000000"/>
              </w:rPr>
              <w:t>S</w:t>
            </w:r>
            <w:r>
              <w:rPr>
                <w:rFonts w:hint="eastAsia"/>
                <w:bCs/>
                <w:color w:val="000000"/>
              </w:rPr>
              <w:t>无组织排放源的卫生防护距离为</w:t>
            </w:r>
            <w:r>
              <w:rPr>
                <w:bCs/>
                <w:color w:val="000000"/>
              </w:rPr>
              <w:t>4.754</w:t>
            </w:r>
            <w:r>
              <w:rPr>
                <w:rFonts w:hint="eastAsia"/>
                <w:bCs/>
                <w:color w:val="000000"/>
              </w:rPr>
              <w:t>米。</w:t>
            </w:r>
          </w:p>
          <w:p>
            <w:pPr>
              <w:spacing w:before="120"/>
              <w:ind w:firstLine="480"/>
              <w:rPr>
                <w:bCs/>
                <w:color w:val="000000"/>
              </w:rPr>
            </w:pPr>
            <w:r>
              <w:rPr>
                <w:rFonts w:hint="eastAsia"/>
                <w:bCs/>
                <w:color w:val="000000"/>
              </w:rPr>
              <w:t>根据《大气有害物质无组织排放卫生防护距离推导技术导则》（GB/T 39499-2020），卫生防护距离初值小于</w:t>
            </w:r>
            <w:r>
              <w:rPr>
                <w:bCs/>
                <w:color w:val="000000"/>
              </w:rPr>
              <w:t>50</w:t>
            </w:r>
            <w:r>
              <w:rPr>
                <w:rFonts w:hint="eastAsia"/>
                <w:bCs/>
                <w:color w:val="000000"/>
              </w:rPr>
              <w:t>m时，级差为50m。企业生产单元的无组织排放存在多种特征大气有害物质时,如果分别推导出的卫生防护距离初值在同一级别时,则该企业的卫生防护距离终值应提高一级;卫生防护距离初值不在同一级别的,以卫生防护距离终值较大者为准。由于计算的卫生防护距离在同一级别，为5</w:t>
            </w:r>
            <w:r>
              <w:rPr>
                <w:bCs/>
                <w:color w:val="000000"/>
              </w:rPr>
              <w:t>0</w:t>
            </w:r>
            <w:r>
              <w:rPr>
                <w:rFonts w:hint="eastAsia"/>
                <w:bCs/>
                <w:color w:val="000000"/>
              </w:rPr>
              <w:t>m，提高一级，则卫生防护距离为100m。</w:t>
            </w:r>
          </w:p>
          <w:p>
            <w:pPr>
              <w:spacing w:before="120"/>
              <w:ind w:firstLine="480"/>
              <w:rPr>
                <w:bCs/>
                <w:color w:val="000000"/>
              </w:rPr>
            </w:pPr>
            <w:r>
              <w:rPr>
                <w:rFonts w:hint="eastAsia"/>
                <w:bCs/>
                <w:color w:val="000000"/>
              </w:rPr>
              <w:t>根据文件卫生防护距离是指：为了防控通过无组织排放的大气污染物的健康危害,产生大气有害物质的生产单元(生产车间或作业场所)的边界至敏感区边界的最小距离，已知距离项目厂区厂界最近的岩头村距离约1</w:t>
            </w:r>
            <w:r>
              <w:rPr>
                <w:bCs/>
                <w:color w:val="000000"/>
              </w:rPr>
              <w:t>29</w:t>
            </w:r>
            <w:r>
              <w:rPr>
                <w:rFonts w:hint="eastAsia"/>
                <w:bCs/>
                <w:color w:val="000000"/>
              </w:rPr>
              <w:t>m，离生产单元（屠宰场）距离已超过2</w:t>
            </w:r>
            <w:r>
              <w:rPr>
                <w:bCs/>
                <w:color w:val="000000"/>
              </w:rPr>
              <w:t>00</w:t>
            </w:r>
            <w:r>
              <w:rPr>
                <w:rFonts w:hint="eastAsia"/>
                <w:bCs/>
                <w:color w:val="000000"/>
              </w:rPr>
              <w:t>m，厂区西侧坪岗村离厂区厂界距离约1</w:t>
            </w:r>
            <w:r>
              <w:rPr>
                <w:bCs/>
                <w:color w:val="000000"/>
              </w:rPr>
              <w:t>87</w:t>
            </w:r>
            <w:r>
              <w:rPr>
                <w:rFonts w:hint="eastAsia"/>
                <w:bCs/>
                <w:color w:val="000000"/>
              </w:rPr>
              <w:t>m，离生产单元（屠宰场）距离亦超过2</w:t>
            </w:r>
            <w:r>
              <w:rPr>
                <w:bCs/>
                <w:color w:val="000000"/>
              </w:rPr>
              <w:t>00</w:t>
            </w:r>
            <w:r>
              <w:rPr>
                <w:rFonts w:hint="eastAsia"/>
                <w:bCs/>
                <w:color w:val="000000"/>
              </w:rPr>
              <w:t>m，可见本项目卫生防护距离范围内无居民区、学校等环境敏感目标，对周围大气环境影响在可接受范围内。</w:t>
            </w:r>
          </w:p>
          <w:p>
            <w:pPr>
              <w:spacing w:before="120"/>
              <w:ind w:firstLine="480"/>
              <w:rPr>
                <w:bCs/>
                <w:color w:val="000000"/>
              </w:rPr>
            </w:pPr>
            <w:r>
              <w:rPr>
                <w:bCs/>
                <w:szCs w:val="28"/>
              </w:rPr>
              <w:t>综上所述，本项目废气污染物经处理后对周边大气环境较小，在可接受范围之内。</w:t>
            </w:r>
          </w:p>
          <w:p>
            <w:pPr>
              <w:adjustRightInd w:val="0"/>
              <w:snapToGrid w:val="0"/>
              <w:spacing w:before="120"/>
              <w:ind w:firstLine="480"/>
            </w:pPr>
            <w:r>
              <w:rPr>
                <w:rFonts w:hint="eastAsia"/>
              </w:rPr>
              <w:t>为防止生产废气非正常情况排放对大气环境造成影响，企业必须加强吸收塔的管理，定期检修，确保废气处理设施正常运行，在废气处理设备停止运行或出现故障时，产生废气的各工序也必须相应停止生产。</w:t>
            </w:r>
          </w:p>
          <w:p>
            <w:pPr>
              <w:adjustRightInd w:val="0"/>
              <w:snapToGrid w:val="0"/>
              <w:spacing w:before="120"/>
              <w:ind w:firstLine="482"/>
              <w:rPr>
                <w:b/>
                <w:color w:val="000000"/>
                <w:szCs w:val="22"/>
              </w:rPr>
            </w:pPr>
            <w:r>
              <w:rPr>
                <w:b/>
                <w:color w:val="000000"/>
                <w:szCs w:val="22"/>
              </w:rPr>
              <w:t>3、噪声</w:t>
            </w:r>
          </w:p>
          <w:p>
            <w:pPr>
              <w:spacing w:before="120"/>
              <w:ind w:firstLine="480"/>
              <w:rPr>
                <w:bCs/>
                <w:color w:val="000000"/>
              </w:rPr>
            </w:pPr>
            <w:r>
              <w:rPr>
                <w:bCs/>
                <w:color w:val="000000"/>
              </w:rPr>
              <w:t>（1）噪声污染源源强</w:t>
            </w:r>
          </w:p>
          <w:p>
            <w:pPr>
              <w:adjustRightInd w:val="0"/>
              <w:snapToGrid w:val="0"/>
              <w:spacing w:before="120"/>
              <w:ind w:firstLine="480"/>
              <w:rPr>
                <w:bCs/>
                <w:color w:val="000000"/>
              </w:rPr>
            </w:pPr>
            <w:r>
              <w:rPr>
                <w:rFonts w:hint="eastAsia"/>
                <w:bCs/>
                <w:color w:val="000000"/>
              </w:rPr>
              <w:t>本项目运营期主要噪声源为厂内车辆运输的噪声，噪声值为65~70dB（A）；牛羊嘶叫产生的噪声，噪声值为75~85dB（A）；提升机、扯皮机、脱毛机等设备产生的噪声，噪声值为65~75dB（A）；恶臭、油烟废气处理系统风机产生的噪声，噪声值为85~95dB（A）；污水处理站水泵、风机及空压机等设备运行时产生的噪声，噪声值为70~95dB（A）。</w:t>
            </w:r>
          </w:p>
          <w:p>
            <w:pPr>
              <w:spacing w:before="120"/>
              <w:ind w:firstLine="480"/>
              <w:rPr>
                <w:bCs/>
              </w:rPr>
            </w:pPr>
            <w:r>
              <w:rPr>
                <w:bCs/>
                <w:color w:val="000000"/>
              </w:rPr>
              <w:t>项目噪声污染源源强具体情况见下表：</w:t>
            </w:r>
          </w:p>
          <w:p>
            <w:pPr>
              <w:pStyle w:val="17"/>
              <w:spacing w:before="120" w:line="360" w:lineRule="auto"/>
              <w:rPr>
                <w:b/>
                <w:bCs w:val="0"/>
              </w:rPr>
            </w:pPr>
            <w:r>
              <w:rPr>
                <w:b/>
                <w:bCs w:val="0"/>
              </w:rPr>
              <w:t>表4-12  项目主要噪声源强一览表   单位dB（A）</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523"/>
              <w:gridCol w:w="1524"/>
              <w:gridCol w:w="1524"/>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Align w:val="center"/>
                </w:tcPr>
                <w:p>
                  <w:pPr>
                    <w:spacing w:before="0" w:beforeLines="0" w:line="240" w:lineRule="auto"/>
                    <w:ind w:firstLine="0" w:firstLineChars="0"/>
                    <w:jc w:val="center"/>
                    <w:rPr>
                      <w:snapToGrid w:val="0"/>
                      <w:sz w:val="21"/>
                    </w:rPr>
                  </w:pPr>
                  <w:r>
                    <w:rPr>
                      <w:rFonts w:hint="eastAsia"/>
                      <w:snapToGrid w:val="0"/>
                      <w:sz w:val="21"/>
                    </w:rPr>
                    <w:t>噪声源位置</w:t>
                  </w: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噪声源名称</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源强d</w:t>
                  </w:r>
                  <w:r>
                    <w:rPr>
                      <w:snapToGrid w:val="0"/>
                      <w:sz w:val="21"/>
                    </w:rPr>
                    <w:t>B</w:t>
                  </w:r>
                  <w:r>
                    <w:rPr>
                      <w:rFonts w:hint="eastAsia"/>
                      <w:snapToGrid w:val="0"/>
                      <w:sz w:val="21"/>
                    </w:rPr>
                    <w:t>（A）</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声源距离m</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工作特性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523" w:type="dxa"/>
                  <w:vAlign w:val="center"/>
                </w:tcPr>
                <w:p>
                  <w:pPr>
                    <w:spacing w:before="0" w:beforeLines="0" w:line="240" w:lineRule="auto"/>
                    <w:ind w:firstLine="0" w:firstLineChars="0"/>
                    <w:jc w:val="center"/>
                    <w:rPr>
                      <w:snapToGrid w:val="0"/>
                      <w:sz w:val="21"/>
                    </w:rPr>
                  </w:pPr>
                  <w:r>
                    <w:rPr>
                      <w:rFonts w:hint="eastAsia"/>
                      <w:snapToGrid w:val="0"/>
                      <w:sz w:val="21"/>
                    </w:rPr>
                    <w:t>厂区道路</w:t>
                  </w: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车辆</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5~70</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Align w:val="center"/>
                </w:tcPr>
                <w:p>
                  <w:pPr>
                    <w:spacing w:before="0" w:beforeLines="0" w:line="240" w:lineRule="auto"/>
                    <w:ind w:firstLine="0" w:firstLineChars="0"/>
                    <w:jc w:val="center"/>
                    <w:rPr>
                      <w:snapToGrid w:val="0"/>
                      <w:sz w:val="21"/>
                    </w:rPr>
                  </w:pPr>
                  <w:r>
                    <w:rPr>
                      <w:rFonts w:hint="eastAsia"/>
                      <w:snapToGrid w:val="0"/>
                      <w:sz w:val="21"/>
                    </w:rPr>
                    <w:t>牛羊待宰栏</w:t>
                  </w: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牛羊嚎叫声</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7</w:t>
                  </w:r>
                  <w:r>
                    <w:rPr>
                      <w:snapToGrid w:val="0"/>
                      <w:sz w:val="21"/>
                    </w:rPr>
                    <w:t>5~85</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Merge w:val="restart"/>
                  <w:vAlign w:val="center"/>
                </w:tcPr>
                <w:p>
                  <w:pPr>
                    <w:spacing w:before="0" w:beforeLines="0" w:line="240" w:lineRule="auto"/>
                    <w:ind w:firstLine="0" w:firstLineChars="0"/>
                    <w:jc w:val="center"/>
                    <w:rPr>
                      <w:snapToGrid w:val="0"/>
                      <w:sz w:val="21"/>
                    </w:rPr>
                  </w:pPr>
                  <w:r>
                    <w:rPr>
                      <w:rFonts w:hint="eastAsia"/>
                      <w:snapToGrid w:val="0"/>
                      <w:sz w:val="21"/>
                    </w:rPr>
                    <w:t>牛羊屠宰间</w:t>
                  </w: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牛羊嚎叫声</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7</w:t>
                  </w:r>
                  <w:r>
                    <w:rPr>
                      <w:snapToGrid w:val="0"/>
                      <w:sz w:val="21"/>
                    </w:rPr>
                    <w:t>5~85</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Merge w:val="continue"/>
                  <w:vAlign w:val="center"/>
                </w:tcPr>
                <w:p>
                  <w:pPr>
                    <w:spacing w:before="0" w:beforeLines="0" w:line="240" w:lineRule="auto"/>
                    <w:ind w:firstLine="0" w:firstLineChars="0"/>
                    <w:jc w:val="center"/>
                    <w:rPr>
                      <w:snapToGrid w:val="0"/>
                      <w:sz w:val="21"/>
                    </w:rPr>
                  </w:pP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扯皮机</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5~75</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Merge w:val="continue"/>
                  <w:vAlign w:val="center"/>
                </w:tcPr>
                <w:p>
                  <w:pPr>
                    <w:spacing w:before="0" w:beforeLines="0" w:line="240" w:lineRule="auto"/>
                    <w:ind w:firstLine="0" w:firstLineChars="0"/>
                    <w:jc w:val="center"/>
                    <w:rPr>
                      <w:snapToGrid w:val="0"/>
                      <w:sz w:val="21"/>
                    </w:rPr>
                  </w:pP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脱毛机</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5~75</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Merge w:val="continue"/>
                  <w:vAlign w:val="center"/>
                </w:tcPr>
                <w:p>
                  <w:pPr>
                    <w:spacing w:before="0" w:beforeLines="0" w:line="240" w:lineRule="auto"/>
                    <w:ind w:firstLine="0" w:firstLineChars="0"/>
                    <w:jc w:val="center"/>
                    <w:rPr>
                      <w:snapToGrid w:val="0"/>
                      <w:sz w:val="21"/>
                    </w:rPr>
                  </w:pP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提升机</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5~70</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Align w:val="center"/>
                </w:tcPr>
                <w:p>
                  <w:pPr>
                    <w:spacing w:before="0" w:beforeLines="0" w:line="240" w:lineRule="auto"/>
                    <w:ind w:firstLine="0" w:firstLineChars="0"/>
                    <w:jc w:val="center"/>
                    <w:rPr>
                      <w:snapToGrid w:val="0"/>
                      <w:sz w:val="21"/>
                    </w:rPr>
                  </w:pPr>
                  <w:r>
                    <w:rPr>
                      <w:rFonts w:hint="eastAsia"/>
                      <w:snapToGrid w:val="0"/>
                      <w:sz w:val="21"/>
                    </w:rPr>
                    <w:t>废气处理系统</w:t>
                  </w: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风机</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8</w:t>
                  </w:r>
                  <w:r>
                    <w:rPr>
                      <w:snapToGrid w:val="0"/>
                      <w:sz w:val="21"/>
                    </w:rPr>
                    <w:t>5~95</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Merge w:val="restart"/>
                  <w:vAlign w:val="center"/>
                </w:tcPr>
                <w:p>
                  <w:pPr>
                    <w:spacing w:before="0" w:beforeLines="0" w:line="240" w:lineRule="auto"/>
                    <w:ind w:firstLine="0" w:firstLineChars="0"/>
                    <w:jc w:val="center"/>
                    <w:rPr>
                      <w:snapToGrid w:val="0"/>
                      <w:sz w:val="21"/>
                    </w:rPr>
                  </w:pPr>
                  <w:r>
                    <w:rPr>
                      <w:rFonts w:hint="eastAsia"/>
                      <w:snapToGrid w:val="0"/>
                      <w:sz w:val="21"/>
                    </w:rPr>
                    <w:t>污水处理站</w:t>
                  </w: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水泵</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7</w:t>
                  </w:r>
                  <w:r>
                    <w:rPr>
                      <w:snapToGrid w:val="0"/>
                      <w:sz w:val="21"/>
                    </w:rPr>
                    <w:t>0~90</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23" w:type="dxa"/>
                  <w:vMerge w:val="continue"/>
                  <w:vAlign w:val="center"/>
                </w:tcPr>
                <w:p>
                  <w:pPr>
                    <w:spacing w:before="0" w:beforeLines="0" w:line="240" w:lineRule="auto"/>
                    <w:ind w:firstLine="0" w:firstLineChars="0"/>
                    <w:jc w:val="center"/>
                    <w:rPr>
                      <w:snapToGrid w:val="0"/>
                      <w:sz w:val="21"/>
                    </w:rPr>
                  </w:pP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风机</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8</w:t>
                  </w:r>
                  <w:r>
                    <w:rPr>
                      <w:snapToGrid w:val="0"/>
                      <w:sz w:val="21"/>
                    </w:rPr>
                    <w:t>5~95</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jc w:val="center"/>
              </w:trPr>
              <w:tc>
                <w:tcPr>
                  <w:tcW w:w="1523" w:type="dxa"/>
                  <w:vMerge w:val="continue"/>
                  <w:vAlign w:val="center"/>
                </w:tcPr>
                <w:p>
                  <w:pPr>
                    <w:spacing w:before="0" w:beforeLines="0" w:line="240" w:lineRule="auto"/>
                    <w:ind w:firstLine="0" w:firstLineChars="0"/>
                    <w:jc w:val="center"/>
                    <w:rPr>
                      <w:snapToGrid w:val="0"/>
                      <w:sz w:val="21"/>
                    </w:rPr>
                  </w:pPr>
                </w:p>
              </w:tc>
              <w:tc>
                <w:tcPr>
                  <w:tcW w:w="1523" w:type="dxa"/>
                  <w:vAlign w:val="center"/>
                </w:tcPr>
                <w:p>
                  <w:pPr>
                    <w:spacing w:before="0" w:beforeLines="0" w:line="240" w:lineRule="auto"/>
                    <w:ind w:firstLine="0" w:firstLineChars="0"/>
                    <w:jc w:val="center"/>
                    <w:rPr>
                      <w:snapToGrid w:val="0"/>
                      <w:sz w:val="21"/>
                    </w:rPr>
                  </w:pPr>
                  <w:r>
                    <w:rPr>
                      <w:rFonts w:hint="eastAsia"/>
                      <w:snapToGrid w:val="0"/>
                      <w:sz w:val="21"/>
                    </w:rPr>
                    <w:t>空压机</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8</w:t>
                  </w:r>
                  <w:r>
                    <w:rPr>
                      <w:snapToGrid w:val="0"/>
                      <w:sz w:val="21"/>
                    </w:rPr>
                    <w:t>0~90</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1</w:t>
                  </w:r>
                </w:p>
              </w:tc>
              <w:tc>
                <w:tcPr>
                  <w:tcW w:w="1524" w:type="dxa"/>
                  <w:vAlign w:val="center"/>
                </w:tcPr>
                <w:p>
                  <w:pPr>
                    <w:spacing w:before="0" w:beforeLines="0" w:line="240" w:lineRule="auto"/>
                    <w:ind w:firstLine="0" w:firstLineChars="0"/>
                    <w:jc w:val="center"/>
                    <w:rPr>
                      <w:snapToGrid w:val="0"/>
                      <w:sz w:val="21"/>
                    </w:rPr>
                  </w:pPr>
                  <w:r>
                    <w:rPr>
                      <w:rFonts w:hint="eastAsia"/>
                      <w:snapToGrid w:val="0"/>
                      <w:sz w:val="21"/>
                    </w:rPr>
                    <w:t>间歇</w:t>
                  </w:r>
                </w:p>
              </w:tc>
            </w:tr>
          </w:tbl>
          <w:p>
            <w:pPr>
              <w:spacing w:before="240" w:beforeLines="100"/>
              <w:ind w:firstLine="240" w:firstLineChars="100"/>
              <w:rPr>
                <w:bCs/>
                <w:color w:val="000000"/>
              </w:rPr>
            </w:pPr>
            <w:r>
              <w:rPr>
                <w:bCs/>
                <w:color w:val="000000"/>
              </w:rPr>
              <w:t>（2）项目营运期主要噪声治理措施</w:t>
            </w:r>
          </w:p>
          <w:p>
            <w:pPr>
              <w:adjustRightInd w:val="0"/>
              <w:snapToGrid w:val="0"/>
              <w:spacing w:before="120"/>
              <w:ind w:firstLine="480"/>
              <w:rPr>
                <w:bCs/>
                <w:color w:val="000000"/>
              </w:rPr>
            </w:pPr>
            <w:r>
              <w:rPr>
                <w:rFonts w:hint="eastAsia" w:ascii="宋体" w:hAnsi="宋体" w:cs="宋体"/>
                <w:bCs/>
                <w:color w:val="000000"/>
              </w:rPr>
              <w:t>①</w:t>
            </w:r>
            <w:r>
              <w:rPr>
                <w:bCs/>
                <w:color w:val="000000"/>
              </w:rPr>
              <w:t>合同布局，重视总平面布置</w:t>
            </w:r>
          </w:p>
          <w:p>
            <w:pPr>
              <w:adjustRightInd w:val="0"/>
              <w:snapToGrid w:val="0"/>
              <w:spacing w:before="120"/>
              <w:ind w:firstLine="480"/>
              <w:rPr>
                <w:bCs/>
                <w:color w:val="000000"/>
              </w:rPr>
            </w:pPr>
            <w:r>
              <w:rPr>
                <w:bCs/>
                <w:color w:val="000000"/>
              </w:rPr>
              <w:t>尽量将高噪声设备布置在厂房中间，远离厂界的同时选择距离项目附近敏感区最远的位置；对有强噪声的车间，考虑利用建筑物、构筑物来阻隔声波的传播，减少对周围环境的影响，噪声再经墙体隔声、距离衰减后可降低噪声级10-30分贝。</w:t>
            </w:r>
          </w:p>
          <w:p>
            <w:pPr>
              <w:adjustRightInd w:val="0"/>
              <w:snapToGrid w:val="0"/>
              <w:spacing w:before="120"/>
              <w:ind w:firstLine="480"/>
              <w:rPr>
                <w:bCs/>
                <w:color w:val="000000"/>
              </w:rPr>
            </w:pPr>
            <w:r>
              <w:rPr>
                <w:rFonts w:hint="eastAsia" w:ascii="宋体" w:hAnsi="宋体" w:cs="宋体"/>
                <w:bCs/>
                <w:color w:val="000000"/>
              </w:rPr>
              <w:t>②</w:t>
            </w:r>
            <w:r>
              <w:rPr>
                <w:bCs/>
                <w:color w:val="000000"/>
              </w:rPr>
              <w:t>防治措施</w:t>
            </w:r>
          </w:p>
          <w:p>
            <w:pPr>
              <w:adjustRightInd w:val="0"/>
              <w:snapToGrid w:val="0"/>
              <w:spacing w:before="120"/>
              <w:ind w:firstLine="480"/>
              <w:rPr>
                <w:bCs/>
                <w:color w:val="000000"/>
              </w:rPr>
            </w:pPr>
            <w:r>
              <w:rPr>
                <w:rFonts w:hint="eastAsia"/>
                <w:bCs/>
                <w:color w:val="000000"/>
              </w:rPr>
              <w:t>A、在满足要求的基础上，选用新技术，减少羊刺杀过程的嘶叫频率，并选取精度高、装配质量好、噪声低的设备；</w:t>
            </w:r>
          </w:p>
          <w:p>
            <w:pPr>
              <w:adjustRightInd w:val="0"/>
              <w:snapToGrid w:val="0"/>
              <w:spacing w:before="120"/>
              <w:ind w:firstLine="480"/>
              <w:rPr>
                <w:bCs/>
                <w:color w:val="000000"/>
              </w:rPr>
            </w:pPr>
            <w:r>
              <w:rPr>
                <w:rFonts w:hint="eastAsia"/>
                <w:bCs/>
                <w:color w:val="000000"/>
              </w:rPr>
              <w:t>B、对噪声较大的设备机座进行减振处理，如加工设备加固在地板上，并加设减震垫，防止由于加工过程中的设备的振动引起的结构传声；</w:t>
            </w:r>
          </w:p>
          <w:p>
            <w:pPr>
              <w:adjustRightInd w:val="0"/>
              <w:snapToGrid w:val="0"/>
              <w:spacing w:before="120"/>
              <w:ind w:firstLine="480"/>
              <w:rPr>
                <w:bCs/>
                <w:color w:val="000000"/>
              </w:rPr>
            </w:pPr>
            <w:r>
              <w:rPr>
                <w:rFonts w:hint="eastAsia"/>
                <w:bCs/>
                <w:color w:val="000000"/>
              </w:rPr>
              <w:t>C、室外风机及水泵假装隔声罩，除了降低噪声外，还起到防雨防晒的作用；</w:t>
            </w:r>
          </w:p>
          <w:p>
            <w:pPr>
              <w:adjustRightInd w:val="0"/>
              <w:snapToGrid w:val="0"/>
              <w:spacing w:before="120"/>
              <w:ind w:firstLine="480"/>
              <w:rPr>
                <w:bCs/>
                <w:color w:val="000000"/>
              </w:rPr>
            </w:pPr>
            <w:r>
              <w:rPr>
                <w:rFonts w:hint="eastAsia"/>
                <w:bCs/>
                <w:color w:val="000000"/>
              </w:rPr>
              <w:t>D、维护：加强设备的维修保养，适时添加润滑剂防止设备老化。</w:t>
            </w:r>
          </w:p>
          <w:p>
            <w:pPr>
              <w:adjustRightInd w:val="0"/>
              <w:snapToGrid w:val="0"/>
              <w:spacing w:before="120"/>
              <w:ind w:firstLine="480"/>
              <w:rPr>
                <w:bCs/>
                <w:color w:val="000000"/>
              </w:rPr>
            </w:pPr>
            <w:r>
              <w:rPr>
                <w:rFonts w:hint="eastAsia"/>
                <w:bCs/>
                <w:color w:val="000000"/>
              </w:rPr>
              <w:t>E、门、窗选用隔声效果好的材料；车间为密闭车间，通过安装减振垫或者隔声门窗来达到阻隔作用降低噪声的传播；</w:t>
            </w:r>
          </w:p>
          <w:p>
            <w:pPr>
              <w:adjustRightInd w:val="0"/>
              <w:snapToGrid w:val="0"/>
              <w:spacing w:before="120"/>
              <w:ind w:firstLine="480"/>
              <w:rPr>
                <w:bCs/>
                <w:color w:val="000000"/>
              </w:rPr>
            </w:pPr>
            <w:r>
              <w:rPr>
                <w:rFonts w:hint="eastAsia"/>
                <w:bCs/>
                <w:color w:val="000000"/>
              </w:rPr>
              <w:t>F、室内强制通风，采用低噪声风机，进、出风口安装消声器；</w:t>
            </w:r>
          </w:p>
          <w:p>
            <w:pPr>
              <w:adjustRightInd w:val="0"/>
              <w:snapToGrid w:val="0"/>
              <w:spacing w:before="120"/>
              <w:ind w:firstLine="480"/>
              <w:rPr>
                <w:bCs/>
                <w:color w:val="000000"/>
              </w:rPr>
            </w:pPr>
            <w:r>
              <w:rPr>
                <w:rFonts w:hint="eastAsia"/>
                <w:bCs/>
                <w:color w:val="000000"/>
              </w:rPr>
              <w:t>G、合理安排进牲畜通道、待宰栏等设施，避免牲畜由于拥挤相互挤压嚎叫。</w:t>
            </w:r>
          </w:p>
          <w:p>
            <w:pPr>
              <w:adjustRightInd w:val="0"/>
              <w:snapToGrid w:val="0"/>
              <w:spacing w:before="120"/>
              <w:ind w:firstLine="480"/>
              <w:rPr>
                <w:bCs/>
                <w:color w:val="000000"/>
              </w:rPr>
            </w:pPr>
            <w:r>
              <w:rPr>
                <w:rFonts w:hint="eastAsia"/>
                <w:bCs/>
                <w:color w:val="000000"/>
              </w:rPr>
              <w:t>H、动物嘶叫噪声主要来源于待宰车间和屠宰车间宰前的叫声，以及卸车过程中发出的叫声，属于间歇性排放，可通过减少对屠宰间的干扰，保持牲畜安定平和气氛，以缓解屠宰前牲畜的紧张情绪；牛屠宰过程采用气动锤将牲畜击昏后宰杀，可大大降低宰杀过程中的噪声。</w:t>
            </w:r>
          </w:p>
          <w:p>
            <w:pPr>
              <w:adjustRightInd w:val="0"/>
              <w:snapToGrid w:val="0"/>
              <w:spacing w:before="120"/>
              <w:ind w:firstLine="480"/>
              <w:rPr>
                <w:bCs/>
                <w:color w:val="000000"/>
              </w:rPr>
            </w:pPr>
            <w:r>
              <w:rPr>
                <w:rFonts w:hint="eastAsia" w:ascii="宋体" w:hAnsi="宋体" w:cs="宋体"/>
                <w:bCs/>
                <w:color w:val="000000"/>
              </w:rPr>
              <w:t>③</w:t>
            </w:r>
            <w:r>
              <w:rPr>
                <w:bCs/>
                <w:color w:val="000000"/>
              </w:rPr>
              <w:t>加强管理建立设备定期维护、保养的管理制度，以防止设备故障形成的非生产噪声，同时确保环保措施发挥最有效的功能；加强职工环保意识教育，提倡文明生产，防止人为噪声；对于厂区内流动声源（汽车），应强化行车管理制度，严禁鸣号，进入厂区低速</w:t>
            </w:r>
            <w:r>
              <w:rPr>
                <w:rFonts w:hint="eastAsia"/>
                <w:bCs/>
                <w:color w:val="000000"/>
              </w:rPr>
              <w:t>行驶</w:t>
            </w:r>
            <w:r>
              <w:rPr>
                <w:bCs/>
                <w:color w:val="000000"/>
              </w:rPr>
              <w:t>，最大限度减少流动噪声源。</w:t>
            </w:r>
          </w:p>
          <w:p>
            <w:pPr>
              <w:adjustRightInd w:val="0"/>
              <w:snapToGrid w:val="0"/>
              <w:spacing w:before="120"/>
              <w:ind w:firstLine="480"/>
              <w:rPr>
                <w:bCs/>
                <w:color w:val="000000"/>
              </w:rPr>
            </w:pPr>
            <w:r>
              <w:rPr>
                <w:rFonts w:hint="eastAsia" w:ascii="宋体" w:hAnsi="宋体" w:cs="宋体"/>
                <w:bCs/>
                <w:color w:val="000000"/>
              </w:rPr>
              <w:t>④</w:t>
            </w:r>
            <w:r>
              <w:rPr>
                <w:bCs/>
                <w:color w:val="000000"/>
              </w:rPr>
              <w:t>合理安排生产时间</w:t>
            </w:r>
          </w:p>
          <w:p>
            <w:pPr>
              <w:spacing w:before="120"/>
              <w:ind w:firstLine="480"/>
              <w:rPr>
                <w:bCs/>
                <w:color w:val="000000"/>
              </w:rPr>
            </w:pPr>
            <w:r>
              <w:rPr>
                <w:bCs/>
                <w:color w:val="000000"/>
              </w:rPr>
              <w:t>合理控制作业时间，严禁中午12:00～14:00使用高噪声设备，夜间不运行，若夜间必须生产应控制夜间生产时间，特别夜间应停止高噪声设备，减少机械的噪声影响，同时减少夜间交通运输活动。</w:t>
            </w:r>
          </w:p>
          <w:p>
            <w:pPr>
              <w:spacing w:before="120"/>
              <w:ind w:firstLine="480"/>
              <w:rPr>
                <w:bCs/>
              </w:rPr>
            </w:pPr>
            <w:r>
              <w:rPr>
                <w:bCs/>
                <w:color w:val="000000"/>
              </w:rPr>
              <w:t>（3）噪声影响评价</w:t>
            </w:r>
          </w:p>
          <w:p>
            <w:pPr>
              <w:adjustRightInd w:val="0"/>
              <w:snapToGrid w:val="0"/>
              <w:spacing w:before="120"/>
              <w:ind w:firstLine="480"/>
              <w:rPr>
                <w:bCs/>
                <w:color w:val="000000"/>
              </w:rPr>
            </w:pPr>
            <w:r>
              <w:rPr>
                <w:bCs/>
                <w:color w:val="000000"/>
              </w:rPr>
              <w:t>在本次噪声源衰减的计算过程中，仅考虑距离衰减因素，不考虑空气阻力、植被引起的衰减等因素。根据刘惠玲主编《噪声控制技术》（2002年10月第1版），采用隔声间（室）技术措施，降噪效果可达20~40dB（A），项目按20dB（A）计，减振处理，降噪效果可达5~25dB（A），项目按5dB（A）计。项目生产设备均安装在室内，经过墙体隔音降噪效果，隔音量取25dB（A）。</w:t>
            </w:r>
          </w:p>
          <w:p>
            <w:pPr>
              <w:adjustRightInd w:val="0"/>
              <w:snapToGrid w:val="0"/>
              <w:spacing w:before="240" w:beforeLines="100"/>
              <w:ind w:firstLine="480"/>
              <w:rPr>
                <w:bCs/>
                <w:color w:val="000000"/>
              </w:rPr>
            </w:pPr>
            <w:r>
              <w:rPr>
                <w:bCs/>
                <w:color w:val="000000"/>
              </w:rPr>
              <w:t>（4）噪声影响分析</w:t>
            </w:r>
          </w:p>
          <w:p>
            <w:pPr>
              <w:adjustRightInd w:val="0"/>
              <w:snapToGrid w:val="0"/>
              <w:spacing w:before="120"/>
              <w:ind w:firstLine="480"/>
              <w:rPr>
                <w:color w:val="000000"/>
              </w:rPr>
            </w:pPr>
            <w:r>
              <w:rPr>
                <w:rFonts w:hint="eastAsia"/>
                <w:color w:val="000000"/>
              </w:rPr>
              <w:t>按照噪声随传播距离增加的衰减计算模式，预测模式如下：</w:t>
            </w:r>
          </w:p>
          <w:p>
            <w:pPr>
              <w:adjustRightInd w:val="0"/>
              <w:snapToGrid w:val="0"/>
              <w:spacing w:before="120"/>
              <w:ind w:firstLine="480"/>
              <w:jc w:val="center"/>
              <w:rPr>
                <w:color w:val="000000"/>
              </w:rPr>
            </w:pPr>
            <w:r>
              <w:rPr>
                <w:color w:val="000000"/>
              </w:rPr>
              <w:t>L</w:t>
            </w:r>
            <w:r>
              <w:rPr>
                <w:color w:val="000000"/>
                <w:vertAlign w:val="subscript"/>
              </w:rPr>
              <w:t>2</w:t>
            </w:r>
            <w:r>
              <w:rPr>
                <w:rFonts w:hint="eastAsia"/>
                <w:color w:val="000000"/>
              </w:rPr>
              <w:t>＝</w:t>
            </w:r>
            <w:r>
              <w:rPr>
                <w:color w:val="000000"/>
              </w:rPr>
              <w:t>L</w:t>
            </w:r>
            <w:r>
              <w:rPr>
                <w:color w:val="000000"/>
                <w:vertAlign w:val="subscript"/>
              </w:rPr>
              <w:t>1</w:t>
            </w:r>
            <w:r>
              <w:rPr>
                <w:rFonts w:hint="eastAsia"/>
                <w:color w:val="000000"/>
              </w:rPr>
              <w:t>－</w:t>
            </w:r>
            <w:r>
              <w:rPr>
                <w:color w:val="000000"/>
              </w:rPr>
              <w:t>20lg(r</w:t>
            </w:r>
            <w:r>
              <w:rPr>
                <w:color w:val="000000"/>
                <w:vertAlign w:val="subscript"/>
              </w:rPr>
              <w:t>2</w:t>
            </w:r>
            <w:r>
              <w:rPr>
                <w:color w:val="000000"/>
              </w:rPr>
              <w:t>/r</w:t>
            </w:r>
            <w:r>
              <w:rPr>
                <w:color w:val="000000"/>
                <w:vertAlign w:val="subscript"/>
              </w:rPr>
              <w:t>1</w:t>
            </w:r>
            <w:r>
              <w:rPr>
                <w:color w:val="000000"/>
              </w:rPr>
              <w:t>)    (r</w:t>
            </w:r>
            <w:r>
              <w:rPr>
                <w:color w:val="000000"/>
                <w:vertAlign w:val="subscript"/>
              </w:rPr>
              <w:t>2</w:t>
            </w:r>
            <w:r>
              <w:rPr>
                <w:rFonts w:hint="eastAsia"/>
                <w:color w:val="000000"/>
              </w:rPr>
              <w:t>＞</w:t>
            </w:r>
            <w:r>
              <w:rPr>
                <w:color w:val="000000"/>
              </w:rPr>
              <w:t>r</w:t>
            </w:r>
            <w:r>
              <w:rPr>
                <w:color w:val="000000"/>
                <w:vertAlign w:val="subscript"/>
              </w:rPr>
              <w:t>1</w:t>
            </w:r>
            <w:r>
              <w:rPr>
                <w:color w:val="000000"/>
              </w:rPr>
              <w:t>)</w:t>
            </w:r>
          </w:p>
          <w:p>
            <w:pPr>
              <w:adjustRightInd w:val="0"/>
              <w:snapToGrid w:val="0"/>
              <w:spacing w:before="120"/>
              <w:ind w:firstLine="480"/>
              <w:rPr>
                <w:color w:val="000000"/>
              </w:rPr>
            </w:pPr>
            <w:r>
              <w:rPr>
                <w:rFonts w:hint="eastAsia"/>
                <w:color w:val="000000"/>
              </w:rPr>
              <w:t>式中：</w:t>
            </w:r>
            <w:r>
              <w:rPr>
                <w:color w:val="000000"/>
              </w:rPr>
              <w:t>L</w:t>
            </w:r>
            <w:r>
              <w:rPr>
                <w:color w:val="000000"/>
                <w:vertAlign w:val="subscript"/>
              </w:rPr>
              <w:t>1</w:t>
            </w:r>
            <w:r>
              <w:rPr>
                <w:rFonts w:hint="eastAsia"/>
                <w:color w:val="000000"/>
              </w:rPr>
              <w:t>、</w:t>
            </w:r>
            <w:r>
              <w:rPr>
                <w:color w:val="000000"/>
              </w:rPr>
              <w:t>L</w:t>
            </w:r>
            <w:r>
              <w:rPr>
                <w:color w:val="000000"/>
                <w:vertAlign w:val="subscript"/>
              </w:rPr>
              <w:t>2</w:t>
            </w:r>
            <w:r>
              <w:rPr>
                <w:rFonts w:hint="eastAsia"/>
                <w:color w:val="000000"/>
              </w:rPr>
              <w:t>——距声源</w:t>
            </w:r>
            <w:r>
              <w:rPr>
                <w:color w:val="000000"/>
              </w:rPr>
              <w:t>r</w:t>
            </w:r>
            <w:r>
              <w:rPr>
                <w:color w:val="000000"/>
                <w:vertAlign w:val="subscript"/>
              </w:rPr>
              <w:t>1</w:t>
            </w:r>
            <w:r>
              <w:rPr>
                <w:rFonts w:hint="eastAsia"/>
                <w:color w:val="000000"/>
              </w:rPr>
              <w:t>、</w:t>
            </w:r>
            <w:r>
              <w:rPr>
                <w:color w:val="000000"/>
              </w:rPr>
              <w:t>r</w:t>
            </w:r>
            <w:r>
              <w:rPr>
                <w:color w:val="000000"/>
                <w:vertAlign w:val="subscript"/>
              </w:rPr>
              <w:t>2</w:t>
            </w:r>
            <w:r>
              <w:rPr>
                <w:rFonts w:hint="eastAsia"/>
                <w:color w:val="000000"/>
              </w:rPr>
              <w:t>处的噪声值，</w:t>
            </w:r>
            <w:r>
              <w:rPr>
                <w:color w:val="000000"/>
              </w:rPr>
              <w:t>dB</w:t>
            </w:r>
            <w:r>
              <w:rPr>
                <w:rFonts w:hint="eastAsia"/>
                <w:color w:val="000000"/>
              </w:rPr>
              <w:t>（</w:t>
            </w:r>
            <w:r>
              <w:rPr>
                <w:color w:val="000000"/>
              </w:rPr>
              <w:t>A</w:t>
            </w:r>
            <w:r>
              <w:rPr>
                <w:rFonts w:hint="eastAsia"/>
                <w:color w:val="000000"/>
              </w:rPr>
              <w:t>）；</w:t>
            </w:r>
          </w:p>
          <w:p>
            <w:pPr>
              <w:adjustRightInd w:val="0"/>
              <w:snapToGrid w:val="0"/>
              <w:spacing w:before="120"/>
              <w:ind w:firstLine="480"/>
              <w:rPr>
                <w:color w:val="000000"/>
              </w:rPr>
            </w:pPr>
            <w:r>
              <w:rPr>
                <w:color w:val="000000"/>
              </w:rPr>
              <w:t xml:space="preserve">      r</w:t>
            </w:r>
            <w:r>
              <w:rPr>
                <w:color w:val="000000"/>
                <w:vertAlign w:val="subscript"/>
              </w:rPr>
              <w:t>1</w:t>
            </w:r>
            <w:r>
              <w:rPr>
                <w:rFonts w:hint="eastAsia"/>
                <w:color w:val="000000"/>
              </w:rPr>
              <w:t>、</w:t>
            </w:r>
            <w:r>
              <w:rPr>
                <w:color w:val="000000"/>
              </w:rPr>
              <w:t>r</w:t>
            </w:r>
            <w:r>
              <w:rPr>
                <w:color w:val="000000"/>
                <w:vertAlign w:val="subscript"/>
              </w:rPr>
              <w:t>2</w:t>
            </w:r>
            <w:r>
              <w:rPr>
                <w:rFonts w:hint="eastAsia"/>
                <w:color w:val="000000"/>
              </w:rPr>
              <w:t>——预测点距声源的距离。</w:t>
            </w:r>
          </w:p>
          <w:p>
            <w:pPr>
              <w:adjustRightInd w:val="0"/>
              <w:snapToGrid w:val="0"/>
              <w:spacing w:before="120"/>
              <w:ind w:firstLine="480"/>
              <w:rPr>
                <w:color w:val="000000"/>
              </w:rPr>
            </w:pPr>
            <w:r>
              <w:rPr>
                <w:rFonts w:hint="eastAsia"/>
                <w:color w:val="000000"/>
              </w:rPr>
              <w:t>多个噪声源同时存在时，噪声声压级的叠加按照能量的叠加规律，其计算公式如下：</w:t>
            </w:r>
          </w:p>
          <w:p>
            <w:pPr>
              <w:adjustRightInd w:val="0"/>
              <w:snapToGrid w:val="0"/>
              <w:spacing w:before="120"/>
              <w:ind w:firstLine="560"/>
              <w:jc w:val="center"/>
              <w:rPr>
                <w:color w:val="000000"/>
              </w:rPr>
            </w:pPr>
            <w:r>
              <w:rPr>
                <w:color w:val="000000"/>
                <w:position w:val="-28"/>
                <w:sz w:val="28"/>
                <w:szCs w:val="20"/>
              </w:rPr>
              <w:drawing>
                <wp:inline distT="0" distB="0" distL="0" distR="0">
                  <wp:extent cx="1716405" cy="5518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6405" cy="551815"/>
                          </a:xfrm>
                          <a:prstGeom prst="rect">
                            <a:avLst/>
                          </a:prstGeom>
                          <a:noFill/>
                          <a:ln>
                            <a:noFill/>
                          </a:ln>
                        </pic:spPr>
                      </pic:pic>
                    </a:graphicData>
                  </a:graphic>
                </wp:inline>
              </w:drawing>
            </w:r>
          </w:p>
          <w:p>
            <w:pPr>
              <w:adjustRightInd w:val="0"/>
              <w:snapToGrid w:val="0"/>
              <w:spacing w:before="120"/>
              <w:ind w:firstLine="480"/>
              <w:rPr>
                <w:color w:val="000000"/>
              </w:rPr>
            </w:pPr>
            <w:r>
              <w:rPr>
                <w:rFonts w:hint="eastAsia"/>
                <w:color w:val="000000"/>
              </w:rPr>
              <w:t>式中：</w:t>
            </w:r>
            <w:r>
              <w:rPr>
                <w:color w:val="000000"/>
              </w:rPr>
              <w:t>L</w:t>
            </w:r>
            <w:r>
              <w:rPr>
                <w:color w:val="000000"/>
                <w:vertAlign w:val="subscript"/>
              </w:rPr>
              <w:t>n</w:t>
            </w:r>
            <w:r>
              <w:rPr>
                <w:rFonts w:hint="eastAsia"/>
                <w:color w:val="000000"/>
              </w:rPr>
              <w:t>――评价点的合成声级，</w:t>
            </w:r>
            <w:r>
              <w:rPr>
                <w:color w:val="000000"/>
              </w:rPr>
              <w:t>dB</w:t>
            </w:r>
            <w:r>
              <w:rPr>
                <w:rFonts w:hint="eastAsia"/>
                <w:color w:val="000000"/>
              </w:rPr>
              <w:t>；</w:t>
            </w:r>
          </w:p>
          <w:p>
            <w:pPr>
              <w:adjustRightInd w:val="0"/>
              <w:snapToGrid w:val="0"/>
              <w:spacing w:before="120"/>
              <w:ind w:firstLine="480"/>
              <w:rPr>
                <w:color w:val="000000"/>
              </w:rPr>
            </w:pPr>
            <w:r>
              <w:rPr>
                <w:color w:val="000000"/>
              </w:rPr>
              <w:t xml:space="preserve">      L</w:t>
            </w:r>
            <w:r>
              <w:rPr>
                <w:color w:val="000000"/>
                <w:vertAlign w:val="subscript"/>
              </w:rPr>
              <w:t>i</w:t>
            </w:r>
            <w:r>
              <w:rPr>
                <w:rFonts w:hint="eastAsia"/>
                <w:color w:val="000000"/>
              </w:rPr>
              <w:t>――某声源对评价点的声级，</w:t>
            </w:r>
            <w:r>
              <w:rPr>
                <w:color w:val="000000"/>
              </w:rPr>
              <w:t>dB</w:t>
            </w:r>
            <w:r>
              <w:rPr>
                <w:rFonts w:hint="eastAsia"/>
                <w:color w:val="000000"/>
              </w:rPr>
              <w:t>；</w:t>
            </w:r>
          </w:p>
          <w:p>
            <w:pPr>
              <w:adjustRightInd w:val="0"/>
              <w:snapToGrid w:val="0"/>
              <w:spacing w:before="120"/>
              <w:ind w:firstLine="1164" w:firstLineChars="485"/>
              <w:rPr>
                <w:color w:val="000000"/>
                <w:szCs w:val="22"/>
              </w:rPr>
            </w:pPr>
            <w:r>
              <w:rPr>
                <w:color w:val="000000"/>
                <w:szCs w:val="22"/>
              </w:rPr>
              <w:t>N</w:t>
            </w:r>
            <w:r>
              <w:rPr>
                <w:rFonts w:hint="eastAsia"/>
                <w:color w:val="000000"/>
                <w:szCs w:val="22"/>
              </w:rPr>
              <w:t>——声源数量。</w:t>
            </w:r>
          </w:p>
          <w:p>
            <w:pPr>
              <w:adjustRightInd w:val="0"/>
              <w:snapToGrid w:val="0"/>
              <w:spacing w:before="120"/>
              <w:ind w:firstLine="480"/>
              <w:rPr>
                <w:color w:val="000000"/>
              </w:rPr>
            </w:pPr>
            <w:r>
              <w:rPr>
                <w:rFonts w:hint="eastAsia"/>
                <w:color w:val="000000"/>
              </w:rPr>
              <w:t>采取上述治理措施后，项目设备噪声等效后的声源最大噪声值为69.5</w:t>
            </w:r>
            <w:r>
              <w:rPr>
                <w:color w:val="000000"/>
              </w:rPr>
              <w:t>dB(A)</w:t>
            </w:r>
            <w:r>
              <w:rPr>
                <w:rFonts w:hint="eastAsia"/>
                <w:color w:val="000000"/>
              </w:rPr>
              <w:t>。噪声随距离衰减情况见下表。</w:t>
            </w:r>
          </w:p>
          <w:p>
            <w:pPr>
              <w:pStyle w:val="17"/>
              <w:spacing w:before="120" w:line="360" w:lineRule="auto"/>
              <w:rPr>
                <w:b/>
                <w:bCs w:val="0"/>
              </w:rPr>
            </w:pPr>
            <w:r>
              <w:rPr>
                <w:rFonts w:hint="eastAsia"/>
                <w:b/>
                <w:bCs w:val="0"/>
              </w:rPr>
              <w:t>表</w:t>
            </w:r>
            <w:r>
              <w:rPr>
                <w:b/>
                <w:bCs w:val="0"/>
              </w:rPr>
              <w:t xml:space="preserve">4-13  </w:t>
            </w:r>
            <w:r>
              <w:rPr>
                <w:rFonts w:hint="eastAsia"/>
                <w:b/>
                <w:bCs w:val="0"/>
              </w:rPr>
              <w:t>噪声源强及衰减情况表</w:t>
            </w:r>
            <w:r>
              <w:rPr>
                <w:b/>
                <w:bCs w:val="0"/>
              </w:rPr>
              <w:t xml:space="preserve">  </w:t>
            </w:r>
            <w:r>
              <w:rPr>
                <w:rFonts w:hint="eastAsia"/>
                <w:b/>
                <w:bCs w:val="0"/>
              </w:rPr>
              <w:t>单位：</w:t>
            </w:r>
            <w:r>
              <w:rPr>
                <w:b/>
                <w:bCs w:val="0"/>
              </w:rPr>
              <w:t>dB(A)</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46"/>
              <w:gridCol w:w="1246"/>
              <w:gridCol w:w="1250"/>
              <w:gridCol w:w="124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1245" w:type="dxa"/>
                  <w:vMerge w:val="restart"/>
                  <w:vAlign w:val="center"/>
                </w:tcPr>
                <w:p>
                  <w:pPr>
                    <w:spacing w:before="0" w:beforeLines="0" w:line="240" w:lineRule="auto"/>
                    <w:ind w:firstLine="0" w:firstLineChars="0"/>
                    <w:jc w:val="center"/>
                    <w:rPr>
                      <w:snapToGrid w:val="0"/>
                      <w:sz w:val="21"/>
                    </w:rPr>
                  </w:pPr>
                  <w:r>
                    <w:rPr>
                      <w:rFonts w:hint="eastAsia"/>
                      <w:snapToGrid w:val="0"/>
                      <w:sz w:val="21"/>
                    </w:rPr>
                    <w:t>声源</w:t>
                  </w:r>
                </w:p>
              </w:tc>
              <w:tc>
                <w:tcPr>
                  <w:tcW w:w="1246" w:type="dxa"/>
                  <w:vMerge w:val="restart"/>
                  <w:vAlign w:val="center"/>
                </w:tcPr>
                <w:p>
                  <w:pPr>
                    <w:spacing w:before="0" w:beforeLines="0" w:line="240" w:lineRule="auto"/>
                    <w:ind w:firstLine="0" w:firstLineChars="0"/>
                    <w:jc w:val="center"/>
                    <w:rPr>
                      <w:snapToGrid w:val="0"/>
                      <w:sz w:val="21"/>
                    </w:rPr>
                  </w:pPr>
                  <w:r>
                    <w:rPr>
                      <w:snapToGrid w:val="0"/>
                      <w:sz w:val="21"/>
                    </w:rPr>
                    <w:t>噪声排放加声级dB(A)</w:t>
                  </w:r>
                </w:p>
              </w:tc>
              <w:tc>
                <w:tcPr>
                  <w:tcW w:w="2496" w:type="dxa"/>
                  <w:gridSpan w:val="2"/>
                  <w:vAlign w:val="center"/>
                </w:tcPr>
                <w:p>
                  <w:pPr>
                    <w:pStyle w:val="109"/>
                    <w:spacing w:before="120"/>
                    <w:jc w:val="center"/>
                    <w:rPr>
                      <w:snapToGrid w:val="0"/>
                      <w:kern w:val="0"/>
                      <w:szCs w:val="24"/>
                    </w:rPr>
                  </w:pPr>
                  <w:r>
                    <w:rPr>
                      <w:snapToGrid w:val="0"/>
                      <w:kern w:val="0"/>
                      <w:szCs w:val="24"/>
                    </w:rPr>
                    <w:t>治理措施</w:t>
                  </w:r>
                </w:p>
              </w:tc>
              <w:tc>
                <w:tcPr>
                  <w:tcW w:w="1246" w:type="dxa"/>
                  <w:vMerge w:val="restart"/>
                  <w:vAlign w:val="center"/>
                </w:tcPr>
                <w:p>
                  <w:pPr>
                    <w:spacing w:before="0" w:beforeLines="0" w:line="240" w:lineRule="auto"/>
                    <w:ind w:firstLine="0" w:firstLineChars="0"/>
                    <w:jc w:val="center"/>
                    <w:rPr>
                      <w:snapToGrid w:val="0"/>
                      <w:sz w:val="21"/>
                    </w:rPr>
                  </w:pPr>
                  <w:r>
                    <w:rPr>
                      <w:snapToGrid w:val="0"/>
                      <w:sz w:val="21"/>
                    </w:rPr>
                    <w:t>噪声排放加声级dB(A)</w:t>
                  </w:r>
                </w:p>
              </w:tc>
              <w:tc>
                <w:tcPr>
                  <w:tcW w:w="1246" w:type="dxa"/>
                  <w:vMerge w:val="restart"/>
                  <w:vAlign w:val="center"/>
                </w:tcPr>
                <w:p>
                  <w:pPr>
                    <w:spacing w:before="0" w:beforeLines="0" w:line="240" w:lineRule="auto"/>
                    <w:ind w:firstLine="0" w:firstLineChars="0"/>
                    <w:jc w:val="center"/>
                    <w:rPr>
                      <w:snapToGrid w:val="0"/>
                      <w:sz w:val="21"/>
                    </w:rPr>
                  </w:pPr>
                  <w:r>
                    <w:rPr>
                      <w:snapToGrid w:val="0"/>
                      <w:sz w:val="21"/>
                    </w:rPr>
                    <w:t>噪声排放</w:t>
                  </w:r>
                  <w:r>
                    <w:rPr>
                      <w:rFonts w:hint="eastAsia"/>
                      <w:snapToGrid w:val="0"/>
                      <w:sz w:val="21"/>
                    </w:rPr>
                    <w:t>叠</w:t>
                  </w:r>
                  <w:r>
                    <w:rPr>
                      <w:snapToGrid w:val="0"/>
                      <w:sz w:val="21"/>
                    </w:rPr>
                    <w:t>加声级dB(A)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45" w:type="dxa"/>
                  <w:vMerge w:val="continue"/>
                  <w:vAlign w:val="center"/>
                </w:tcPr>
                <w:p>
                  <w:pPr>
                    <w:spacing w:before="0" w:beforeLines="0" w:line="240" w:lineRule="auto"/>
                    <w:ind w:firstLine="0" w:firstLineChars="0"/>
                    <w:jc w:val="center"/>
                    <w:rPr>
                      <w:snapToGrid w:val="0"/>
                      <w:sz w:val="21"/>
                    </w:rPr>
                  </w:pPr>
                </w:p>
              </w:tc>
              <w:tc>
                <w:tcPr>
                  <w:tcW w:w="1246" w:type="dxa"/>
                  <w:vMerge w:val="continue"/>
                  <w:vAlign w:val="center"/>
                </w:tcPr>
                <w:p>
                  <w:pPr>
                    <w:spacing w:before="0" w:beforeLines="0" w:line="240" w:lineRule="auto"/>
                    <w:ind w:firstLine="0" w:firstLineChars="0"/>
                    <w:jc w:val="center"/>
                    <w:rPr>
                      <w:snapToGrid w:val="0"/>
                      <w:sz w:val="21"/>
                    </w:rPr>
                  </w:pPr>
                </w:p>
              </w:tc>
              <w:tc>
                <w:tcPr>
                  <w:tcW w:w="1246" w:type="dxa"/>
                  <w:vAlign w:val="center"/>
                </w:tcPr>
                <w:p>
                  <w:pPr>
                    <w:spacing w:before="0" w:beforeLines="0" w:line="240" w:lineRule="auto"/>
                    <w:ind w:firstLine="0" w:firstLineChars="0"/>
                    <w:jc w:val="center"/>
                    <w:rPr>
                      <w:snapToGrid w:val="0"/>
                      <w:sz w:val="21"/>
                    </w:rPr>
                  </w:pPr>
                  <w:r>
                    <w:rPr>
                      <w:snapToGrid w:val="0"/>
                      <w:sz w:val="21"/>
                    </w:rPr>
                    <w:t>措施</w:t>
                  </w:r>
                </w:p>
              </w:tc>
              <w:tc>
                <w:tcPr>
                  <w:tcW w:w="1250" w:type="dxa"/>
                  <w:vAlign w:val="center"/>
                </w:tcPr>
                <w:p>
                  <w:pPr>
                    <w:spacing w:before="0" w:beforeLines="0" w:line="240" w:lineRule="auto"/>
                    <w:ind w:firstLine="0" w:firstLineChars="0"/>
                    <w:jc w:val="center"/>
                    <w:rPr>
                      <w:snapToGrid w:val="0"/>
                      <w:sz w:val="21"/>
                    </w:rPr>
                  </w:pPr>
                  <w:r>
                    <w:rPr>
                      <w:snapToGrid w:val="0"/>
                      <w:sz w:val="21"/>
                    </w:rPr>
                    <w:t>降噪效果dB(A)</w:t>
                  </w:r>
                </w:p>
              </w:tc>
              <w:tc>
                <w:tcPr>
                  <w:tcW w:w="1246" w:type="dxa"/>
                  <w:vMerge w:val="continue"/>
                  <w:vAlign w:val="center"/>
                </w:tcPr>
                <w:p>
                  <w:pPr>
                    <w:spacing w:before="0" w:beforeLines="0" w:line="240" w:lineRule="auto"/>
                    <w:ind w:firstLine="0" w:firstLineChars="0"/>
                    <w:jc w:val="center"/>
                    <w:rPr>
                      <w:snapToGrid w:val="0"/>
                      <w:sz w:val="21"/>
                    </w:rPr>
                  </w:pP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车辆</w:t>
                  </w:r>
                </w:p>
              </w:tc>
              <w:tc>
                <w:tcPr>
                  <w:tcW w:w="1246" w:type="dxa"/>
                  <w:vAlign w:val="center"/>
                </w:tcPr>
                <w:p>
                  <w:pPr>
                    <w:spacing w:before="0" w:beforeLines="0" w:line="240" w:lineRule="auto"/>
                    <w:ind w:firstLine="0" w:firstLineChars="0"/>
                    <w:jc w:val="center"/>
                    <w:rPr>
                      <w:snapToGrid w:val="0"/>
                      <w:sz w:val="21"/>
                    </w:rPr>
                  </w:pPr>
                  <w:r>
                    <w:rPr>
                      <w:snapToGrid w:val="0"/>
                      <w:sz w:val="21"/>
                    </w:rPr>
                    <w:t>70</w:t>
                  </w:r>
                </w:p>
              </w:tc>
              <w:tc>
                <w:tcPr>
                  <w:tcW w:w="1246" w:type="dxa"/>
                  <w:vMerge w:val="restart"/>
                  <w:vAlign w:val="center"/>
                </w:tcPr>
                <w:p>
                  <w:pPr>
                    <w:spacing w:before="0" w:beforeLines="0" w:line="240" w:lineRule="auto"/>
                    <w:ind w:firstLine="0" w:firstLineChars="0"/>
                    <w:jc w:val="center"/>
                    <w:rPr>
                      <w:snapToGrid w:val="0"/>
                      <w:sz w:val="21"/>
                    </w:rPr>
                  </w:pPr>
                  <w:r>
                    <w:rPr>
                      <w:snapToGrid w:val="0"/>
                      <w:sz w:val="21"/>
                    </w:rPr>
                    <w:t>室内安装、基础减振、车间隔声</w:t>
                  </w: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5</w:t>
                  </w:r>
                  <w:r>
                    <w:rPr>
                      <w:snapToGrid w:val="0"/>
                      <w:sz w:val="21"/>
                    </w:rPr>
                    <w:t>0</w:t>
                  </w:r>
                </w:p>
              </w:tc>
              <w:tc>
                <w:tcPr>
                  <w:tcW w:w="1246" w:type="dxa"/>
                  <w:vMerge w:val="restart"/>
                  <w:vAlign w:val="center"/>
                </w:tcPr>
                <w:p>
                  <w:pPr>
                    <w:spacing w:before="0" w:beforeLines="0" w:line="240" w:lineRule="auto"/>
                    <w:ind w:firstLine="0" w:firstLineChars="0"/>
                    <w:jc w:val="center"/>
                    <w:rPr>
                      <w:snapToGrid w:val="0"/>
                      <w:sz w:val="21"/>
                    </w:rPr>
                  </w:pPr>
                  <w:r>
                    <w:rPr>
                      <w:rFonts w:hint="eastAsia"/>
                      <w:snapToGrid w:val="0"/>
                      <w:sz w:val="21"/>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牛羊嚎叫声</w:t>
                  </w:r>
                </w:p>
              </w:tc>
              <w:tc>
                <w:tcPr>
                  <w:tcW w:w="1246" w:type="dxa"/>
                  <w:vAlign w:val="center"/>
                </w:tcPr>
                <w:p>
                  <w:pPr>
                    <w:spacing w:before="0" w:beforeLines="0" w:line="240" w:lineRule="auto"/>
                    <w:ind w:firstLine="0" w:firstLineChars="0"/>
                    <w:jc w:val="center"/>
                    <w:rPr>
                      <w:snapToGrid w:val="0"/>
                      <w:sz w:val="21"/>
                    </w:rPr>
                  </w:pPr>
                  <w:r>
                    <w:rPr>
                      <w:snapToGrid w:val="0"/>
                      <w:sz w:val="21"/>
                    </w:rPr>
                    <w:t>85</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0</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牛羊嚎叫声</w:t>
                  </w:r>
                </w:p>
              </w:tc>
              <w:tc>
                <w:tcPr>
                  <w:tcW w:w="1246" w:type="dxa"/>
                  <w:vAlign w:val="center"/>
                </w:tcPr>
                <w:p>
                  <w:pPr>
                    <w:spacing w:before="0" w:beforeLines="0" w:line="240" w:lineRule="auto"/>
                    <w:ind w:firstLine="0" w:firstLineChars="0"/>
                    <w:jc w:val="center"/>
                    <w:rPr>
                      <w:snapToGrid w:val="0"/>
                      <w:sz w:val="21"/>
                    </w:rPr>
                  </w:pPr>
                  <w:r>
                    <w:rPr>
                      <w:snapToGrid w:val="0"/>
                      <w:sz w:val="21"/>
                    </w:rPr>
                    <w:t>85</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0</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扯皮机</w:t>
                  </w:r>
                </w:p>
              </w:tc>
              <w:tc>
                <w:tcPr>
                  <w:tcW w:w="1246" w:type="dxa"/>
                  <w:vAlign w:val="center"/>
                </w:tcPr>
                <w:p>
                  <w:pPr>
                    <w:spacing w:before="0" w:beforeLines="0" w:line="240" w:lineRule="auto"/>
                    <w:ind w:firstLine="0" w:firstLineChars="0"/>
                    <w:jc w:val="center"/>
                    <w:rPr>
                      <w:snapToGrid w:val="0"/>
                      <w:sz w:val="21"/>
                    </w:rPr>
                  </w:pPr>
                  <w:r>
                    <w:rPr>
                      <w:snapToGrid w:val="0"/>
                      <w:sz w:val="21"/>
                    </w:rPr>
                    <w:t>75</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5</w:t>
                  </w:r>
                  <w:r>
                    <w:rPr>
                      <w:snapToGrid w:val="0"/>
                      <w:sz w:val="21"/>
                    </w:rPr>
                    <w:t>0</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脱毛机</w:t>
                  </w:r>
                </w:p>
              </w:tc>
              <w:tc>
                <w:tcPr>
                  <w:tcW w:w="1246" w:type="dxa"/>
                  <w:vAlign w:val="center"/>
                </w:tcPr>
                <w:p>
                  <w:pPr>
                    <w:spacing w:before="0" w:beforeLines="0" w:line="240" w:lineRule="auto"/>
                    <w:ind w:firstLine="0" w:firstLineChars="0"/>
                    <w:jc w:val="center"/>
                    <w:rPr>
                      <w:snapToGrid w:val="0"/>
                      <w:sz w:val="21"/>
                    </w:rPr>
                  </w:pPr>
                  <w:r>
                    <w:rPr>
                      <w:snapToGrid w:val="0"/>
                      <w:sz w:val="21"/>
                    </w:rPr>
                    <w:t>75</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5</w:t>
                  </w:r>
                  <w:r>
                    <w:rPr>
                      <w:snapToGrid w:val="0"/>
                      <w:sz w:val="21"/>
                    </w:rPr>
                    <w:t>0</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提升机</w:t>
                  </w:r>
                </w:p>
              </w:tc>
              <w:tc>
                <w:tcPr>
                  <w:tcW w:w="1246" w:type="dxa"/>
                  <w:vAlign w:val="center"/>
                </w:tcPr>
                <w:p>
                  <w:pPr>
                    <w:spacing w:before="0" w:beforeLines="0" w:line="240" w:lineRule="auto"/>
                    <w:ind w:firstLine="0" w:firstLineChars="0"/>
                    <w:jc w:val="center"/>
                    <w:rPr>
                      <w:snapToGrid w:val="0"/>
                      <w:sz w:val="21"/>
                    </w:rPr>
                  </w:pPr>
                  <w:r>
                    <w:rPr>
                      <w:snapToGrid w:val="0"/>
                      <w:sz w:val="21"/>
                    </w:rPr>
                    <w:t>70</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snapToGrid w:val="0"/>
                      <w:sz w:val="21"/>
                    </w:rPr>
                    <w:t>45</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风机</w:t>
                  </w:r>
                </w:p>
              </w:tc>
              <w:tc>
                <w:tcPr>
                  <w:tcW w:w="1246" w:type="dxa"/>
                  <w:vAlign w:val="center"/>
                </w:tcPr>
                <w:p>
                  <w:pPr>
                    <w:spacing w:before="0" w:beforeLines="0" w:line="240" w:lineRule="auto"/>
                    <w:ind w:firstLine="0" w:firstLineChars="0"/>
                    <w:jc w:val="center"/>
                    <w:rPr>
                      <w:snapToGrid w:val="0"/>
                      <w:sz w:val="21"/>
                    </w:rPr>
                  </w:pPr>
                  <w:r>
                    <w:rPr>
                      <w:snapToGrid w:val="0"/>
                      <w:sz w:val="21"/>
                    </w:rPr>
                    <w:t>95</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7</w:t>
                  </w:r>
                  <w:r>
                    <w:rPr>
                      <w:snapToGrid w:val="0"/>
                      <w:sz w:val="21"/>
                    </w:rPr>
                    <w:t>0</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水泵</w:t>
                  </w:r>
                </w:p>
              </w:tc>
              <w:tc>
                <w:tcPr>
                  <w:tcW w:w="1246" w:type="dxa"/>
                  <w:vAlign w:val="center"/>
                </w:tcPr>
                <w:p>
                  <w:pPr>
                    <w:spacing w:before="0" w:beforeLines="0" w:line="240" w:lineRule="auto"/>
                    <w:ind w:firstLine="0" w:firstLineChars="0"/>
                    <w:jc w:val="center"/>
                    <w:rPr>
                      <w:snapToGrid w:val="0"/>
                      <w:sz w:val="21"/>
                    </w:rPr>
                  </w:pPr>
                  <w:r>
                    <w:rPr>
                      <w:snapToGrid w:val="0"/>
                      <w:sz w:val="21"/>
                    </w:rPr>
                    <w:t>90</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5</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风机</w:t>
                  </w:r>
                </w:p>
              </w:tc>
              <w:tc>
                <w:tcPr>
                  <w:tcW w:w="1246" w:type="dxa"/>
                  <w:vAlign w:val="center"/>
                </w:tcPr>
                <w:p>
                  <w:pPr>
                    <w:spacing w:before="0" w:beforeLines="0" w:line="240" w:lineRule="auto"/>
                    <w:ind w:firstLine="0" w:firstLineChars="0"/>
                    <w:jc w:val="center"/>
                    <w:rPr>
                      <w:snapToGrid w:val="0"/>
                      <w:sz w:val="21"/>
                    </w:rPr>
                  </w:pPr>
                  <w:r>
                    <w:rPr>
                      <w:snapToGrid w:val="0"/>
                      <w:sz w:val="21"/>
                    </w:rPr>
                    <w:t>95</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7</w:t>
                  </w:r>
                  <w:r>
                    <w:rPr>
                      <w:snapToGrid w:val="0"/>
                      <w:sz w:val="21"/>
                    </w:rPr>
                    <w:t>0</w:t>
                  </w:r>
                </w:p>
              </w:tc>
              <w:tc>
                <w:tcPr>
                  <w:tcW w:w="1246" w:type="dxa"/>
                  <w:vMerge w:val="continue"/>
                  <w:vAlign w:val="center"/>
                </w:tcPr>
                <w:p>
                  <w:pPr>
                    <w:spacing w:before="0" w:beforeLines="0" w:line="240" w:lineRule="auto"/>
                    <w:ind w:firstLine="0" w:firstLineChars="0"/>
                    <w:jc w:val="center"/>
                    <w:rPr>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jc w:val="center"/>
              </w:trPr>
              <w:tc>
                <w:tcPr>
                  <w:tcW w:w="1245" w:type="dxa"/>
                  <w:vAlign w:val="center"/>
                </w:tcPr>
                <w:p>
                  <w:pPr>
                    <w:spacing w:before="0" w:beforeLines="0" w:line="240" w:lineRule="auto"/>
                    <w:ind w:firstLine="0" w:firstLineChars="0"/>
                    <w:jc w:val="center"/>
                    <w:rPr>
                      <w:snapToGrid w:val="0"/>
                      <w:sz w:val="21"/>
                    </w:rPr>
                  </w:pPr>
                  <w:r>
                    <w:rPr>
                      <w:rFonts w:hint="eastAsia"/>
                      <w:snapToGrid w:val="0"/>
                      <w:sz w:val="21"/>
                    </w:rPr>
                    <w:t>空压机</w:t>
                  </w:r>
                </w:p>
              </w:tc>
              <w:tc>
                <w:tcPr>
                  <w:tcW w:w="1246" w:type="dxa"/>
                  <w:vAlign w:val="center"/>
                </w:tcPr>
                <w:p>
                  <w:pPr>
                    <w:spacing w:before="0" w:beforeLines="0" w:line="240" w:lineRule="auto"/>
                    <w:ind w:firstLine="0" w:firstLineChars="0"/>
                    <w:jc w:val="center"/>
                    <w:rPr>
                      <w:snapToGrid w:val="0"/>
                      <w:sz w:val="21"/>
                    </w:rPr>
                  </w:pPr>
                  <w:r>
                    <w:rPr>
                      <w:snapToGrid w:val="0"/>
                      <w:sz w:val="21"/>
                    </w:rPr>
                    <w:t>90</w:t>
                  </w:r>
                </w:p>
              </w:tc>
              <w:tc>
                <w:tcPr>
                  <w:tcW w:w="1246" w:type="dxa"/>
                  <w:vMerge w:val="continue"/>
                  <w:vAlign w:val="center"/>
                </w:tcPr>
                <w:p>
                  <w:pPr>
                    <w:spacing w:before="0" w:beforeLines="0" w:line="240" w:lineRule="auto"/>
                    <w:ind w:firstLine="0" w:firstLineChars="0"/>
                    <w:jc w:val="center"/>
                    <w:rPr>
                      <w:snapToGrid w:val="0"/>
                      <w:sz w:val="21"/>
                    </w:rPr>
                  </w:pPr>
                </w:p>
              </w:tc>
              <w:tc>
                <w:tcPr>
                  <w:tcW w:w="1250" w:type="dxa"/>
                  <w:vAlign w:val="center"/>
                </w:tcPr>
                <w:p>
                  <w:pPr>
                    <w:spacing w:before="0" w:beforeLines="0" w:line="240" w:lineRule="auto"/>
                    <w:ind w:firstLine="0" w:firstLineChars="0"/>
                    <w:jc w:val="center"/>
                    <w:rPr>
                      <w:snapToGrid w:val="0"/>
                      <w:sz w:val="21"/>
                    </w:rPr>
                  </w:pPr>
                  <w:r>
                    <w:rPr>
                      <w:rFonts w:hint="eastAsia"/>
                      <w:snapToGrid w:val="0"/>
                      <w:sz w:val="21"/>
                    </w:rPr>
                    <w:t>30</w:t>
                  </w:r>
                </w:p>
              </w:tc>
              <w:tc>
                <w:tcPr>
                  <w:tcW w:w="1246" w:type="dxa"/>
                  <w:vAlign w:val="center"/>
                </w:tcPr>
                <w:p>
                  <w:pPr>
                    <w:spacing w:before="0" w:beforeLines="0" w:line="240" w:lineRule="auto"/>
                    <w:ind w:firstLine="0" w:firstLineChars="0"/>
                    <w:jc w:val="center"/>
                    <w:rPr>
                      <w:snapToGrid w:val="0"/>
                      <w:sz w:val="21"/>
                    </w:rPr>
                  </w:pPr>
                  <w:r>
                    <w:rPr>
                      <w:rFonts w:hint="eastAsia"/>
                      <w:snapToGrid w:val="0"/>
                      <w:sz w:val="21"/>
                    </w:rPr>
                    <w:t>6</w:t>
                  </w:r>
                  <w:r>
                    <w:rPr>
                      <w:snapToGrid w:val="0"/>
                      <w:sz w:val="21"/>
                    </w:rPr>
                    <w:t>5</w:t>
                  </w:r>
                </w:p>
              </w:tc>
              <w:tc>
                <w:tcPr>
                  <w:tcW w:w="1246" w:type="dxa"/>
                  <w:vMerge w:val="continue"/>
                  <w:vAlign w:val="center"/>
                </w:tcPr>
                <w:p>
                  <w:pPr>
                    <w:spacing w:before="0" w:beforeLines="0" w:line="240" w:lineRule="auto"/>
                    <w:ind w:firstLine="0" w:firstLineChars="0"/>
                    <w:jc w:val="center"/>
                    <w:rPr>
                      <w:snapToGrid w:val="0"/>
                      <w:sz w:val="21"/>
                    </w:rPr>
                  </w:pPr>
                </w:p>
              </w:tc>
            </w:tr>
          </w:tbl>
          <w:p>
            <w:pPr>
              <w:pStyle w:val="17"/>
              <w:spacing w:before="120" w:line="360" w:lineRule="auto"/>
              <w:rPr>
                <w:b/>
                <w:bCs w:val="0"/>
              </w:rPr>
            </w:pPr>
            <w:r>
              <w:rPr>
                <w:rFonts w:hint="eastAsia"/>
                <w:b/>
                <w:bCs w:val="0"/>
              </w:rPr>
              <w:t>表</w:t>
            </w:r>
            <w:r>
              <w:rPr>
                <w:b/>
                <w:bCs w:val="0"/>
              </w:rPr>
              <w:t xml:space="preserve">4-14  </w:t>
            </w:r>
            <w:r>
              <w:rPr>
                <w:rFonts w:hint="eastAsia"/>
                <w:b/>
                <w:bCs w:val="0"/>
              </w:rPr>
              <w:t>噪声源强及衰减情况表</w:t>
            </w:r>
            <w:r>
              <w:rPr>
                <w:b/>
                <w:bCs w:val="0"/>
              </w:rPr>
              <w:t xml:space="preserve">  </w:t>
            </w:r>
            <w:r>
              <w:rPr>
                <w:rFonts w:hint="eastAsia"/>
                <w:b/>
                <w:bCs w:val="0"/>
              </w:rPr>
              <w:t>单位：</w:t>
            </w:r>
            <w:r>
              <w:rPr>
                <w:b/>
                <w:bCs w:val="0"/>
              </w:rPr>
              <w:t>dB(A)</w:t>
            </w:r>
          </w:p>
          <w:tbl>
            <w:tblPr>
              <w:tblStyle w:val="22"/>
              <w:tblW w:w="781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17"/>
              <w:gridCol w:w="799"/>
              <w:gridCol w:w="1030"/>
              <w:gridCol w:w="797"/>
              <w:gridCol w:w="737"/>
              <w:gridCol w:w="797"/>
              <w:gridCol w:w="806"/>
              <w:gridCol w:w="797"/>
              <w:gridCol w:w="73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33" w:hRule="atLeast"/>
                <w:jc w:val="center"/>
              </w:trPr>
              <w:tc>
                <w:tcPr>
                  <w:tcW w:w="131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 xml:space="preserve">  受纳点名称声源</w:t>
                  </w:r>
                </w:p>
              </w:tc>
              <w:tc>
                <w:tcPr>
                  <w:tcW w:w="1829" w:type="dxa"/>
                  <w:gridSpan w:val="2"/>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北厂界</w:t>
                  </w:r>
                </w:p>
              </w:tc>
              <w:tc>
                <w:tcPr>
                  <w:tcW w:w="1534" w:type="dxa"/>
                  <w:gridSpan w:val="2"/>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南厂界</w:t>
                  </w:r>
                </w:p>
              </w:tc>
              <w:tc>
                <w:tcPr>
                  <w:tcW w:w="1603" w:type="dxa"/>
                  <w:gridSpan w:val="2"/>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西厂界</w:t>
                  </w:r>
                </w:p>
              </w:tc>
              <w:tc>
                <w:tcPr>
                  <w:tcW w:w="1535" w:type="dxa"/>
                  <w:gridSpan w:val="2"/>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东厂界</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381" w:hRule="atLeast"/>
                <w:jc w:val="center"/>
              </w:trPr>
              <w:tc>
                <w:tcPr>
                  <w:tcW w:w="1317"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Lines="0" w:line="240" w:lineRule="auto"/>
                    <w:ind w:firstLine="0" w:firstLineChars="0"/>
                    <w:jc w:val="left"/>
                    <w:rPr>
                      <w:bCs/>
                      <w:sz w:val="21"/>
                      <w:szCs w:val="21"/>
                    </w:rPr>
                  </w:pPr>
                </w:p>
              </w:tc>
              <w:tc>
                <w:tcPr>
                  <w:tcW w:w="799"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声源与厂界距离m</w:t>
                  </w:r>
                </w:p>
              </w:tc>
              <w:tc>
                <w:tcPr>
                  <w:tcW w:w="1030"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贡献值dB(A)</w:t>
                  </w:r>
                </w:p>
              </w:tc>
              <w:tc>
                <w:tcPr>
                  <w:tcW w:w="79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声源与厂界距离m</w:t>
                  </w:r>
                </w:p>
              </w:tc>
              <w:tc>
                <w:tcPr>
                  <w:tcW w:w="73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贡献值dB(A)</w:t>
                  </w:r>
                </w:p>
              </w:tc>
              <w:tc>
                <w:tcPr>
                  <w:tcW w:w="79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声源与厂界距离m</w:t>
                  </w:r>
                </w:p>
              </w:tc>
              <w:tc>
                <w:tcPr>
                  <w:tcW w:w="806"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贡献值dB(A)</w:t>
                  </w:r>
                </w:p>
              </w:tc>
              <w:tc>
                <w:tcPr>
                  <w:tcW w:w="79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声源与厂界距离m</w:t>
                  </w:r>
                </w:p>
              </w:tc>
              <w:tc>
                <w:tcPr>
                  <w:tcW w:w="738"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贡献值dB(A)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42" w:hRule="atLeast"/>
                <w:jc w:val="center"/>
              </w:trPr>
              <w:tc>
                <w:tcPr>
                  <w:tcW w:w="1317" w:type="dxa"/>
                  <w:tcBorders>
                    <w:top w:val="single" w:color="auto" w:sz="4" w:space="0"/>
                    <w:left w:val="single" w:color="auto" w:sz="4" w:space="0"/>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生产车间</w:t>
                  </w:r>
                </w:p>
              </w:tc>
              <w:tc>
                <w:tcPr>
                  <w:tcW w:w="799"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bCs/>
                      <w:sz w:val="21"/>
                      <w:szCs w:val="21"/>
                    </w:rPr>
                    <w:t>26</w:t>
                  </w:r>
                </w:p>
              </w:tc>
              <w:tc>
                <w:tcPr>
                  <w:tcW w:w="1030"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rFonts w:hint="eastAsia"/>
                      <w:bCs/>
                      <w:sz w:val="21"/>
                      <w:szCs w:val="21"/>
                    </w:rPr>
                    <w:t>41.2</w:t>
                  </w:r>
                </w:p>
              </w:tc>
              <w:tc>
                <w:tcPr>
                  <w:tcW w:w="79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rFonts w:hint="eastAsia"/>
                      <w:bCs/>
                      <w:sz w:val="21"/>
                      <w:szCs w:val="21"/>
                    </w:rPr>
                    <w:t>1</w:t>
                  </w:r>
                  <w:r>
                    <w:rPr>
                      <w:bCs/>
                      <w:sz w:val="21"/>
                      <w:szCs w:val="21"/>
                    </w:rPr>
                    <w:t>65</w:t>
                  </w:r>
                </w:p>
              </w:tc>
              <w:tc>
                <w:tcPr>
                  <w:tcW w:w="73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rFonts w:hint="eastAsia"/>
                      <w:bCs/>
                      <w:sz w:val="21"/>
                      <w:szCs w:val="21"/>
                    </w:rPr>
                    <w:t>25.15</w:t>
                  </w:r>
                </w:p>
              </w:tc>
              <w:tc>
                <w:tcPr>
                  <w:tcW w:w="79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rFonts w:hint="eastAsia"/>
                      <w:bCs/>
                      <w:sz w:val="21"/>
                      <w:szCs w:val="21"/>
                    </w:rPr>
                    <w:t>5</w:t>
                  </w:r>
                  <w:r>
                    <w:rPr>
                      <w:bCs/>
                      <w:sz w:val="21"/>
                      <w:szCs w:val="21"/>
                    </w:rPr>
                    <w:t>.8</w:t>
                  </w:r>
                </w:p>
              </w:tc>
              <w:tc>
                <w:tcPr>
                  <w:tcW w:w="806"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rFonts w:hint="eastAsia"/>
                      <w:bCs/>
                      <w:sz w:val="21"/>
                      <w:szCs w:val="21"/>
                    </w:rPr>
                    <w:t>54.23</w:t>
                  </w:r>
                </w:p>
              </w:tc>
              <w:tc>
                <w:tcPr>
                  <w:tcW w:w="797"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rFonts w:hint="eastAsia"/>
                      <w:bCs/>
                      <w:sz w:val="21"/>
                      <w:szCs w:val="21"/>
                    </w:rPr>
                    <w:t>3.5</w:t>
                  </w:r>
                </w:p>
              </w:tc>
              <w:tc>
                <w:tcPr>
                  <w:tcW w:w="738" w:type="dxa"/>
                  <w:tcBorders>
                    <w:top w:val="single" w:color="auto" w:sz="4" w:space="0"/>
                    <w:left w:val="nil"/>
                    <w:bottom w:val="single" w:color="auto" w:sz="4" w:space="0"/>
                    <w:right w:val="single" w:color="auto" w:sz="4" w:space="0"/>
                  </w:tcBorders>
                  <w:vAlign w:val="center"/>
                </w:tcPr>
                <w:p>
                  <w:pPr>
                    <w:snapToGrid w:val="0"/>
                    <w:spacing w:before="120" w:line="312" w:lineRule="auto"/>
                    <w:ind w:firstLine="0" w:firstLineChars="0"/>
                    <w:jc w:val="center"/>
                    <w:rPr>
                      <w:bCs/>
                      <w:sz w:val="21"/>
                      <w:szCs w:val="21"/>
                    </w:rPr>
                  </w:pPr>
                  <w:r>
                    <w:rPr>
                      <w:rFonts w:hint="eastAsia"/>
                      <w:bCs/>
                      <w:sz w:val="21"/>
                      <w:szCs w:val="21"/>
                    </w:rPr>
                    <w:t>58.61</w:t>
                  </w:r>
                </w:p>
              </w:tc>
            </w:tr>
          </w:tbl>
          <w:p>
            <w:pPr>
              <w:spacing w:before="120"/>
              <w:ind w:firstLine="480"/>
            </w:pPr>
            <w:r>
              <w:rPr>
                <w:bCs/>
                <w:color w:val="000000"/>
              </w:rPr>
              <w:t>注：项目工作制度为每天一班，每班8</w:t>
            </w:r>
            <w:bookmarkStart w:id="31" w:name="_GoBack"/>
            <w:bookmarkEnd w:id="31"/>
            <w:r>
              <w:rPr>
                <w:bCs/>
                <w:color w:val="000000"/>
              </w:rPr>
              <w:t>小时，均在昼间生产（根据《中华人民共和国环境噪声污染防治法》“夜间”指当日晚上</w:t>
            </w:r>
            <w:r>
              <w:rPr>
                <w:rFonts w:hint="eastAsia"/>
                <w:bCs/>
                <w:color w:val="000000"/>
                <w:lang w:val="en-US" w:eastAsia="zh-CN"/>
              </w:rPr>
              <w:t>10</w:t>
            </w:r>
            <w:r>
              <w:rPr>
                <w:bCs/>
                <w:color w:val="000000"/>
              </w:rPr>
              <w:t>点至次日早晨6点之间的时段，由于本项目班次时间不在此范围内，故项目不作夜间噪声影响预测）</w:t>
            </w:r>
            <w:r>
              <w:rPr>
                <w:rFonts w:hint="eastAsia"/>
              </w:rPr>
              <w:t xml:space="preserve"> </w:t>
            </w:r>
            <w:r>
              <w:t xml:space="preserve">         </w:t>
            </w:r>
            <w:r>
              <w:rPr>
                <w:rFonts w:hint="eastAsia"/>
                <w:color w:val="000000"/>
              </w:rPr>
              <w:t>经上述分析，本项目生产区采取隔声降噪处理后，厂界噪声可符合《工业企业厂界环境噪声排放标准》（</w:t>
            </w:r>
            <w:r>
              <w:rPr>
                <w:color w:val="000000"/>
              </w:rPr>
              <w:t>GB12348-2008</w:t>
            </w:r>
            <w:r>
              <w:rPr>
                <w:rFonts w:hint="eastAsia"/>
                <w:color w:val="000000"/>
              </w:rPr>
              <w:t>）中2类排放标准的要求（昼间</w:t>
            </w:r>
            <w:r>
              <w:rPr>
                <w:color w:val="000000"/>
              </w:rPr>
              <w:t>&lt;60 dB,</w:t>
            </w:r>
            <w:r>
              <w:rPr>
                <w:rFonts w:hint="eastAsia"/>
                <w:color w:val="000000"/>
              </w:rPr>
              <w:t>夜间</w:t>
            </w:r>
            <w:r>
              <w:rPr>
                <w:color w:val="000000"/>
              </w:rPr>
              <w:t>&lt;50dB</w:t>
            </w:r>
            <w:r>
              <w:rPr>
                <w:rFonts w:hint="eastAsia"/>
                <w:color w:val="000000"/>
              </w:rPr>
              <w:t>），同时，厂区内加强绿化可起到降噪的作用，因此本项目产生的噪声对周围环境影响较小。</w:t>
            </w:r>
          </w:p>
          <w:p>
            <w:pPr>
              <w:adjustRightInd w:val="0"/>
              <w:snapToGrid w:val="0"/>
              <w:spacing w:before="120"/>
              <w:ind w:firstLine="679" w:firstLineChars="282"/>
              <w:rPr>
                <w:b/>
                <w:color w:val="000000"/>
                <w:szCs w:val="22"/>
              </w:rPr>
            </w:pPr>
            <w:r>
              <w:rPr>
                <w:b/>
                <w:color w:val="000000"/>
                <w:szCs w:val="22"/>
              </w:rPr>
              <w:t>4、固体废物</w:t>
            </w:r>
          </w:p>
          <w:p>
            <w:pPr>
              <w:spacing w:before="120"/>
              <w:ind w:firstLine="480"/>
              <w:rPr>
                <w:bCs/>
                <w:szCs w:val="21"/>
              </w:rPr>
            </w:pPr>
            <w:r>
              <w:rPr>
                <w:bCs/>
                <w:szCs w:val="21"/>
              </w:rPr>
              <w:t>本项目运营过程中产生的固体废物</w:t>
            </w:r>
            <w:r>
              <w:rPr>
                <w:rFonts w:hint="eastAsia"/>
                <w:bCs/>
                <w:szCs w:val="21"/>
              </w:rPr>
              <w:t>为一般固体废物及危险废物，一般固体废物主要包括检疫不合格品、病死牛羊、胃容物及粪便、污泥（含栅渣）以及生活垃圾；危险废物：主要为检疫废物。</w:t>
            </w:r>
          </w:p>
          <w:p>
            <w:pPr>
              <w:spacing w:before="120"/>
              <w:ind w:firstLine="439" w:firstLineChars="183"/>
              <w:rPr>
                <w:bCs/>
                <w:szCs w:val="21"/>
              </w:rPr>
            </w:pPr>
            <w:r>
              <w:rPr>
                <w:bCs/>
                <w:szCs w:val="21"/>
              </w:rPr>
              <w:t>（1）</w:t>
            </w:r>
            <w:bookmarkStart w:id="27" w:name="_Hlk74316006"/>
            <w:r>
              <w:rPr>
                <w:bCs/>
                <w:szCs w:val="21"/>
              </w:rPr>
              <w:t>一般固废</w:t>
            </w:r>
          </w:p>
          <w:p>
            <w:pPr>
              <w:spacing w:before="120"/>
              <w:ind w:firstLine="480"/>
              <w:rPr>
                <w:bCs/>
              </w:rPr>
            </w:pPr>
            <w:r>
              <w:rPr>
                <w:rFonts w:hint="eastAsia" w:ascii="宋体" w:hAnsi="宋体" w:cs="宋体"/>
                <w:bCs/>
              </w:rPr>
              <w:t>①</w:t>
            </w:r>
            <w:r>
              <w:rPr>
                <w:bCs/>
              </w:rPr>
              <w:t>生活垃圾</w:t>
            </w:r>
          </w:p>
          <w:p>
            <w:pPr>
              <w:spacing w:before="120"/>
              <w:ind w:firstLine="480"/>
              <w:rPr>
                <w:bCs/>
              </w:rPr>
            </w:pPr>
            <w:r>
              <w:rPr>
                <w:bCs/>
                <w:color w:val="000000"/>
                <w:kern w:val="2"/>
                <w:szCs w:val="22"/>
              </w:rPr>
              <w:t>本项目</w:t>
            </w:r>
            <w:r>
              <w:rPr>
                <w:rFonts w:hint="eastAsia"/>
                <w:bCs/>
                <w:color w:val="000000"/>
                <w:kern w:val="2"/>
                <w:szCs w:val="22"/>
              </w:rPr>
              <w:t>工作人员为</w:t>
            </w:r>
            <w:r>
              <w:rPr>
                <w:bCs/>
                <w:color w:val="000000"/>
                <w:kern w:val="2"/>
                <w:szCs w:val="22"/>
              </w:rPr>
              <w:t>20人，生活垃圾按1kg/人·d计，年工作350天，项目员工生活垃圾产生量为7.0t/a，暂存</w:t>
            </w:r>
            <w:r>
              <w:rPr>
                <w:rFonts w:hint="eastAsia"/>
                <w:bCs/>
                <w:color w:val="000000"/>
                <w:kern w:val="2"/>
                <w:szCs w:val="22"/>
              </w:rPr>
              <w:t>于</w:t>
            </w:r>
            <w:r>
              <w:rPr>
                <w:bCs/>
                <w:color w:val="000000"/>
                <w:kern w:val="2"/>
                <w:szCs w:val="22"/>
              </w:rPr>
              <w:t>厂区垃圾</w:t>
            </w:r>
            <w:r>
              <w:rPr>
                <w:rFonts w:hint="eastAsia"/>
                <w:bCs/>
                <w:color w:val="000000"/>
                <w:kern w:val="2"/>
                <w:szCs w:val="22"/>
              </w:rPr>
              <w:t>收集点</w:t>
            </w:r>
            <w:r>
              <w:rPr>
                <w:bCs/>
                <w:color w:val="000000"/>
                <w:kern w:val="2"/>
                <w:szCs w:val="22"/>
              </w:rPr>
              <w:t>，由</w:t>
            </w:r>
            <w:r>
              <w:rPr>
                <w:rFonts w:hint="eastAsia"/>
                <w:bCs/>
                <w:color w:val="000000"/>
                <w:kern w:val="2"/>
                <w:szCs w:val="22"/>
              </w:rPr>
              <w:t>环卫部门统一清运</w:t>
            </w:r>
            <w:r>
              <w:rPr>
                <w:bCs/>
              </w:rPr>
              <w:t>。</w:t>
            </w:r>
          </w:p>
          <w:p>
            <w:pPr>
              <w:spacing w:before="120"/>
              <w:ind w:firstLine="480"/>
              <w:rPr>
                <w:bCs/>
              </w:rPr>
            </w:pPr>
            <w:r>
              <w:rPr>
                <w:rFonts w:hint="eastAsia" w:ascii="宋体" w:hAnsi="宋体" w:cs="宋体"/>
                <w:bCs/>
              </w:rPr>
              <w:t>②</w:t>
            </w:r>
            <w:r>
              <w:rPr>
                <w:bCs/>
              </w:rPr>
              <w:t>污水处理污泥</w:t>
            </w:r>
          </w:p>
          <w:p>
            <w:pPr>
              <w:spacing w:before="120"/>
              <w:ind w:firstLine="480"/>
              <w:rPr>
                <w:bCs/>
              </w:rPr>
            </w:pPr>
            <w:r>
              <w:rPr>
                <w:bCs/>
              </w:rPr>
              <w:t>污水处理污泥包括三级化粪池产生的污泥和污水处理站产生的污泥。</w:t>
            </w:r>
          </w:p>
          <w:p>
            <w:pPr>
              <w:spacing w:before="120"/>
              <w:ind w:firstLine="480"/>
              <w:rPr>
                <w:bCs/>
              </w:rPr>
            </w:pPr>
            <w:r>
              <w:rPr>
                <w:bCs/>
              </w:rPr>
              <w:t>污泥产生量计算公式如下：</w:t>
            </w:r>
          </w:p>
          <w:p>
            <w:pPr>
              <w:spacing w:before="120"/>
              <w:ind w:firstLine="480"/>
              <w:jc w:val="center"/>
              <w:rPr>
                <w:bCs/>
                <w:vertAlign w:val="subscript"/>
              </w:rPr>
            </w:pPr>
            <w:r>
              <w:rPr>
                <w:bCs/>
              </w:rPr>
              <w:t>Y=Y</w:t>
            </w:r>
            <w:r>
              <w:rPr>
                <w:bCs/>
                <w:vertAlign w:val="subscript"/>
              </w:rPr>
              <w:t>T</w:t>
            </w:r>
            <w:r>
              <w:rPr>
                <w:bCs/>
              </w:rPr>
              <w:t>×Q×L</w:t>
            </w:r>
            <w:r>
              <w:rPr>
                <w:bCs/>
                <w:vertAlign w:val="subscript"/>
              </w:rPr>
              <w:t>r</w:t>
            </w:r>
          </w:p>
          <w:p>
            <w:pPr>
              <w:spacing w:before="120"/>
              <w:ind w:firstLine="480"/>
              <w:jc w:val="left"/>
              <w:rPr>
                <w:bCs/>
              </w:rPr>
            </w:pPr>
            <w:r>
              <w:rPr>
                <w:bCs/>
              </w:rPr>
              <w:t>式中：Y——绝干污泥产生量，g/d；</w:t>
            </w:r>
          </w:p>
          <w:p>
            <w:pPr>
              <w:spacing w:before="120"/>
              <w:ind w:firstLine="1200" w:firstLineChars="500"/>
              <w:jc w:val="left"/>
              <w:rPr>
                <w:bCs/>
              </w:rPr>
            </w:pPr>
            <w:r>
              <w:rPr>
                <w:bCs/>
              </w:rPr>
              <w:t>Y</w:t>
            </w:r>
            <w:r>
              <w:rPr>
                <w:bCs/>
                <w:vertAlign w:val="subscript"/>
              </w:rPr>
              <w:t xml:space="preserve">T </w:t>
            </w:r>
            <w:r>
              <w:rPr>
                <w:bCs/>
              </w:rPr>
              <w:t>——污泥产生量系数，kg</w:t>
            </w:r>
            <w:r>
              <w:rPr>
                <w:rFonts w:hint="eastAsia"/>
                <w:bCs/>
              </w:rPr>
              <w:t>，</w:t>
            </w:r>
            <w:r>
              <w:rPr>
                <w:bCs/>
              </w:rPr>
              <w:t>污泥/去除1kgBOD</w:t>
            </w:r>
            <w:r>
              <w:rPr>
                <w:bCs/>
                <w:vertAlign w:val="subscript"/>
              </w:rPr>
              <w:t>5</w:t>
            </w:r>
            <w:r>
              <w:rPr>
                <w:bCs/>
              </w:rPr>
              <w:t>。其取值与SS/BOD</w:t>
            </w:r>
            <w:r>
              <w:rPr>
                <w:bCs/>
                <w:vertAlign w:val="subscript"/>
              </w:rPr>
              <w:t>5</w:t>
            </w:r>
            <w:r>
              <w:rPr>
                <w:bCs/>
              </w:rPr>
              <w:t>有关，详见表4-15；</w:t>
            </w:r>
          </w:p>
          <w:p>
            <w:pPr>
              <w:spacing w:before="120"/>
              <w:ind w:firstLine="1200" w:firstLineChars="500"/>
              <w:jc w:val="left"/>
              <w:rPr>
                <w:bCs/>
              </w:rPr>
            </w:pPr>
            <w:r>
              <w:rPr>
                <w:bCs/>
              </w:rPr>
              <w:t>Q——设计处理量，m</w:t>
            </w:r>
            <w:r>
              <w:rPr>
                <w:bCs/>
                <w:vertAlign w:val="superscript"/>
              </w:rPr>
              <w:t>3</w:t>
            </w:r>
            <w:r>
              <w:rPr>
                <w:bCs/>
              </w:rPr>
              <w:t>/d；</w:t>
            </w:r>
          </w:p>
          <w:p>
            <w:pPr>
              <w:spacing w:before="120"/>
              <w:ind w:firstLine="1200" w:firstLineChars="500"/>
              <w:jc w:val="left"/>
              <w:rPr>
                <w:bCs/>
              </w:rPr>
            </w:pPr>
            <w:r>
              <w:rPr>
                <w:bCs/>
              </w:rPr>
              <w:t>L</w:t>
            </w:r>
            <w:r>
              <w:rPr>
                <w:bCs/>
                <w:vertAlign w:val="subscript"/>
              </w:rPr>
              <w:t>r</w:t>
            </w:r>
            <w:r>
              <w:rPr>
                <w:bCs/>
              </w:rPr>
              <w:t>——去除的BOD</w:t>
            </w:r>
            <w:r>
              <w:rPr>
                <w:bCs/>
                <w:vertAlign w:val="subscript"/>
              </w:rPr>
              <w:t>5</w:t>
            </w:r>
            <w:r>
              <w:rPr>
                <w:bCs/>
              </w:rPr>
              <w:t>浓度，mg/L。</w:t>
            </w:r>
          </w:p>
          <w:p>
            <w:pPr>
              <w:spacing w:before="120" w:line="240" w:lineRule="auto"/>
              <w:ind w:firstLine="440" w:firstLineChars="0"/>
              <w:jc w:val="center"/>
              <w:rPr>
                <w:b/>
                <w:kern w:val="28"/>
                <w:sz w:val="21"/>
                <w:szCs w:val="32"/>
              </w:rPr>
            </w:pPr>
            <w:r>
              <w:rPr>
                <w:b/>
                <w:kern w:val="28"/>
                <w:sz w:val="21"/>
                <w:szCs w:val="32"/>
              </w:rPr>
              <w:t>表4-15  Y</w:t>
            </w:r>
            <w:r>
              <w:rPr>
                <w:b/>
                <w:kern w:val="28"/>
                <w:sz w:val="21"/>
                <w:szCs w:val="32"/>
                <w:vertAlign w:val="subscript"/>
              </w:rPr>
              <w:t>T</w:t>
            </w:r>
            <w:r>
              <w:rPr>
                <w:b/>
                <w:kern w:val="28"/>
                <w:sz w:val="21"/>
                <w:szCs w:val="32"/>
              </w:rPr>
              <w:t>与SS/BOD</w:t>
            </w:r>
            <w:r>
              <w:rPr>
                <w:b/>
                <w:kern w:val="28"/>
                <w:sz w:val="21"/>
                <w:szCs w:val="32"/>
                <w:vertAlign w:val="subscript"/>
              </w:rPr>
              <w:t>5</w:t>
            </w:r>
            <w:r>
              <w:rPr>
                <w:b/>
                <w:kern w:val="28"/>
                <w:sz w:val="21"/>
                <w:szCs w:val="32"/>
              </w:rPr>
              <w:t>的关系</w:t>
            </w:r>
          </w:p>
          <w:tbl>
            <w:tblPr>
              <w:tblStyle w:val="22"/>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314"/>
              <w:gridCol w:w="1314"/>
              <w:gridCol w:w="1316"/>
              <w:gridCol w:w="1316"/>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1200" w:type="dxa"/>
                  <w:shd w:val="clear" w:color="auto" w:fill="auto"/>
                  <w:vAlign w:val="center"/>
                </w:tcPr>
                <w:p>
                  <w:pPr>
                    <w:spacing w:before="120" w:beforeLines="0" w:line="312" w:lineRule="auto"/>
                    <w:ind w:firstLine="0" w:firstLineChars="0"/>
                    <w:jc w:val="center"/>
                    <w:rPr>
                      <w:bCs/>
                      <w:sz w:val="21"/>
                      <w:szCs w:val="21"/>
                    </w:rPr>
                  </w:pPr>
                  <w:r>
                    <w:rPr>
                      <w:bCs/>
                      <w:sz w:val="21"/>
                      <w:szCs w:val="21"/>
                    </w:rPr>
                    <w:t>SS/BOD</w:t>
                  </w:r>
                  <w:r>
                    <w:rPr>
                      <w:bCs/>
                      <w:sz w:val="21"/>
                      <w:szCs w:val="21"/>
                      <w:vertAlign w:val="subscript"/>
                    </w:rPr>
                    <w:t>5</w:t>
                  </w:r>
                </w:p>
              </w:tc>
              <w:tc>
                <w:tcPr>
                  <w:tcW w:w="1314" w:type="dxa"/>
                  <w:shd w:val="clear" w:color="auto" w:fill="auto"/>
                  <w:vAlign w:val="center"/>
                </w:tcPr>
                <w:p>
                  <w:pPr>
                    <w:spacing w:before="120" w:beforeLines="0" w:line="312" w:lineRule="auto"/>
                    <w:ind w:firstLine="0" w:firstLineChars="0"/>
                    <w:jc w:val="center"/>
                    <w:rPr>
                      <w:bCs/>
                      <w:sz w:val="21"/>
                      <w:szCs w:val="21"/>
                    </w:rPr>
                  </w:pPr>
                  <w:r>
                    <w:rPr>
                      <w:bCs/>
                      <w:sz w:val="21"/>
                      <w:szCs w:val="21"/>
                    </w:rPr>
                    <w:t>0.8</w:t>
                  </w:r>
                </w:p>
              </w:tc>
              <w:tc>
                <w:tcPr>
                  <w:tcW w:w="1314" w:type="dxa"/>
                  <w:shd w:val="clear" w:color="auto" w:fill="auto"/>
                  <w:vAlign w:val="center"/>
                </w:tcPr>
                <w:p>
                  <w:pPr>
                    <w:spacing w:before="120" w:beforeLines="0" w:line="312" w:lineRule="auto"/>
                    <w:ind w:firstLine="0" w:firstLineChars="0"/>
                    <w:jc w:val="center"/>
                    <w:rPr>
                      <w:bCs/>
                      <w:sz w:val="21"/>
                      <w:szCs w:val="21"/>
                    </w:rPr>
                  </w:pPr>
                  <w:r>
                    <w:rPr>
                      <w:bCs/>
                      <w:sz w:val="21"/>
                      <w:szCs w:val="21"/>
                    </w:rPr>
                    <w:t>1.0</w:t>
                  </w:r>
                </w:p>
              </w:tc>
              <w:tc>
                <w:tcPr>
                  <w:tcW w:w="1316" w:type="dxa"/>
                  <w:shd w:val="clear" w:color="auto" w:fill="auto"/>
                  <w:vAlign w:val="center"/>
                </w:tcPr>
                <w:p>
                  <w:pPr>
                    <w:spacing w:before="120" w:beforeLines="0" w:line="312" w:lineRule="auto"/>
                    <w:ind w:firstLine="0" w:firstLineChars="0"/>
                    <w:jc w:val="center"/>
                    <w:rPr>
                      <w:bCs/>
                      <w:sz w:val="21"/>
                      <w:szCs w:val="21"/>
                    </w:rPr>
                  </w:pPr>
                  <w:r>
                    <w:rPr>
                      <w:bCs/>
                      <w:sz w:val="21"/>
                      <w:szCs w:val="21"/>
                    </w:rPr>
                    <w:t>1.2</w:t>
                  </w:r>
                </w:p>
              </w:tc>
              <w:tc>
                <w:tcPr>
                  <w:tcW w:w="1316" w:type="dxa"/>
                  <w:shd w:val="clear" w:color="auto" w:fill="auto"/>
                  <w:vAlign w:val="center"/>
                </w:tcPr>
                <w:p>
                  <w:pPr>
                    <w:spacing w:before="120" w:beforeLines="0" w:line="312" w:lineRule="auto"/>
                    <w:ind w:firstLine="0" w:firstLineChars="0"/>
                    <w:jc w:val="center"/>
                    <w:rPr>
                      <w:bCs/>
                      <w:sz w:val="21"/>
                      <w:szCs w:val="21"/>
                    </w:rPr>
                  </w:pPr>
                  <w:r>
                    <w:rPr>
                      <w:bCs/>
                      <w:sz w:val="21"/>
                      <w:szCs w:val="21"/>
                    </w:rPr>
                    <w:t>1.4</w:t>
                  </w:r>
                </w:p>
              </w:tc>
              <w:tc>
                <w:tcPr>
                  <w:tcW w:w="1316" w:type="dxa"/>
                  <w:shd w:val="clear" w:color="auto" w:fill="auto"/>
                  <w:vAlign w:val="center"/>
                </w:tcPr>
                <w:p>
                  <w:pPr>
                    <w:spacing w:before="120" w:beforeLines="0" w:line="312" w:lineRule="auto"/>
                    <w:ind w:firstLine="0" w:firstLineChars="0"/>
                    <w:jc w:val="center"/>
                    <w:rPr>
                      <w:bCs/>
                      <w:sz w:val="21"/>
                      <w:szCs w:val="21"/>
                    </w:rPr>
                  </w:pPr>
                  <w:r>
                    <w:rPr>
                      <w:bCs/>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00" w:type="dxa"/>
                  <w:shd w:val="clear" w:color="auto" w:fill="auto"/>
                  <w:vAlign w:val="center"/>
                </w:tcPr>
                <w:p>
                  <w:pPr>
                    <w:spacing w:before="120" w:beforeLines="0" w:line="312" w:lineRule="auto"/>
                    <w:ind w:firstLine="0" w:firstLineChars="0"/>
                    <w:jc w:val="center"/>
                    <w:rPr>
                      <w:bCs/>
                      <w:sz w:val="21"/>
                      <w:szCs w:val="21"/>
                    </w:rPr>
                  </w:pPr>
                  <w:r>
                    <w:rPr>
                      <w:bCs/>
                      <w:sz w:val="21"/>
                      <w:szCs w:val="21"/>
                    </w:rPr>
                    <w:t>Y</w:t>
                  </w:r>
                  <w:r>
                    <w:rPr>
                      <w:bCs/>
                      <w:sz w:val="21"/>
                      <w:szCs w:val="21"/>
                      <w:vertAlign w:val="subscript"/>
                    </w:rPr>
                    <w:t>T</w:t>
                  </w:r>
                </w:p>
              </w:tc>
              <w:tc>
                <w:tcPr>
                  <w:tcW w:w="1314" w:type="dxa"/>
                  <w:shd w:val="clear" w:color="auto" w:fill="auto"/>
                  <w:vAlign w:val="center"/>
                </w:tcPr>
                <w:p>
                  <w:pPr>
                    <w:spacing w:before="120" w:beforeLines="0" w:line="312" w:lineRule="auto"/>
                    <w:ind w:firstLine="0" w:firstLineChars="0"/>
                    <w:jc w:val="center"/>
                    <w:rPr>
                      <w:bCs/>
                      <w:sz w:val="21"/>
                      <w:szCs w:val="21"/>
                    </w:rPr>
                  </w:pPr>
                  <w:r>
                    <w:rPr>
                      <w:bCs/>
                      <w:sz w:val="21"/>
                      <w:szCs w:val="21"/>
                    </w:rPr>
                    <w:t>0.87</w:t>
                  </w:r>
                </w:p>
              </w:tc>
              <w:tc>
                <w:tcPr>
                  <w:tcW w:w="1314" w:type="dxa"/>
                  <w:shd w:val="clear" w:color="auto" w:fill="auto"/>
                  <w:vAlign w:val="center"/>
                </w:tcPr>
                <w:p>
                  <w:pPr>
                    <w:spacing w:before="120" w:beforeLines="0" w:line="312" w:lineRule="auto"/>
                    <w:ind w:firstLine="0" w:firstLineChars="0"/>
                    <w:jc w:val="center"/>
                    <w:rPr>
                      <w:bCs/>
                      <w:sz w:val="21"/>
                      <w:szCs w:val="21"/>
                    </w:rPr>
                  </w:pPr>
                  <w:r>
                    <w:rPr>
                      <w:bCs/>
                      <w:sz w:val="21"/>
                      <w:szCs w:val="21"/>
                    </w:rPr>
                    <w:t>0.97</w:t>
                  </w:r>
                </w:p>
              </w:tc>
              <w:tc>
                <w:tcPr>
                  <w:tcW w:w="1316" w:type="dxa"/>
                  <w:shd w:val="clear" w:color="auto" w:fill="auto"/>
                  <w:vAlign w:val="center"/>
                </w:tcPr>
                <w:p>
                  <w:pPr>
                    <w:spacing w:before="120" w:beforeLines="0" w:line="312" w:lineRule="auto"/>
                    <w:ind w:firstLine="0" w:firstLineChars="0"/>
                    <w:jc w:val="center"/>
                    <w:rPr>
                      <w:bCs/>
                      <w:sz w:val="21"/>
                      <w:szCs w:val="21"/>
                    </w:rPr>
                  </w:pPr>
                  <w:r>
                    <w:rPr>
                      <w:bCs/>
                      <w:sz w:val="21"/>
                      <w:szCs w:val="21"/>
                    </w:rPr>
                    <w:t>1.10</w:t>
                  </w:r>
                </w:p>
              </w:tc>
              <w:tc>
                <w:tcPr>
                  <w:tcW w:w="1316" w:type="dxa"/>
                  <w:shd w:val="clear" w:color="auto" w:fill="auto"/>
                  <w:vAlign w:val="center"/>
                </w:tcPr>
                <w:p>
                  <w:pPr>
                    <w:spacing w:before="120" w:beforeLines="0" w:line="312" w:lineRule="auto"/>
                    <w:ind w:firstLine="0" w:firstLineChars="0"/>
                    <w:jc w:val="center"/>
                    <w:rPr>
                      <w:bCs/>
                      <w:sz w:val="21"/>
                      <w:szCs w:val="21"/>
                    </w:rPr>
                  </w:pPr>
                  <w:r>
                    <w:rPr>
                      <w:bCs/>
                      <w:sz w:val="21"/>
                      <w:szCs w:val="21"/>
                    </w:rPr>
                    <w:t>1.23</w:t>
                  </w:r>
                </w:p>
              </w:tc>
              <w:tc>
                <w:tcPr>
                  <w:tcW w:w="1316" w:type="dxa"/>
                  <w:shd w:val="clear" w:color="auto" w:fill="auto"/>
                  <w:vAlign w:val="center"/>
                </w:tcPr>
                <w:p>
                  <w:pPr>
                    <w:spacing w:before="120" w:beforeLines="0" w:line="312" w:lineRule="auto"/>
                    <w:ind w:firstLine="0" w:firstLineChars="0"/>
                    <w:jc w:val="center"/>
                    <w:rPr>
                      <w:bCs/>
                      <w:sz w:val="21"/>
                      <w:szCs w:val="21"/>
                    </w:rPr>
                  </w:pPr>
                  <w:r>
                    <w:rPr>
                      <w:bCs/>
                      <w:sz w:val="21"/>
                      <w:szCs w:val="21"/>
                    </w:rPr>
                    <w:t>1.36</w:t>
                  </w:r>
                </w:p>
              </w:tc>
            </w:tr>
          </w:tbl>
          <w:p>
            <w:pPr>
              <w:spacing w:before="240" w:beforeLines="100"/>
              <w:ind w:firstLine="480"/>
              <w:rPr>
                <w:bCs/>
              </w:rPr>
            </w:pPr>
            <w:r>
              <w:rPr>
                <w:bCs/>
              </w:rPr>
              <w:t>a.三级化粪池预处理污泥</w:t>
            </w:r>
          </w:p>
          <w:p>
            <w:pPr>
              <w:adjustRightInd w:val="0"/>
              <w:snapToGrid w:val="0"/>
              <w:spacing w:before="120"/>
              <w:ind w:firstLine="480"/>
              <w:rPr>
                <w:bCs/>
              </w:rPr>
            </w:pPr>
            <w:r>
              <w:rPr>
                <w:bCs/>
              </w:rPr>
              <w:t>本项目员工产生的生活污水将排入三级化粪池（3.5m</w:t>
            </w:r>
            <w:r>
              <w:rPr>
                <w:bCs/>
                <w:vertAlign w:val="superscript"/>
              </w:rPr>
              <w:t>3</w:t>
            </w:r>
            <w:r>
              <w:rPr>
                <w:bCs/>
              </w:rPr>
              <w:t>/d）进行预处理，三级化粪池进水水质中SS/BOD</w:t>
            </w:r>
            <w:r>
              <w:rPr>
                <w:bCs/>
                <w:vertAlign w:val="subscript"/>
              </w:rPr>
              <w:t>5</w:t>
            </w:r>
            <w:r>
              <w:rPr>
                <w:bCs/>
              </w:rPr>
              <w:t>≈1.0，对应表4-12，本次评价Y</w:t>
            </w:r>
            <w:r>
              <w:rPr>
                <w:bCs/>
                <w:vertAlign w:val="subscript"/>
              </w:rPr>
              <w:t>T</w:t>
            </w:r>
            <w:r>
              <w:rPr>
                <w:bCs/>
              </w:rPr>
              <w:t>取值为0.97，</w:t>
            </w:r>
            <w:r>
              <w:rPr>
                <w:rFonts w:hint="eastAsia"/>
                <w:bCs/>
              </w:rPr>
              <w:t>由</w:t>
            </w:r>
            <w:r>
              <w:rPr>
                <w:bCs/>
              </w:rPr>
              <w:t>上式计算其绝干污泥产生量为</w:t>
            </w:r>
            <w:r>
              <w:rPr>
                <w:rFonts w:hint="eastAsia"/>
                <w:bCs/>
              </w:rPr>
              <w:t>1</w:t>
            </w:r>
            <w:r>
              <w:rPr>
                <w:bCs/>
              </w:rPr>
              <w:t>01.85g/d（约</w:t>
            </w:r>
            <w:r>
              <w:rPr>
                <w:rFonts w:hint="eastAsia"/>
                <w:bCs/>
              </w:rPr>
              <w:t>0</w:t>
            </w:r>
            <w:r>
              <w:rPr>
                <w:bCs/>
              </w:rPr>
              <w:t>.04t/a），本项目三级化粪池预处理污泥未经压滤脱水处理，其污泥含水率约90%，则本项目三级化粪池预处理污泥产生量为0.4t/a，</w:t>
            </w:r>
            <w:r>
              <w:rPr>
                <w:rFonts w:hint="eastAsia"/>
                <w:bCs/>
              </w:rPr>
              <w:t>定期</w:t>
            </w:r>
            <w:r>
              <w:rPr>
                <w:bCs/>
              </w:rPr>
              <w:t>由仁化县</w:t>
            </w:r>
            <w:r>
              <w:rPr>
                <w:rFonts w:hint="eastAsia"/>
                <w:bCs/>
              </w:rPr>
              <w:t>市政部门清运</w:t>
            </w:r>
            <w:r>
              <w:rPr>
                <w:bCs/>
              </w:rPr>
              <w:t>。</w:t>
            </w:r>
          </w:p>
          <w:p>
            <w:pPr>
              <w:spacing w:before="240" w:beforeLines="100"/>
              <w:ind w:firstLine="480"/>
              <w:rPr>
                <w:bCs/>
              </w:rPr>
            </w:pPr>
            <w:r>
              <w:rPr>
                <w:bCs/>
              </w:rPr>
              <w:t>b.污水处理站污泥</w:t>
            </w:r>
          </w:p>
          <w:p>
            <w:pPr>
              <w:spacing w:before="120"/>
              <w:ind w:firstLine="480"/>
              <w:rPr>
                <w:bCs/>
              </w:rPr>
            </w:pPr>
            <w:r>
              <w:rPr>
                <w:bCs/>
              </w:rPr>
              <w:t>本项目自建污水处理站一座，处理能力为</w:t>
            </w:r>
            <w:r>
              <w:rPr>
                <w:rFonts w:hint="eastAsia"/>
                <w:bCs/>
              </w:rPr>
              <w:t>100</w:t>
            </w:r>
            <w:r>
              <w:rPr>
                <w:bCs/>
              </w:rPr>
              <w:t>m</w:t>
            </w:r>
            <w:r>
              <w:rPr>
                <w:bCs/>
                <w:vertAlign w:val="superscript"/>
              </w:rPr>
              <w:t>3</w:t>
            </w:r>
            <w:r>
              <w:rPr>
                <w:bCs/>
              </w:rPr>
              <w:t>/d；污水处理站运行中会产生一定量的污泥。其进水水质中SS/BOD</w:t>
            </w:r>
            <w:r>
              <w:rPr>
                <w:bCs/>
                <w:vertAlign w:val="subscript"/>
              </w:rPr>
              <w:t>5</w:t>
            </w:r>
            <w:r>
              <w:rPr>
                <w:rFonts w:hint="eastAsia"/>
                <w:bCs/>
              </w:rPr>
              <w:t>≈</w:t>
            </w:r>
            <w:r>
              <w:rPr>
                <w:bCs/>
              </w:rPr>
              <w:t>1.0，对应表4-12，本次评价Y</w:t>
            </w:r>
            <w:r>
              <w:rPr>
                <w:bCs/>
                <w:vertAlign w:val="subscript"/>
              </w:rPr>
              <w:t>T</w:t>
            </w:r>
            <w:r>
              <w:rPr>
                <w:bCs/>
              </w:rPr>
              <w:t>取值为0.97，有上式计算其绝干污泥产生量为</w:t>
            </w:r>
            <w:r>
              <w:rPr>
                <w:rFonts w:hint="eastAsia"/>
                <w:bCs/>
              </w:rPr>
              <w:t>88.435kg</w:t>
            </w:r>
            <w:r>
              <w:rPr>
                <w:bCs/>
              </w:rPr>
              <w:t>/d(约</w:t>
            </w:r>
            <w:r>
              <w:rPr>
                <w:rFonts w:hint="eastAsia"/>
                <w:bCs/>
              </w:rPr>
              <w:t>30.95</w:t>
            </w:r>
            <w:r>
              <w:rPr>
                <w:bCs/>
              </w:rPr>
              <w:t>t/a)，本项目污水处理站污泥经压滤脱水处理，其污泥含水率约</w:t>
            </w:r>
            <w:r>
              <w:rPr>
                <w:rFonts w:hint="eastAsia"/>
                <w:bCs/>
              </w:rPr>
              <w:t>6</w:t>
            </w:r>
            <w:r>
              <w:rPr>
                <w:bCs/>
              </w:rPr>
              <w:t>0%，则本项目污水处理站污泥产生量为</w:t>
            </w:r>
            <w:r>
              <w:rPr>
                <w:rFonts w:hint="eastAsia"/>
                <w:bCs/>
              </w:rPr>
              <w:t>77.38</w:t>
            </w:r>
            <w:r>
              <w:rPr>
                <w:bCs/>
              </w:rPr>
              <w:t>t/a。</w:t>
            </w:r>
          </w:p>
          <w:p>
            <w:pPr>
              <w:spacing w:before="120"/>
              <w:ind w:firstLine="480"/>
              <w:rPr>
                <w:bCs/>
                <w:szCs w:val="21"/>
              </w:rPr>
            </w:pPr>
            <w:r>
              <w:rPr>
                <w:bCs/>
                <w:szCs w:val="21"/>
              </w:rPr>
              <w:t>综上，污水处理污泥产生情况见下表：</w:t>
            </w:r>
          </w:p>
          <w:p>
            <w:pPr>
              <w:spacing w:before="120" w:line="240" w:lineRule="auto"/>
              <w:ind w:firstLine="440" w:firstLineChars="0"/>
              <w:jc w:val="center"/>
              <w:rPr>
                <w:b/>
                <w:kern w:val="28"/>
                <w:sz w:val="21"/>
                <w:szCs w:val="32"/>
              </w:rPr>
            </w:pPr>
            <w:r>
              <w:rPr>
                <w:b/>
                <w:kern w:val="28"/>
                <w:sz w:val="21"/>
                <w:szCs w:val="32"/>
              </w:rPr>
              <w:t>表4-16  本项目污泥产生情况一览表</w:t>
            </w:r>
          </w:p>
          <w:tbl>
            <w:tblPr>
              <w:tblStyle w:val="22"/>
              <w:tblW w:w="0" w:type="auto"/>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99"/>
              <w:gridCol w:w="1599"/>
              <w:gridCol w:w="1562"/>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4" w:hRule="atLeast"/>
              </w:trPr>
              <w:tc>
                <w:tcPr>
                  <w:tcW w:w="1504" w:type="dxa"/>
                  <w:shd w:val="clear" w:color="auto" w:fill="auto"/>
                  <w:vAlign w:val="center"/>
                </w:tcPr>
                <w:p>
                  <w:pPr>
                    <w:spacing w:before="120" w:beforeLines="0" w:line="240" w:lineRule="auto"/>
                    <w:ind w:firstLine="0" w:firstLineChars="0"/>
                    <w:jc w:val="center"/>
                    <w:rPr>
                      <w:bCs/>
                      <w:sz w:val="21"/>
                      <w:szCs w:val="21"/>
                    </w:rPr>
                  </w:pPr>
                  <w:r>
                    <w:rPr>
                      <w:bCs/>
                      <w:sz w:val="21"/>
                      <w:szCs w:val="21"/>
                    </w:rPr>
                    <w:t>污泥来源</w:t>
                  </w:r>
                </w:p>
              </w:tc>
              <w:tc>
                <w:tcPr>
                  <w:tcW w:w="1599" w:type="dxa"/>
                  <w:shd w:val="clear" w:color="auto" w:fill="auto"/>
                  <w:vAlign w:val="center"/>
                </w:tcPr>
                <w:p>
                  <w:pPr>
                    <w:spacing w:before="120" w:beforeLines="0" w:line="240" w:lineRule="auto"/>
                    <w:ind w:firstLine="0" w:firstLineChars="0"/>
                    <w:jc w:val="center"/>
                    <w:rPr>
                      <w:bCs/>
                      <w:sz w:val="21"/>
                      <w:szCs w:val="21"/>
                    </w:rPr>
                  </w:pPr>
                  <w:r>
                    <w:rPr>
                      <w:bCs/>
                      <w:sz w:val="21"/>
                      <w:szCs w:val="21"/>
                    </w:rPr>
                    <w:t>设计处理量（m</w:t>
                  </w:r>
                  <w:r>
                    <w:rPr>
                      <w:bCs/>
                      <w:sz w:val="21"/>
                      <w:szCs w:val="21"/>
                      <w:vertAlign w:val="superscript"/>
                    </w:rPr>
                    <w:t>3</w:t>
                  </w:r>
                  <w:r>
                    <w:rPr>
                      <w:bCs/>
                      <w:sz w:val="21"/>
                      <w:szCs w:val="21"/>
                    </w:rPr>
                    <w:t>/d）</w:t>
                  </w:r>
                </w:p>
              </w:tc>
              <w:tc>
                <w:tcPr>
                  <w:tcW w:w="1599" w:type="dxa"/>
                  <w:shd w:val="clear" w:color="auto" w:fill="auto"/>
                  <w:vAlign w:val="center"/>
                </w:tcPr>
                <w:p>
                  <w:pPr>
                    <w:spacing w:before="120" w:beforeLines="0" w:line="240" w:lineRule="auto"/>
                    <w:ind w:firstLine="0" w:firstLineChars="0"/>
                    <w:jc w:val="center"/>
                    <w:rPr>
                      <w:bCs/>
                      <w:sz w:val="21"/>
                      <w:szCs w:val="21"/>
                    </w:rPr>
                  </w:pPr>
                  <w:r>
                    <w:rPr>
                      <w:bCs/>
                      <w:sz w:val="21"/>
                      <w:szCs w:val="21"/>
                    </w:rPr>
                    <w:t>绝干污泥产生量（</w:t>
                  </w:r>
                  <w:r>
                    <w:rPr>
                      <w:rFonts w:hint="eastAsia"/>
                      <w:bCs/>
                      <w:sz w:val="21"/>
                      <w:szCs w:val="21"/>
                    </w:rPr>
                    <w:t>t</w:t>
                  </w:r>
                  <w:r>
                    <w:rPr>
                      <w:bCs/>
                      <w:sz w:val="21"/>
                      <w:szCs w:val="21"/>
                    </w:rPr>
                    <w:t>/a）</w:t>
                  </w:r>
                </w:p>
              </w:tc>
              <w:tc>
                <w:tcPr>
                  <w:tcW w:w="1562" w:type="dxa"/>
                  <w:shd w:val="clear" w:color="auto" w:fill="auto"/>
                  <w:vAlign w:val="center"/>
                </w:tcPr>
                <w:p>
                  <w:pPr>
                    <w:spacing w:before="120" w:beforeLines="0" w:line="240" w:lineRule="auto"/>
                    <w:ind w:firstLine="0" w:firstLineChars="0"/>
                    <w:jc w:val="center"/>
                    <w:rPr>
                      <w:bCs/>
                      <w:sz w:val="21"/>
                      <w:szCs w:val="21"/>
                    </w:rPr>
                  </w:pPr>
                  <w:r>
                    <w:rPr>
                      <w:bCs/>
                      <w:sz w:val="21"/>
                      <w:szCs w:val="21"/>
                    </w:rPr>
                    <w:t>污泥含水率</w:t>
                  </w:r>
                </w:p>
                <w:p>
                  <w:pPr>
                    <w:spacing w:before="120" w:beforeLines="0" w:line="240" w:lineRule="auto"/>
                    <w:ind w:firstLine="0" w:firstLineChars="0"/>
                    <w:jc w:val="center"/>
                    <w:rPr>
                      <w:bCs/>
                      <w:sz w:val="21"/>
                      <w:szCs w:val="21"/>
                    </w:rPr>
                  </w:pPr>
                  <w:r>
                    <w:rPr>
                      <w:bCs/>
                      <w:sz w:val="21"/>
                      <w:szCs w:val="21"/>
                    </w:rPr>
                    <w:t>（%）</w:t>
                  </w:r>
                </w:p>
              </w:tc>
              <w:tc>
                <w:tcPr>
                  <w:tcW w:w="1635" w:type="dxa"/>
                  <w:shd w:val="clear" w:color="auto" w:fill="auto"/>
                  <w:vAlign w:val="center"/>
                </w:tcPr>
                <w:p>
                  <w:pPr>
                    <w:spacing w:before="120" w:beforeLines="0" w:line="240" w:lineRule="auto"/>
                    <w:ind w:firstLine="0" w:firstLineChars="0"/>
                    <w:jc w:val="center"/>
                    <w:rPr>
                      <w:bCs/>
                      <w:sz w:val="21"/>
                      <w:szCs w:val="21"/>
                    </w:rPr>
                  </w:pPr>
                  <w:r>
                    <w:rPr>
                      <w:bCs/>
                      <w:sz w:val="21"/>
                      <w:szCs w:val="21"/>
                    </w:rPr>
                    <w:t>污泥产生量</w:t>
                  </w:r>
                </w:p>
                <w:p>
                  <w:pPr>
                    <w:spacing w:before="120" w:beforeLines="0" w:line="240" w:lineRule="auto"/>
                    <w:ind w:firstLine="0" w:firstLineChars="0"/>
                    <w:jc w:val="center"/>
                    <w:rPr>
                      <w:bCs/>
                      <w:sz w:val="21"/>
                      <w:szCs w:val="21"/>
                    </w:rPr>
                  </w:pPr>
                  <w:r>
                    <w:rPr>
                      <w:bCs/>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04" w:type="dxa"/>
                  <w:shd w:val="clear" w:color="auto" w:fill="auto"/>
                  <w:vAlign w:val="center"/>
                </w:tcPr>
                <w:p>
                  <w:pPr>
                    <w:spacing w:before="120" w:beforeLines="0" w:line="312" w:lineRule="auto"/>
                    <w:ind w:firstLine="0" w:firstLineChars="0"/>
                    <w:jc w:val="center"/>
                    <w:rPr>
                      <w:bCs/>
                      <w:sz w:val="21"/>
                      <w:szCs w:val="21"/>
                    </w:rPr>
                  </w:pPr>
                  <w:r>
                    <w:rPr>
                      <w:bCs/>
                      <w:sz w:val="21"/>
                      <w:szCs w:val="21"/>
                    </w:rPr>
                    <w:t>三级化粪池</w:t>
                  </w:r>
                </w:p>
              </w:tc>
              <w:tc>
                <w:tcPr>
                  <w:tcW w:w="1599" w:type="dxa"/>
                  <w:shd w:val="clear" w:color="auto" w:fill="auto"/>
                  <w:vAlign w:val="center"/>
                </w:tcPr>
                <w:p>
                  <w:pPr>
                    <w:spacing w:before="120" w:beforeLines="0" w:line="312" w:lineRule="auto"/>
                    <w:ind w:firstLine="0" w:firstLineChars="0"/>
                    <w:jc w:val="center"/>
                    <w:rPr>
                      <w:bCs/>
                      <w:sz w:val="21"/>
                      <w:szCs w:val="21"/>
                    </w:rPr>
                  </w:pPr>
                  <w:r>
                    <w:rPr>
                      <w:bCs/>
                      <w:sz w:val="21"/>
                      <w:szCs w:val="21"/>
                    </w:rPr>
                    <w:t>3.5</w:t>
                  </w:r>
                </w:p>
              </w:tc>
              <w:tc>
                <w:tcPr>
                  <w:tcW w:w="1599" w:type="dxa"/>
                  <w:shd w:val="clear" w:color="auto" w:fill="auto"/>
                  <w:vAlign w:val="center"/>
                </w:tcPr>
                <w:p>
                  <w:pPr>
                    <w:spacing w:before="120" w:beforeLines="0" w:line="312" w:lineRule="auto"/>
                    <w:ind w:firstLine="0" w:firstLineChars="0"/>
                    <w:jc w:val="center"/>
                    <w:rPr>
                      <w:bCs/>
                      <w:sz w:val="21"/>
                      <w:szCs w:val="21"/>
                    </w:rPr>
                  </w:pPr>
                  <w:r>
                    <w:rPr>
                      <w:bCs/>
                      <w:sz w:val="21"/>
                      <w:szCs w:val="21"/>
                    </w:rPr>
                    <w:t>0.04</w:t>
                  </w:r>
                </w:p>
              </w:tc>
              <w:tc>
                <w:tcPr>
                  <w:tcW w:w="1562" w:type="dxa"/>
                  <w:shd w:val="clear" w:color="auto" w:fill="auto"/>
                  <w:vAlign w:val="center"/>
                </w:tcPr>
                <w:p>
                  <w:pPr>
                    <w:spacing w:before="120" w:beforeLines="0" w:line="312" w:lineRule="auto"/>
                    <w:ind w:firstLine="0" w:firstLineChars="0"/>
                    <w:jc w:val="center"/>
                    <w:rPr>
                      <w:bCs/>
                      <w:sz w:val="21"/>
                      <w:szCs w:val="21"/>
                    </w:rPr>
                  </w:pPr>
                  <w:r>
                    <w:rPr>
                      <w:bCs/>
                      <w:sz w:val="21"/>
                      <w:szCs w:val="21"/>
                    </w:rPr>
                    <w:t>90</w:t>
                  </w:r>
                </w:p>
              </w:tc>
              <w:tc>
                <w:tcPr>
                  <w:tcW w:w="1635" w:type="dxa"/>
                  <w:shd w:val="clear" w:color="auto" w:fill="auto"/>
                  <w:vAlign w:val="center"/>
                </w:tcPr>
                <w:p>
                  <w:pPr>
                    <w:spacing w:before="120" w:beforeLines="0" w:line="312" w:lineRule="auto"/>
                    <w:ind w:firstLine="0" w:firstLineChars="0"/>
                    <w:jc w:val="center"/>
                    <w:rPr>
                      <w:bCs/>
                      <w:sz w:val="21"/>
                      <w:szCs w:val="21"/>
                    </w:rPr>
                  </w:pPr>
                  <w:r>
                    <w:rPr>
                      <w:bCs/>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04" w:type="dxa"/>
                  <w:shd w:val="clear" w:color="auto" w:fill="auto"/>
                  <w:vAlign w:val="center"/>
                </w:tcPr>
                <w:p>
                  <w:pPr>
                    <w:spacing w:before="120" w:beforeLines="0" w:line="312" w:lineRule="auto"/>
                    <w:ind w:firstLine="0" w:firstLineChars="0"/>
                    <w:jc w:val="center"/>
                    <w:rPr>
                      <w:bCs/>
                      <w:sz w:val="21"/>
                      <w:szCs w:val="21"/>
                    </w:rPr>
                  </w:pPr>
                  <w:r>
                    <w:rPr>
                      <w:bCs/>
                      <w:sz w:val="21"/>
                      <w:szCs w:val="21"/>
                    </w:rPr>
                    <w:t>污水处理站</w:t>
                  </w:r>
                </w:p>
              </w:tc>
              <w:tc>
                <w:tcPr>
                  <w:tcW w:w="1599" w:type="dxa"/>
                  <w:shd w:val="clear" w:color="auto" w:fill="auto"/>
                  <w:vAlign w:val="center"/>
                </w:tcPr>
                <w:p>
                  <w:pPr>
                    <w:spacing w:before="120" w:beforeLines="0" w:line="312" w:lineRule="auto"/>
                    <w:ind w:firstLine="0" w:firstLineChars="0"/>
                    <w:jc w:val="center"/>
                    <w:rPr>
                      <w:bCs/>
                      <w:sz w:val="21"/>
                      <w:szCs w:val="21"/>
                    </w:rPr>
                  </w:pPr>
                  <w:r>
                    <w:rPr>
                      <w:rFonts w:hint="eastAsia"/>
                      <w:bCs/>
                      <w:sz w:val="21"/>
                      <w:szCs w:val="21"/>
                    </w:rPr>
                    <w:t>100</w:t>
                  </w:r>
                </w:p>
              </w:tc>
              <w:tc>
                <w:tcPr>
                  <w:tcW w:w="1599" w:type="dxa"/>
                  <w:shd w:val="clear" w:color="auto" w:fill="auto"/>
                  <w:vAlign w:val="center"/>
                </w:tcPr>
                <w:p>
                  <w:pPr>
                    <w:spacing w:before="120" w:beforeLines="0" w:line="312" w:lineRule="auto"/>
                    <w:ind w:firstLine="0" w:firstLineChars="0"/>
                    <w:jc w:val="center"/>
                    <w:rPr>
                      <w:bCs/>
                      <w:sz w:val="21"/>
                      <w:szCs w:val="21"/>
                    </w:rPr>
                  </w:pPr>
                  <w:r>
                    <w:rPr>
                      <w:rFonts w:hint="eastAsia"/>
                      <w:bCs/>
                      <w:sz w:val="21"/>
                      <w:szCs w:val="21"/>
                    </w:rPr>
                    <w:t>30.95</w:t>
                  </w:r>
                </w:p>
              </w:tc>
              <w:tc>
                <w:tcPr>
                  <w:tcW w:w="1562" w:type="dxa"/>
                  <w:shd w:val="clear" w:color="auto" w:fill="auto"/>
                  <w:vAlign w:val="center"/>
                </w:tcPr>
                <w:p>
                  <w:pPr>
                    <w:spacing w:before="120" w:beforeLines="0" w:line="312" w:lineRule="auto"/>
                    <w:ind w:firstLine="0" w:firstLineChars="0"/>
                    <w:jc w:val="center"/>
                    <w:rPr>
                      <w:bCs/>
                      <w:sz w:val="21"/>
                      <w:szCs w:val="21"/>
                    </w:rPr>
                  </w:pPr>
                  <w:r>
                    <w:rPr>
                      <w:bCs/>
                      <w:sz w:val="21"/>
                      <w:szCs w:val="21"/>
                    </w:rPr>
                    <w:t>60</w:t>
                  </w:r>
                </w:p>
              </w:tc>
              <w:tc>
                <w:tcPr>
                  <w:tcW w:w="1635" w:type="dxa"/>
                  <w:shd w:val="clear" w:color="auto" w:fill="auto"/>
                  <w:vAlign w:val="center"/>
                </w:tcPr>
                <w:p>
                  <w:pPr>
                    <w:spacing w:before="120" w:beforeLines="0" w:line="312" w:lineRule="auto"/>
                    <w:ind w:firstLine="0" w:firstLineChars="0"/>
                    <w:jc w:val="center"/>
                    <w:rPr>
                      <w:bCs/>
                      <w:sz w:val="21"/>
                      <w:szCs w:val="21"/>
                    </w:rPr>
                  </w:pPr>
                  <w:r>
                    <w:rPr>
                      <w:rFonts w:hint="eastAsia"/>
                      <w:bCs/>
                      <w:sz w:val="21"/>
                      <w:szCs w:val="21"/>
                    </w:rPr>
                    <w:t>77.38</w:t>
                  </w:r>
                </w:p>
              </w:tc>
            </w:tr>
          </w:tbl>
          <w:p>
            <w:pPr>
              <w:spacing w:before="120"/>
              <w:ind w:firstLine="480"/>
              <w:rPr>
                <w:bCs/>
              </w:rPr>
            </w:pPr>
            <w:r>
              <w:rPr>
                <w:bCs/>
                <w:szCs w:val="21"/>
              </w:rPr>
              <w:t>本项目污水处理产生的污泥总量约为</w:t>
            </w:r>
            <w:r>
              <w:rPr>
                <w:rFonts w:hint="eastAsia"/>
                <w:bCs/>
                <w:szCs w:val="21"/>
              </w:rPr>
              <w:t>77.78</w:t>
            </w:r>
            <w:r>
              <w:rPr>
                <w:bCs/>
                <w:szCs w:val="21"/>
              </w:rPr>
              <w:t>/a，污泥中不含有毒有害的物质，</w:t>
            </w:r>
            <w:r>
              <w:rPr>
                <w:rFonts w:hint="eastAsia"/>
                <w:bCs/>
                <w:szCs w:val="21"/>
              </w:rPr>
              <w:t>定期交有处理能力单位回收利用</w:t>
            </w:r>
            <w:r>
              <w:rPr>
                <w:bCs/>
                <w:szCs w:val="21"/>
              </w:rPr>
              <w:t>。</w:t>
            </w:r>
          </w:p>
          <w:p>
            <w:pPr>
              <w:spacing w:before="120"/>
              <w:ind w:firstLine="480"/>
              <w:rPr>
                <w:bCs/>
              </w:rPr>
            </w:pPr>
            <w:r>
              <w:rPr>
                <w:rFonts w:hint="eastAsia" w:ascii="宋体" w:hAnsi="宋体" w:cs="宋体"/>
                <w:bCs/>
                <w:szCs w:val="21"/>
              </w:rPr>
              <w:t>③</w:t>
            </w:r>
            <w:r>
              <w:rPr>
                <w:rFonts w:hint="eastAsia"/>
                <w:bCs/>
              </w:rPr>
              <w:t>粪便及胃容物：根据物料平衡，本项目待宰栏内牛粪便按1.5kg/头·d计、羊粪便按0.15kg/头·d计算，则项目产生粪便为</w:t>
            </w:r>
            <w:r>
              <w:rPr>
                <w:bCs/>
              </w:rPr>
              <w:t>10.24</w:t>
            </w:r>
            <w:r>
              <w:rPr>
                <w:rFonts w:hint="eastAsia"/>
                <w:bCs/>
              </w:rPr>
              <w:t>t/a；牛胃容物产生量按平均0.2kg/头计、羊胃容物产生量按平均0.05kg/头计，则产生胃容物</w:t>
            </w:r>
            <w:r>
              <w:rPr>
                <w:bCs/>
              </w:rPr>
              <w:t>2.8</w:t>
            </w:r>
            <w:r>
              <w:rPr>
                <w:rFonts w:hint="eastAsia"/>
                <w:bCs/>
              </w:rPr>
              <w:t>9t/a；日产日清，待宰栏处每天人工将粪便清理后外运至有机肥厂，用高压水枪对待宰栏清洗后污水汇集至废水处理站处理，同时每天对待宰栏喷洒多遍除臭剂。</w:t>
            </w:r>
          </w:p>
          <w:p>
            <w:pPr>
              <w:spacing w:before="120"/>
              <w:ind w:firstLine="480"/>
              <w:rPr>
                <w:bCs/>
                <w:szCs w:val="21"/>
              </w:rPr>
            </w:pPr>
            <w:r>
              <w:rPr>
                <w:rFonts w:hint="eastAsia" w:ascii="宋体" w:hAnsi="宋体" w:cs="宋体"/>
                <w:bCs/>
                <w:szCs w:val="21"/>
              </w:rPr>
              <w:t>④</w:t>
            </w:r>
            <w:r>
              <w:rPr>
                <w:rFonts w:hint="eastAsia"/>
                <w:bCs/>
                <w:szCs w:val="21"/>
              </w:rPr>
              <w:t>检疫不合格品：本项目屠宰的肉牛均重500kg，屠宰的肉羊均重50kg，单只肉牛的不可食用及病变部位1kg，单只肉羊的0.1kg，本项目年屠宰牛只1750头、羊5</w:t>
            </w:r>
            <w:r>
              <w:rPr>
                <w:bCs/>
                <w:szCs w:val="21"/>
              </w:rPr>
              <w:t>0</w:t>
            </w:r>
            <w:r>
              <w:rPr>
                <w:rFonts w:hint="eastAsia"/>
                <w:bCs/>
                <w:szCs w:val="21"/>
              </w:rPr>
              <w:t>7</w:t>
            </w:r>
            <w:r>
              <w:rPr>
                <w:bCs/>
                <w:szCs w:val="21"/>
              </w:rPr>
              <w:t>5</w:t>
            </w:r>
            <w:r>
              <w:rPr>
                <w:rFonts w:hint="eastAsia"/>
                <w:bCs/>
                <w:szCs w:val="21"/>
              </w:rPr>
              <w:t>0头，不可食用部位中，牛为1</w:t>
            </w:r>
            <w:r>
              <w:rPr>
                <w:bCs/>
                <w:szCs w:val="21"/>
              </w:rPr>
              <w:t>.75</w:t>
            </w:r>
            <w:r>
              <w:rPr>
                <w:rFonts w:hint="eastAsia"/>
                <w:bCs/>
                <w:szCs w:val="21"/>
              </w:rPr>
              <w:t>t/a，羊为5</w:t>
            </w:r>
            <w:r>
              <w:rPr>
                <w:bCs/>
                <w:szCs w:val="21"/>
              </w:rPr>
              <w:t>.08</w:t>
            </w:r>
            <w:r>
              <w:rPr>
                <w:rFonts w:hint="eastAsia"/>
                <w:bCs/>
                <w:szCs w:val="21"/>
              </w:rPr>
              <w:t>t/a，合计6.</w:t>
            </w:r>
            <w:r>
              <w:rPr>
                <w:bCs/>
                <w:szCs w:val="21"/>
              </w:rPr>
              <w:t>83</w:t>
            </w:r>
            <w:r>
              <w:rPr>
                <w:rFonts w:hint="eastAsia"/>
                <w:bCs/>
                <w:szCs w:val="21"/>
              </w:rPr>
              <w:t>t/a，</w:t>
            </w:r>
          </w:p>
          <w:p>
            <w:pPr>
              <w:spacing w:before="120"/>
              <w:ind w:firstLine="480"/>
              <w:rPr>
                <w:bCs/>
                <w:szCs w:val="21"/>
              </w:rPr>
            </w:pPr>
            <w:r>
              <w:rPr>
                <w:bCs/>
                <w:szCs w:val="21"/>
              </w:rPr>
              <w:t>病死牛羊：</w:t>
            </w:r>
            <w:r>
              <w:rPr>
                <w:rFonts w:hint="eastAsia"/>
                <w:bCs/>
                <w:szCs w:val="21"/>
              </w:rPr>
              <w:t>一般进场屠宰的牲畜疫病率0.01-0.05%，本项目取0.03%，年均无害化处理</w:t>
            </w:r>
            <w:r>
              <w:rPr>
                <w:bCs/>
                <w:szCs w:val="21"/>
              </w:rPr>
              <w:t>1</w:t>
            </w:r>
            <w:r>
              <w:rPr>
                <w:rFonts w:hint="eastAsia"/>
                <w:bCs/>
                <w:szCs w:val="21"/>
              </w:rPr>
              <w:t>头牛，1</w:t>
            </w:r>
            <w:r>
              <w:rPr>
                <w:bCs/>
                <w:szCs w:val="21"/>
              </w:rPr>
              <w:t>5</w:t>
            </w:r>
            <w:r>
              <w:rPr>
                <w:rFonts w:hint="eastAsia"/>
                <w:bCs/>
                <w:szCs w:val="21"/>
              </w:rPr>
              <w:t>只羊，疫畜中牛0.</w:t>
            </w:r>
            <w:r>
              <w:rPr>
                <w:bCs/>
                <w:szCs w:val="21"/>
              </w:rPr>
              <w:t>5t</w:t>
            </w:r>
            <w:r>
              <w:rPr>
                <w:rFonts w:hint="eastAsia"/>
                <w:bCs/>
                <w:szCs w:val="21"/>
              </w:rPr>
              <w:t xml:space="preserve"> /a，羊0.</w:t>
            </w:r>
            <w:r>
              <w:rPr>
                <w:bCs/>
                <w:szCs w:val="21"/>
              </w:rPr>
              <w:t>75</w:t>
            </w:r>
            <w:r>
              <w:rPr>
                <w:rFonts w:hint="eastAsia"/>
                <w:bCs/>
                <w:szCs w:val="21"/>
              </w:rPr>
              <w:t>t/a。</w:t>
            </w:r>
          </w:p>
          <w:p>
            <w:pPr>
              <w:spacing w:before="120"/>
              <w:ind w:firstLine="480"/>
              <w:rPr>
                <w:bCs/>
                <w:szCs w:val="21"/>
              </w:rPr>
            </w:pPr>
            <w:r>
              <w:rPr>
                <w:rFonts w:hint="eastAsia"/>
                <w:bCs/>
                <w:szCs w:val="21"/>
              </w:rPr>
              <w:t>检疫不合格品与病死牛羊全部无害化处理量为</w:t>
            </w:r>
            <w:r>
              <w:rPr>
                <w:bCs/>
                <w:szCs w:val="21"/>
              </w:rPr>
              <w:t>8.08</w:t>
            </w:r>
            <w:r>
              <w:rPr>
                <w:rFonts w:hint="eastAsia"/>
                <w:bCs/>
                <w:szCs w:val="21"/>
              </w:rPr>
              <w:t>t/a。经收集后送至无害化处理车间处理，</w:t>
            </w:r>
            <w:r>
              <w:rPr>
                <w:rFonts w:hint="eastAsia"/>
              </w:rPr>
              <w:t>本项目无害化处理为高温降解干法化制，工艺原理为病死</w:t>
            </w:r>
            <w:r>
              <w:t>牲畜及屠宰废物</w:t>
            </w:r>
            <w:r>
              <w:rPr>
                <w:rFonts w:hint="eastAsia"/>
              </w:rPr>
              <w:t>等破碎后送入密闭容器内，通过电加热对动物进行干法化制处理，并对产生的动物脂肪和干燥的动物蛋白等稳定的灭菌产物进行后续处理的处置技术。日产日清，送至有机肥厂制有机肥。</w:t>
            </w:r>
          </w:p>
          <w:bookmarkEnd w:id="27"/>
          <w:p>
            <w:pPr>
              <w:spacing w:before="120"/>
              <w:ind w:firstLine="480"/>
              <w:rPr>
                <w:bCs/>
              </w:rPr>
            </w:pPr>
            <w:r>
              <w:rPr>
                <w:bCs/>
              </w:rPr>
              <w:t>（2）</w:t>
            </w:r>
            <w:r>
              <w:rPr>
                <w:rFonts w:hint="eastAsia"/>
                <w:bCs/>
              </w:rPr>
              <w:t>危险废物</w:t>
            </w:r>
          </w:p>
          <w:p>
            <w:pPr>
              <w:spacing w:before="120"/>
              <w:ind w:firstLine="480"/>
              <w:rPr>
                <w:bCs/>
              </w:rPr>
            </w:pPr>
            <w:r>
              <w:rPr>
                <w:rFonts w:hint="eastAsia"/>
                <w:bCs/>
              </w:rPr>
              <w:t>本项目危险废物主要是检疫废物，检疫废物是检测人员通过抽检方式对内脏进行取样检测后产生的废物，取样规格为50g/次，每班约检测</w:t>
            </w:r>
            <w:r>
              <w:rPr>
                <w:bCs/>
              </w:rPr>
              <w:t>4</w:t>
            </w:r>
            <w:r>
              <w:rPr>
                <w:rFonts w:hint="eastAsia"/>
                <w:bCs/>
              </w:rPr>
              <w:t>次，则检疫废物产生量为</w:t>
            </w:r>
            <w:r>
              <w:rPr>
                <w:bCs/>
              </w:rPr>
              <w:t>0.2</w:t>
            </w:r>
            <w:r>
              <w:rPr>
                <w:rFonts w:hint="eastAsia"/>
                <w:bCs/>
              </w:rPr>
              <w:t>kg/d，合 0.</w:t>
            </w:r>
            <w:r>
              <w:rPr>
                <w:bCs/>
              </w:rPr>
              <w:t>07</w:t>
            </w:r>
            <w:r>
              <w:rPr>
                <w:rFonts w:hint="eastAsia"/>
                <w:bCs/>
              </w:rPr>
              <w:t>t/a。根据《国家危险废物名录》（2021 年版），检疫废物属于危险废物，类别为 HW01 其他废物，代码为841-005-01。检疫废物收集后暂存于危废暂存间，定期交有相应资质单位处置。</w:t>
            </w:r>
          </w:p>
          <w:p>
            <w:pPr>
              <w:spacing w:before="120"/>
              <w:ind w:firstLine="480"/>
              <w:rPr>
                <w:bCs/>
              </w:rPr>
            </w:pPr>
            <w:r>
              <w:rPr>
                <w:rFonts w:hint="eastAsia"/>
                <w:bCs/>
              </w:rPr>
              <w:t>危险废物环境影响：</w:t>
            </w:r>
          </w:p>
          <w:p>
            <w:pPr>
              <w:spacing w:before="120"/>
              <w:ind w:firstLine="480"/>
              <w:rPr>
                <w:bCs/>
              </w:rPr>
            </w:pPr>
            <w:r>
              <w:rPr>
                <w:rFonts w:hint="eastAsia"/>
                <w:bCs/>
              </w:rPr>
              <w:t>根据《建设项目危险废物环境影响评价指南》，危险废物环境影响分析主要从以下几方面分析：</w:t>
            </w:r>
          </w:p>
          <w:p>
            <w:pPr>
              <w:spacing w:before="120"/>
              <w:ind w:firstLine="480"/>
              <w:rPr>
                <w:bCs/>
              </w:rPr>
            </w:pPr>
            <w:r>
              <w:rPr>
                <w:rFonts w:hint="eastAsia"/>
                <w:bCs/>
              </w:rPr>
              <w:t>A、危险废物贮存场所（设施）环境影响分析</w:t>
            </w:r>
          </w:p>
          <w:p>
            <w:pPr>
              <w:spacing w:before="120"/>
              <w:ind w:firstLine="480"/>
              <w:rPr>
                <w:bCs/>
              </w:rPr>
            </w:pPr>
            <w:r>
              <w:rPr>
                <w:rFonts w:hint="eastAsia"/>
                <w:bCs/>
              </w:rPr>
              <w:t>根据《危险废物贮存污染控制标准》（GB18597-2001）（2013年修订），本项目产生的危险废物需建设专用的危险废物贮存设施，必须使之稳定后贮存，盛装危险废物的容器必须粘贴符合《危险废物贮存污染控制标准》（GB18597）及其修改单附录A所示的标签。</w:t>
            </w:r>
          </w:p>
          <w:p>
            <w:pPr>
              <w:spacing w:before="120"/>
              <w:ind w:firstLine="480"/>
              <w:rPr>
                <w:bCs/>
              </w:rPr>
            </w:pPr>
            <w:r>
              <w:rPr>
                <w:rFonts w:hint="eastAsia"/>
                <w:bCs/>
              </w:rPr>
              <w:t>本项目危险废物暂存间一间，可满足危险废物的暂存要求。</w:t>
            </w:r>
          </w:p>
          <w:p>
            <w:pPr>
              <w:spacing w:before="120"/>
              <w:ind w:firstLine="480"/>
              <w:rPr>
                <w:bCs/>
              </w:rPr>
            </w:pPr>
            <w:r>
              <w:rPr>
                <w:rFonts w:hint="eastAsia"/>
                <w:bCs/>
              </w:rPr>
              <w:t>厂区内危险废物暂存间应按《危险废物贮存污染控制》（GB18597-2001）（2013年修订）要求设置，要求做到以下几点：</w:t>
            </w:r>
          </w:p>
          <w:p>
            <w:pPr>
              <w:spacing w:before="120"/>
              <w:ind w:firstLine="480"/>
              <w:rPr>
                <w:bCs/>
              </w:rPr>
            </w:pPr>
            <w:r>
              <w:rPr>
                <w:rFonts w:hint="eastAsia"/>
                <w:bCs/>
              </w:rPr>
              <w:t>①废物贮存设施必须按《环境保护图形标志》（GB15562-1995）的规定设置警示标志；</w:t>
            </w:r>
          </w:p>
          <w:p>
            <w:pPr>
              <w:spacing w:before="120"/>
              <w:ind w:firstLine="480"/>
              <w:rPr>
                <w:bCs/>
              </w:rPr>
            </w:pPr>
            <w:r>
              <w:rPr>
                <w:rFonts w:hint="eastAsia"/>
                <w:bCs/>
              </w:rPr>
              <w:t>②废物贮存设施周围应设置围墙或其它防护栅栏，液体废物储存位置应设置围堰；</w:t>
            </w:r>
          </w:p>
          <w:p>
            <w:pPr>
              <w:spacing w:before="120"/>
              <w:ind w:firstLine="480"/>
              <w:rPr>
                <w:bCs/>
              </w:rPr>
            </w:pPr>
            <w:r>
              <w:rPr>
                <w:rFonts w:hint="eastAsia"/>
                <w:bCs/>
              </w:rPr>
              <w:t>③应配备通讯设备、照明设施、安全防护服装及工具，并设有应急防护设施；</w:t>
            </w:r>
          </w:p>
          <w:p>
            <w:pPr>
              <w:spacing w:before="120"/>
              <w:ind w:firstLine="480"/>
              <w:rPr>
                <w:bCs/>
              </w:rPr>
            </w:pPr>
            <w:r>
              <w:rPr>
                <w:rFonts w:hint="eastAsia"/>
                <w:bCs/>
              </w:rPr>
              <w:t>④废物贮存设施内清理出来的泄漏物，一律按危险废物处理：</w:t>
            </w:r>
          </w:p>
          <w:p>
            <w:pPr>
              <w:spacing w:before="120"/>
              <w:ind w:firstLine="480"/>
              <w:rPr>
                <w:bCs/>
              </w:rPr>
            </w:pPr>
            <w:r>
              <w:rPr>
                <w:rFonts w:hint="eastAsia"/>
                <w:bCs/>
              </w:rPr>
              <w:t>⑤危险废物暂存间防渗应满足以下要求：堆放危险废物的高度应根据地面承载能力确定，衬里放在一个基础成底座上，衬里要能够覆盖危险废物或其溶出物可能牵涉到的范围，衬里材料与堆放危险废物兼容、设置浸出液收集清除系统；贮存区符合消防要求；地面与裙脚要用坚固、防渗的材料建造，建筑材料必须与危险废物兼容；基础防渗层为至少lm原粘土层（渗透系数1×107cm/s），或2mm厚高密度聚乙烯，或至少2mm厚的其他人工材料，渗透系数1×1010cm/s。</w:t>
            </w:r>
          </w:p>
          <w:p>
            <w:pPr>
              <w:spacing w:before="120"/>
              <w:ind w:firstLine="480"/>
              <w:rPr>
                <w:bCs/>
              </w:rPr>
            </w:pPr>
            <w:r>
              <w:rPr>
                <w:rFonts w:hint="eastAsia"/>
                <w:bCs/>
              </w:rPr>
              <w:t>通过上述措施处理后，建设项目产生的危险废物均可得到有效的处理处置，不产生二次污染，对周围环境影响较小。</w:t>
            </w:r>
          </w:p>
          <w:p>
            <w:pPr>
              <w:spacing w:before="120"/>
              <w:ind w:firstLine="480"/>
              <w:rPr>
                <w:bCs/>
              </w:rPr>
            </w:pPr>
            <w:r>
              <w:rPr>
                <w:rFonts w:hint="eastAsia"/>
                <w:bCs/>
              </w:rPr>
              <w:t>B、危废转移的环境影响分析</w:t>
            </w:r>
          </w:p>
          <w:p>
            <w:pPr>
              <w:spacing w:before="120"/>
              <w:ind w:firstLine="480"/>
              <w:rPr>
                <w:bCs/>
              </w:rPr>
            </w:pPr>
            <w:r>
              <w:rPr>
                <w:rFonts w:hint="eastAsia"/>
                <w:bCs/>
              </w:rPr>
              <w:t>对于危险废物的收集和管理，建设单位应委派专人负责，认真执行转移联单制度。做好每次外运处置废弃物的运输登记，认真填写危险废物转移联单（每种废物填写一份联单）。</w:t>
            </w:r>
          </w:p>
          <w:p>
            <w:pPr>
              <w:spacing w:before="120"/>
              <w:ind w:firstLine="480"/>
              <w:rPr>
                <w:bCs/>
              </w:rPr>
            </w:pPr>
            <w:r>
              <w:rPr>
                <w:rFonts w:hint="eastAsia"/>
                <w:bCs/>
              </w:rPr>
              <w:t>C、委托有资质单位利用或处理处置的环境影响性分析</w:t>
            </w:r>
          </w:p>
          <w:p>
            <w:pPr>
              <w:spacing w:before="120"/>
              <w:ind w:firstLine="480"/>
              <w:rPr>
                <w:bCs/>
              </w:rPr>
            </w:pPr>
            <w:r>
              <w:rPr>
                <w:rFonts w:hint="eastAsia"/>
                <w:bCs/>
              </w:rPr>
              <w:t>本项目产生的危险废物将委托有资质单位进行集中处理，做到合理处置，将对环境的危害降到最低。</w:t>
            </w:r>
          </w:p>
          <w:p>
            <w:pPr>
              <w:spacing w:before="120"/>
              <w:ind w:firstLine="480"/>
              <w:rPr>
                <w:bCs/>
              </w:rPr>
            </w:pPr>
            <w:r>
              <w:rPr>
                <w:rFonts w:hint="eastAsia"/>
                <w:bCs/>
              </w:rPr>
              <w:t>综上，在采取相应处理处置措施后，本项目固体废物不会对区域环境造成明显影响。</w:t>
            </w:r>
          </w:p>
          <w:p>
            <w:pPr>
              <w:spacing w:before="120"/>
              <w:ind w:firstLine="480"/>
              <w:rPr>
                <w:bCs/>
              </w:rPr>
            </w:pPr>
            <w:r>
              <w:rPr>
                <w:rFonts w:hint="eastAsia"/>
                <w:bCs/>
              </w:rPr>
              <w:t>（3）环境管理要求</w:t>
            </w:r>
          </w:p>
          <w:p>
            <w:pPr>
              <w:spacing w:before="120"/>
              <w:ind w:firstLine="480"/>
              <w:rPr>
                <w:bCs/>
              </w:rPr>
            </w:pPr>
            <w:r>
              <w:rPr>
                <w:rFonts w:hint="eastAsia"/>
                <w:bCs/>
              </w:rPr>
              <w:t>本项目一般固废执行《一般工业固体废物贮存和填埋污染控制标准》（GB18599-2020）和《一般固体废物分类与代码》（GB/T39198-2020）。</w:t>
            </w:r>
          </w:p>
          <w:p>
            <w:pPr>
              <w:spacing w:before="120"/>
              <w:ind w:firstLine="480"/>
              <w:rPr>
                <w:bCs/>
              </w:rPr>
            </w:pPr>
            <w:r>
              <w:rPr>
                <w:rFonts w:hint="eastAsia"/>
                <w:bCs/>
              </w:rPr>
              <w:t>危险废物执行《危险废物贮存污染控制标准》（GB/T39198-2001）及2013年修改单。</w:t>
            </w:r>
          </w:p>
          <w:p>
            <w:pPr>
              <w:spacing w:before="120"/>
              <w:ind w:firstLine="480"/>
              <w:rPr>
                <w:bCs/>
              </w:rPr>
            </w:pPr>
            <w:r>
              <w:rPr>
                <w:rFonts w:hint="eastAsia"/>
                <w:bCs/>
              </w:rPr>
              <w:t>（4）固体废物影响分析</w:t>
            </w:r>
          </w:p>
          <w:p>
            <w:pPr>
              <w:spacing w:before="120"/>
              <w:ind w:firstLine="480"/>
              <w:rPr>
                <w:bCs/>
              </w:rPr>
            </w:pPr>
            <w:r>
              <w:rPr>
                <w:rFonts w:hint="eastAsia"/>
                <w:bCs/>
              </w:rPr>
              <w:t>经上述分析，本项目固体废物在落实相关处理措施后，对周围环境影响较小，在可接受的范围内。</w:t>
            </w:r>
          </w:p>
          <w:p>
            <w:pPr>
              <w:spacing w:before="120"/>
              <w:ind w:firstLine="482"/>
              <w:rPr>
                <w:b/>
                <w:szCs w:val="20"/>
              </w:rPr>
            </w:pPr>
            <w:r>
              <w:rPr>
                <w:b/>
                <w:szCs w:val="20"/>
              </w:rPr>
              <w:t>5、地下水、土壤</w:t>
            </w:r>
          </w:p>
          <w:p>
            <w:pPr>
              <w:spacing w:before="120"/>
              <w:ind w:firstLine="480"/>
              <w:rPr>
                <w:bCs/>
                <w:color w:val="000000"/>
                <w:szCs w:val="21"/>
              </w:rPr>
            </w:pPr>
            <w:r>
              <w:rPr>
                <w:bCs/>
                <w:color w:val="000000"/>
                <w:szCs w:val="21"/>
              </w:rPr>
              <w:t>本项目可能对地下水、土壤造成影响的途径为车间地面破损，容器破损，</w:t>
            </w:r>
            <w:r>
              <w:rPr>
                <w:rFonts w:hint="eastAsia"/>
                <w:bCs/>
                <w:color w:val="000000"/>
                <w:szCs w:val="21"/>
              </w:rPr>
              <w:t>盐酸、氯酸纳</w:t>
            </w:r>
            <w:r>
              <w:rPr>
                <w:bCs/>
                <w:color w:val="000000"/>
                <w:szCs w:val="21"/>
              </w:rPr>
              <w:t>等泄漏后发生渗透。</w:t>
            </w:r>
          </w:p>
          <w:p>
            <w:pPr>
              <w:spacing w:before="120"/>
              <w:ind w:firstLine="480"/>
              <w:rPr>
                <w:bCs/>
                <w:color w:val="000000"/>
                <w:szCs w:val="21"/>
              </w:rPr>
            </w:pPr>
            <w:r>
              <w:rPr>
                <w:bCs/>
                <w:color w:val="000000"/>
                <w:szCs w:val="21"/>
              </w:rPr>
              <w:t>为防止项目运营对区域地下水和土壤环境造成污染，要求项目从</w:t>
            </w:r>
            <w:r>
              <w:rPr>
                <w:rFonts w:hint="eastAsia"/>
                <w:bCs/>
                <w:color w:val="000000"/>
                <w:szCs w:val="21"/>
              </w:rPr>
              <w:t>辅料</w:t>
            </w:r>
            <w:r>
              <w:rPr>
                <w:bCs/>
                <w:color w:val="000000"/>
                <w:szCs w:val="21"/>
              </w:rPr>
              <w:t>储存、生产过程、污染处理等全过程控制各种</w:t>
            </w:r>
            <w:r>
              <w:rPr>
                <w:rFonts w:hint="eastAsia"/>
                <w:bCs/>
                <w:color w:val="000000"/>
                <w:szCs w:val="21"/>
              </w:rPr>
              <w:t>化学</w:t>
            </w:r>
            <w:r>
              <w:rPr>
                <w:bCs/>
                <w:color w:val="000000"/>
                <w:szCs w:val="21"/>
              </w:rPr>
              <w:t>辅料（含跑、冒、滴、漏），同时对污染物可能泄漏到地下的区域（</w:t>
            </w:r>
            <w:r>
              <w:rPr>
                <w:rFonts w:hint="eastAsia"/>
                <w:bCs/>
                <w:color w:val="000000"/>
                <w:szCs w:val="21"/>
              </w:rPr>
              <w:t>废</w:t>
            </w:r>
            <w:r>
              <w:rPr>
                <w:bCs/>
                <w:color w:val="000000"/>
                <w:szCs w:val="21"/>
              </w:rPr>
              <w:t>水处理站）采取防渗措施，阻止其渗入土壤和地下水中，即从源头到末端全方位采取控制措施。</w:t>
            </w:r>
          </w:p>
          <w:p>
            <w:pPr>
              <w:snapToGrid w:val="0"/>
              <w:spacing w:before="120"/>
              <w:ind w:firstLine="480"/>
              <w:rPr>
                <w:bCs/>
                <w:color w:val="000000"/>
                <w:szCs w:val="21"/>
              </w:rPr>
            </w:pPr>
            <w:r>
              <w:rPr>
                <w:bCs/>
                <w:color w:val="000000"/>
                <w:szCs w:val="21"/>
              </w:rPr>
              <w:t>企业坚持分区管理和控制原则，</w:t>
            </w:r>
            <w:r>
              <w:rPr>
                <w:bCs/>
                <w:color w:val="000000"/>
              </w:rPr>
              <w:t>将</w:t>
            </w:r>
            <w:r>
              <w:rPr>
                <w:rFonts w:hint="eastAsia"/>
                <w:bCs/>
                <w:color w:val="000000"/>
              </w:rPr>
              <w:t>危废间</w:t>
            </w:r>
            <w:r>
              <w:rPr>
                <w:bCs/>
                <w:color w:val="000000"/>
              </w:rPr>
              <w:t>、</w:t>
            </w:r>
            <w:r>
              <w:rPr>
                <w:rFonts w:hint="eastAsia"/>
                <w:bCs/>
                <w:color w:val="000000"/>
              </w:rPr>
              <w:t>废水站</w:t>
            </w:r>
            <w:r>
              <w:rPr>
                <w:bCs/>
                <w:color w:val="000000"/>
              </w:rPr>
              <w:t>设为重点污染防护区，将一般固体废物暂存区</w:t>
            </w:r>
            <w:r>
              <w:rPr>
                <w:rFonts w:hint="eastAsia"/>
                <w:bCs/>
                <w:color w:val="000000"/>
              </w:rPr>
              <w:t>、生产车间及三级化粪池</w:t>
            </w:r>
            <w:r>
              <w:rPr>
                <w:bCs/>
                <w:color w:val="000000"/>
              </w:rPr>
              <w:t>设为一般污染防护区。项目拟采用的分区防护措施如下：</w:t>
            </w:r>
          </w:p>
          <w:p>
            <w:pPr>
              <w:snapToGrid w:val="0"/>
              <w:spacing w:before="120"/>
              <w:ind w:firstLine="422"/>
              <w:jc w:val="center"/>
              <w:rPr>
                <w:b/>
                <w:sz w:val="21"/>
              </w:rPr>
            </w:pPr>
            <w:r>
              <w:rPr>
                <w:b/>
                <w:sz w:val="21"/>
              </w:rPr>
              <w:t>表4-17  项目分区防护情况一览表</w:t>
            </w:r>
          </w:p>
          <w:tbl>
            <w:tblPr>
              <w:tblStyle w:val="22"/>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681"/>
              <w:gridCol w:w="678"/>
              <w:gridCol w:w="1400"/>
              <w:gridCol w:w="1293"/>
              <w:gridCol w:w="3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jc w:val="center"/>
              </w:trPr>
              <w:tc>
                <w:tcPr>
                  <w:tcW w:w="498" w:type="dxa"/>
                  <w:vAlign w:val="center"/>
                </w:tcPr>
                <w:p>
                  <w:pPr>
                    <w:pStyle w:val="97"/>
                  </w:pPr>
                  <w:r>
                    <w:t>序号</w:t>
                  </w:r>
                </w:p>
              </w:tc>
              <w:tc>
                <w:tcPr>
                  <w:tcW w:w="1359" w:type="dxa"/>
                  <w:gridSpan w:val="2"/>
                  <w:vAlign w:val="center"/>
                </w:tcPr>
                <w:p>
                  <w:pPr>
                    <w:pStyle w:val="97"/>
                  </w:pPr>
                  <w:r>
                    <w:t>区域</w:t>
                  </w:r>
                </w:p>
              </w:tc>
              <w:tc>
                <w:tcPr>
                  <w:tcW w:w="1400" w:type="dxa"/>
                  <w:vAlign w:val="center"/>
                </w:tcPr>
                <w:p>
                  <w:pPr>
                    <w:pStyle w:val="97"/>
                  </w:pPr>
                  <w:r>
                    <w:t>潜在污染源</w:t>
                  </w:r>
                </w:p>
              </w:tc>
              <w:tc>
                <w:tcPr>
                  <w:tcW w:w="1293" w:type="dxa"/>
                  <w:vAlign w:val="center"/>
                </w:tcPr>
                <w:p>
                  <w:pPr>
                    <w:pStyle w:val="97"/>
                  </w:pPr>
                  <w:r>
                    <w:t>设施</w:t>
                  </w:r>
                </w:p>
              </w:tc>
              <w:tc>
                <w:tcPr>
                  <w:tcW w:w="3407" w:type="dxa"/>
                  <w:vAlign w:val="center"/>
                </w:tcPr>
                <w:p>
                  <w:pPr>
                    <w:pStyle w:val="97"/>
                  </w:pPr>
                  <w:r>
                    <w:t>要求措施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498" w:type="dxa"/>
                  <w:vMerge w:val="restart"/>
                  <w:vAlign w:val="center"/>
                </w:tcPr>
                <w:p>
                  <w:pPr>
                    <w:pStyle w:val="97"/>
                  </w:pPr>
                  <w:r>
                    <w:t>1</w:t>
                  </w:r>
                </w:p>
              </w:tc>
              <w:tc>
                <w:tcPr>
                  <w:tcW w:w="681" w:type="dxa"/>
                  <w:vMerge w:val="restart"/>
                  <w:vAlign w:val="center"/>
                </w:tcPr>
                <w:p>
                  <w:pPr>
                    <w:pStyle w:val="97"/>
                  </w:pPr>
                  <w:r>
                    <w:t>重点防渗区</w:t>
                  </w:r>
                </w:p>
              </w:tc>
              <w:tc>
                <w:tcPr>
                  <w:tcW w:w="678" w:type="dxa"/>
                  <w:vAlign w:val="center"/>
                </w:tcPr>
                <w:p>
                  <w:pPr>
                    <w:pStyle w:val="97"/>
                  </w:pPr>
                  <w:r>
                    <w:rPr>
                      <w:rFonts w:hint="eastAsia"/>
                    </w:rPr>
                    <w:t>储存</w:t>
                  </w:r>
                  <w:r>
                    <w:t>区</w:t>
                  </w:r>
                </w:p>
              </w:tc>
              <w:tc>
                <w:tcPr>
                  <w:tcW w:w="1400" w:type="dxa"/>
                  <w:vAlign w:val="center"/>
                </w:tcPr>
                <w:p>
                  <w:pPr>
                    <w:pStyle w:val="97"/>
                  </w:pPr>
                  <w:r>
                    <w:rPr>
                      <w:rFonts w:hint="eastAsia"/>
                    </w:rPr>
                    <w:t>危险废物</w:t>
                  </w:r>
                </w:p>
              </w:tc>
              <w:tc>
                <w:tcPr>
                  <w:tcW w:w="1293" w:type="dxa"/>
                  <w:vAlign w:val="center"/>
                </w:tcPr>
                <w:p>
                  <w:pPr>
                    <w:pStyle w:val="97"/>
                  </w:pPr>
                  <w:r>
                    <w:rPr>
                      <w:rFonts w:hint="eastAsia"/>
                    </w:rPr>
                    <w:t>危废间</w:t>
                  </w:r>
                </w:p>
              </w:tc>
              <w:tc>
                <w:tcPr>
                  <w:tcW w:w="3407" w:type="dxa"/>
                  <w:vAlign w:val="center"/>
                </w:tcPr>
                <w:p>
                  <w:pPr>
                    <w:pStyle w:val="97"/>
                  </w:pPr>
                  <w:r>
                    <w:t>做好防腐、防渗措施（铺设配筋混凝土加防渗剂的防渗地坪，同时</w:t>
                  </w:r>
                  <w:r>
                    <w:rPr>
                      <w:rFonts w:hint="eastAsia"/>
                    </w:rPr>
                    <w:t>危废间</w:t>
                  </w:r>
                  <w:r>
                    <w:t>门口设置10cm的漫坡）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jc w:val="center"/>
              </w:trPr>
              <w:tc>
                <w:tcPr>
                  <w:tcW w:w="498" w:type="dxa"/>
                  <w:vMerge w:val="continue"/>
                  <w:vAlign w:val="center"/>
                </w:tcPr>
                <w:p>
                  <w:pPr>
                    <w:pStyle w:val="97"/>
                  </w:pPr>
                </w:p>
              </w:tc>
              <w:tc>
                <w:tcPr>
                  <w:tcW w:w="681" w:type="dxa"/>
                  <w:vMerge w:val="continue"/>
                  <w:vAlign w:val="center"/>
                </w:tcPr>
                <w:p>
                  <w:pPr>
                    <w:pStyle w:val="97"/>
                  </w:pPr>
                </w:p>
              </w:tc>
              <w:tc>
                <w:tcPr>
                  <w:tcW w:w="678" w:type="dxa"/>
                  <w:vAlign w:val="center"/>
                </w:tcPr>
                <w:p>
                  <w:pPr>
                    <w:pStyle w:val="97"/>
                  </w:pPr>
                  <w:r>
                    <w:rPr>
                      <w:rFonts w:hint="eastAsia"/>
                    </w:rPr>
                    <w:t>污染处理</w:t>
                  </w:r>
                </w:p>
              </w:tc>
              <w:tc>
                <w:tcPr>
                  <w:tcW w:w="1400" w:type="dxa"/>
                  <w:vAlign w:val="center"/>
                </w:tcPr>
                <w:p>
                  <w:pPr>
                    <w:pStyle w:val="97"/>
                  </w:pPr>
                  <w:r>
                    <w:rPr>
                      <w:rFonts w:hint="eastAsia"/>
                    </w:rPr>
                    <w:t>盐酸、氯酸钠、废水</w:t>
                  </w:r>
                </w:p>
              </w:tc>
              <w:tc>
                <w:tcPr>
                  <w:tcW w:w="1293" w:type="dxa"/>
                  <w:vAlign w:val="center"/>
                </w:tcPr>
                <w:p>
                  <w:pPr>
                    <w:pStyle w:val="97"/>
                  </w:pPr>
                  <w:r>
                    <w:rPr>
                      <w:rFonts w:hint="eastAsia"/>
                    </w:rPr>
                    <w:t>废水处理站</w:t>
                  </w:r>
                </w:p>
              </w:tc>
              <w:tc>
                <w:tcPr>
                  <w:tcW w:w="3407" w:type="dxa"/>
                  <w:vAlign w:val="center"/>
                </w:tcPr>
                <w:p>
                  <w:pPr>
                    <w:pStyle w:val="97"/>
                  </w:pPr>
                  <w:r>
                    <w:rPr>
                      <w:rFonts w:hint="eastAsia"/>
                    </w:rPr>
                    <w:t>采取抗渗混凝土进行防渗，满足防渗要求，并做好事故废水收集措施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jc w:val="center"/>
              </w:trPr>
              <w:tc>
                <w:tcPr>
                  <w:tcW w:w="498" w:type="dxa"/>
                  <w:vMerge w:val="restart"/>
                  <w:vAlign w:val="center"/>
                </w:tcPr>
                <w:p>
                  <w:pPr>
                    <w:pStyle w:val="97"/>
                  </w:pPr>
                  <w:r>
                    <w:t>2</w:t>
                  </w:r>
                </w:p>
              </w:tc>
              <w:tc>
                <w:tcPr>
                  <w:tcW w:w="681" w:type="dxa"/>
                  <w:vMerge w:val="restart"/>
                  <w:vAlign w:val="center"/>
                </w:tcPr>
                <w:p>
                  <w:pPr>
                    <w:pStyle w:val="97"/>
                  </w:pPr>
                  <w:r>
                    <w:t>一般防渗区</w:t>
                  </w:r>
                </w:p>
              </w:tc>
              <w:tc>
                <w:tcPr>
                  <w:tcW w:w="678" w:type="dxa"/>
                  <w:vMerge w:val="restart"/>
                  <w:vAlign w:val="center"/>
                </w:tcPr>
                <w:p>
                  <w:pPr>
                    <w:pStyle w:val="97"/>
                  </w:pPr>
                  <w:r>
                    <w:t>生活区</w:t>
                  </w:r>
                </w:p>
              </w:tc>
              <w:tc>
                <w:tcPr>
                  <w:tcW w:w="1400" w:type="dxa"/>
                  <w:vAlign w:val="center"/>
                </w:tcPr>
                <w:p>
                  <w:pPr>
                    <w:pStyle w:val="97"/>
                  </w:pPr>
                  <w:r>
                    <w:t>生活污水</w:t>
                  </w:r>
                </w:p>
              </w:tc>
              <w:tc>
                <w:tcPr>
                  <w:tcW w:w="1293" w:type="dxa"/>
                  <w:vAlign w:val="center"/>
                </w:tcPr>
                <w:p>
                  <w:pPr>
                    <w:pStyle w:val="97"/>
                  </w:pPr>
                  <w:r>
                    <w:rPr>
                      <w:rFonts w:hint="eastAsia"/>
                    </w:rPr>
                    <w:t>三级化粪池</w:t>
                  </w:r>
                </w:p>
              </w:tc>
              <w:tc>
                <w:tcPr>
                  <w:tcW w:w="3407" w:type="dxa"/>
                  <w:vAlign w:val="center"/>
                </w:tcPr>
                <w:p>
                  <w:pPr>
                    <w:pStyle w:val="97"/>
                  </w:pPr>
                  <w:r>
                    <w:t>无裂缝、无渗漏，每年对化粪池清淤一次，避免堵塞漫流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6" w:hRule="atLeast"/>
                <w:jc w:val="center"/>
              </w:trPr>
              <w:tc>
                <w:tcPr>
                  <w:tcW w:w="498" w:type="dxa"/>
                  <w:vMerge w:val="continue"/>
                  <w:vAlign w:val="center"/>
                </w:tcPr>
                <w:p>
                  <w:pPr>
                    <w:pStyle w:val="97"/>
                  </w:pPr>
                </w:p>
              </w:tc>
              <w:tc>
                <w:tcPr>
                  <w:tcW w:w="681" w:type="dxa"/>
                  <w:vMerge w:val="continue"/>
                  <w:vAlign w:val="center"/>
                </w:tcPr>
                <w:p>
                  <w:pPr>
                    <w:pStyle w:val="97"/>
                  </w:pPr>
                </w:p>
              </w:tc>
              <w:tc>
                <w:tcPr>
                  <w:tcW w:w="678" w:type="dxa"/>
                  <w:vMerge w:val="continue"/>
                  <w:vAlign w:val="center"/>
                </w:tcPr>
                <w:p>
                  <w:pPr>
                    <w:pStyle w:val="97"/>
                  </w:pPr>
                </w:p>
              </w:tc>
              <w:tc>
                <w:tcPr>
                  <w:tcW w:w="1400" w:type="dxa"/>
                  <w:vAlign w:val="center"/>
                </w:tcPr>
                <w:p>
                  <w:pPr>
                    <w:pStyle w:val="97"/>
                  </w:pPr>
                  <w:r>
                    <w:t>生活垃圾</w:t>
                  </w:r>
                </w:p>
              </w:tc>
              <w:tc>
                <w:tcPr>
                  <w:tcW w:w="1293" w:type="dxa"/>
                  <w:vAlign w:val="center"/>
                </w:tcPr>
                <w:p>
                  <w:pPr>
                    <w:pStyle w:val="97"/>
                  </w:pPr>
                  <w:r>
                    <w:t>生活垃圾桶及生活垃圾暂存区</w:t>
                  </w:r>
                </w:p>
              </w:tc>
              <w:tc>
                <w:tcPr>
                  <w:tcW w:w="3407" w:type="dxa"/>
                  <w:vAlign w:val="center"/>
                </w:tcPr>
                <w:p>
                  <w:pPr>
                    <w:pStyle w:val="97"/>
                  </w:pPr>
                  <w:r>
                    <w:t>生活垃圾暂存区做好防渗措施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6" w:hRule="atLeast"/>
                <w:jc w:val="center"/>
              </w:trPr>
              <w:tc>
                <w:tcPr>
                  <w:tcW w:w="498" w:type="dxa"/>
                  <w:vMerge w:val="continue"/>
                  <w:vAlign w:val="center"/>
                </w:tcPr>
                <w:p>
                  <w:pPr>
                    <w:pStyle w:val="97"/>
                  </w:pPr>
                </w:p>
              </w:tc>
              <w:tc>
                <w:tcPr>
                  <w:tcW w:w="681" w:type="dxa"/>
                  <w:vMerge w:val="continue"/>
                  <w:vAlign w:val="center"/>
                </w:tcPr>
                <w:p>
                  <w:pPr>
                    <w:pStyle w:val="97"/>
                  </w:pPr>
                </w:p>
              </w:tc>
              <w:tc>
                <w:tcPr>
                  <w:tcW w:w="678" w:type="dxa"/>
                  <w:vAlign w:val="center"/>
                </w:tcPr>
                <w:p>
                  <w:pPr>
                    <w:pStyle w:val="97"/>
                  </w:pPr>
                  <w:r>
                    <w:t>生产区域</w:t>
                  </w:r>
                </w:p>
              </w:tc>
              <w:tc>
                <w:tcPr>
                  <w:tcW w:w="1400" w:type="dxa"/>
                  <w:vAlign w:val="center"/>
                </w:tcPr>
                <w:p>
                  <w:pPr>
                    <w:pStyle w:val="97"/>
                  </w:pPr>
                  <w:r>
                    <w:t>生产车间</w:t>
                  </w:r>
                </w:p>
              </w:tc>
              <w:tc>
                <w:tcPr>
                  <w:tcW w:w="1293" w:type="dxa"/>
                  <w:vAlign w:val="center"/>
                </w:tcPr>
                <w:p>
                  <w:pPr>
                    <w:pStyle w:val="97"/>
                  </w:pPr>
                  <w:r>
                    <w:t>地面</w:t>
                  </w:r>
                </w:p>
              </w:tc>
              <w:tc>
                <w:tcPr>
                  <w:tcW w:w="3407" w:type="dxa"/>
                  <w:vAlign w:val="center"/>
                </w:tcPr>
                <w:p>
                  <w:pPr>
                    <w:pStyle w:val="97"/>
                  </w:pPr>
                  <w:r>
                    <w:t>车间地面采用防渗钢筋混凝土结构，内部采用水泥基渗透结晶型防渗材料涂层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4" w:hRule="atLeast"/>
                <w:jc w:val="center"/>
              </w:trPr>
              <w:tc>
                <w:tcPr>
                  <w:tcW w:w="498" w:type="dxa"/>
                  <w:vMerge w:val="continue"/>
                  <w:vAlign w:val="center"/>
                </w:tcPr>
                <w:p>
                  <w:pPr>
                    <w:pStyle w:val="97"/>
                  </w:pPr>
                </w:p>
              </w:tc>
              <w:tc>
                <w:tcPr>
                  <w:tcW w:w="681" w:type="dxa"/>
                  <w:vMerge w:val="continue"/>
                  <w:vAlign w:val="center"/>
                </w:tcPr>
                <w:p>
                  <w:pPr>
                    <w:pStyle w:val="97"/>
                  </w:pPr>
                </w:p>
              </w:tc>
              <w:tc>
                <w:tcPr>
                  <w:tcW w:w="678" w:type="dxa"/>
                  <w:vAlign w:val="center"/>
                </w:tcPr>
                <w:p>
                  <w:pPr>
                    <w:pStyle w:val="97"/>
                  </w:pPr>
                  <w:r>
                    <w:t>一般固废仓</w:t>
                  </w:r>
                </w:p>
              </w:tc>
              <w:tc>
                <w:tcPr>
                  <w:tcW w:w="1400" w:type="dxa"/>
                  <w:vAlign w:val="center"/>
                </w:tcPr>
                <w:p>
                  <w:pPr>
                    <w:pStyle w:val="97"/>
                  </w:pPr>
                  <w:r>
                    <w:t>一般固废</w:t>
                  </w:r>
                </w:p>
              </w:tc>
              <w:tc>
                <w:tcPr>
                  <w:tcW w:w="1293" w:type="dxa"/>
                  <w:vAlign w:val="center"/>
                </w:tcPr>
                <w:p>
                  <w:pPr>
                    <w:pStyle w:val="97"/>
                  </w:pPr>
                  <w:r>
                    <w:t>一般固废仓</w:t>
                  </w:r>
                </w:p>
              </w:tc>
              <w:tc>
                <w:tcPr>
                  <w:tcW w:w="3407" w:type="dxa"/>
                  <w:vAlign w:val="center"/>
                </w:tcPr>
                <w:p>
                  <w:pPr>
                    <w:pStyle w:val="97"/>
                  </w:pPr>
                  <w:r>
                    <w:t>一般固废储存区采用库房或包装工具贮存，贮存过程中应满足相应防渗漏、防雨淋、防扬尘等环境保护要求</w:t>
                  </w:r>
                </w:p>
              </w:tc>
            </w:tr>
          </w:tbl>
          <w:p>
            <w:pPr>
              <w:spacing w:before="240" w:beforeLines="100"/>
              <w:ind w:firstLine="480"/>
              <w:rPr>
                <w:bCs/>
                <w:color w:val="000000"/>
                <w:szCs w:val="21"/>
              </w:rPr>
            </w:pPr>
            <w:r>
              <w:rPr>
                <w:bCs/>
                <w:color w:val="000000"/>
                <w:szCs w:val="21"/>
              </w:rPr>
              <w:t>综上，项目拟将采取有效措施对可能产生地下水、土壤环境影响的各项途径均进行有效预防，在确保各项防渗措施得以落实，并加强维护和环境管理的前提下，可有效控制项目内的污染物下渗现象，避免污染地下水、土壤，因此项目不会对区域地下水、土壤环境产生明显影响，无进行土壤、地下水环境跟踪监测要求。</w:t>
            </w:r>
          </w:p>
          <w:p>
            <w:pPr>
              <w:spacing w:before="120"/>
              <w:ind w:firstLine="439" w:firstLineChars="182"/>
              <w:rPr>
                <w:b/>
                <w:szCs w:val="21"/>
              </w:rPr>
            </w:pPr>
            <w:r>
              <w:rPr>
                <w:b/>
                <w:szCs w:val="21"/>
              </w:rPr>
              <w:t>6、生态环境</w:t>
            </w:r>
          </w:p>
          <w:p>
            <w:pPr>
              <w:spacing w:before="120"/>
              <w:ind w:firstLine="480"/>
              <w:rPr>
                <w:bCs/>
                <w:szCs w:val="22"/>
              </w:rPr>
            </w:pPr>
            <w:r>
              <w:rPr>
                <w:bCs/>
                <w:szCs w:val="22"/>
              </w:rPr>
              <w:t>本项目位于</w:t>
            </w:r>
            <w:r>
              <w:rPr>
                <w:rFonts w:hint="eastAsia"/>
                <w:bCs/>
              </w:rPr>
              <w:t>韶关市仁化县董塘镇坪岗工业区A地块</w:t>
            </w:r>
            <w:r>
              <w:rPr>
                <w:bCs/>
                <w:szCs w:val="22"/>
              </w:rPr>
              <w:t>，为工业用地，用地范围内不包含生态环境保护目标，项目的建设不会对生态环境产生影响。</w:t>
            </w:r>
          </w:p>
          <w:p>
            <w:pPr>
              <w:spacing w:before="120"/>
              <w:ind w:firstLine="482"/>
              <w:rPr>
                <w:b/>
                <w:szCs w:val="22"/>
              </w:rPr>
            </w:pPr>
            <w:r>
              <w:rPr>
                <w:b/>
                <w:szCs w:val="22"/>
              </w:rPr>
              <w:t>7、环境风险</w:t>
            </w:r>
          </w:p>
          <w:p>
            <w:pPr>
              <w:spacing w:before="120"/>
              <w:ind w:firstLine="480"/>
              <w:rPr>
                <w:bCs/>
              </w:rPr>
            </w:pPr>
            <w:r>
              <w:rPr>
                <w:bCs/>
              </w:rPr>
              <w:t>本项目涉及有毒有害危险物质的使用、储存，项目运营期可能发生突发环境事故。</w:t>
            </w:r>
          </w:p>
          <w:p>
            <w:pPr>
              <w:spacing w:before="120"/>
              <w:ind w:firstLine="480"/>
              <w:rPr>
                <w:bCs/>
              </w:rPr>
            </w:pPr>
            <w:r>
              <w:rPr>
                <w:bCs/>
              </w:rPr>
              <w:t>（1）风险调查</w:t>
            </w:r>
          </w:p>
          <w:p>
            <w:pPr>
              <w:spacing w:before="120"/>
              <w:ind w:firstLine="480"/>
              <w:rPr>
                <w:bCs/>
              </w:rPr>
            </w:pPr>
            <w:r>
              <w:rPr>
                <w:bCs/>
              </w:rPr>
              <w:t>根据项目原辅料及产品情况，对照《危险化学品目录（2015版）》及《建设项目环境风险评价技术导则》（HJ169-2018），本项目涉及的相关风险物质为</w:t>
            </w:r>
            <w:r>
              <w:rPr>
                <w:rFonts w:hint="eastAsia"/>
                <w:bCs/>
              </w:rPr>
              <w:t>盐酸、氯酸钠及氢氧化钠</w:t>
            </w:r>
            <w:r>
              <w:rPr>
                <w:bCs/>
              </w:rPr>
              <w:t>。</w:t>
            </w:r>
          </w:p>
          <w:p>
            <w:pPr>
              <w:snapToGrid w:val="0"/>
              <w:spacing w:before="120"/>
              <w:ind w:firstLine="480"/>
              <w:rPr>
                <w:bCs/>
                <w:szCs w:val="16"/>
              </w:rPr>
            </w:pPr>
            <w:r>
              <w:rPr>
                <w:bCs/>
                <w:szCs w:val="16"/>
              </w:rPr>
              <w:t>（2）环境风险潜势判断</w:t>
            </w:r>
          </w:p>
          <w:p>
            <w:pPr>
              <w:spacing w:before="120"/>
              <w:ind w:firstLine="480"/>
              <w:rPr>
                <w:bCs/>
              </w:rPr>
            </w:pPr>
            <w:r>
              <w:rPr>
                <w:bCs/>
              </w:rPr>
              <w:t>根据《危险化学品重大危险源辨识》（GB18218-2018）和《建设项目环境风险评价技术导则》(HJ/T169-2018)，计算所涉及的每种危险物质在厂界内的最大存在总量与其在附录B中对应临界量的比值Q。</w:t>
            </w:r>
          </w:p>
          <w:p>
            <w:pPr>
              <w:spacing w:before="120"/>
              <w:ind w:firstLine="480"/>
              <w:rPr>
                <w:bCs/>
              </w:rPr>
            </w:pPr>
            <w:r>
              <w:rPr>
                <w:bCs/>
              </w:rPr>
              <w:t xml:space="preserve">当只涉及一种危险物质时，计算该物质的总量与其临界量比值，即为Q； </w:t>
            </w:r>
          </w:p>
          <w:p>
            <w:pPr>
              <w:spacing w:before="120"/>
              <w:ind w:firstLine="480"/>
              <w:rPr>
                <w:bCs/>
              </w:rPr>
            </w:pPr>
            <w:r>
              <w:rPr>
                <w:bCs/>
              </w:rPr>
              <w:t xml:space="preserve">当存在多种危险物质时，则按式(C.1)计算物质总量与其临界量比值（Q）： </w:t>
            </w:r>
          </w:p>
          <w:p>
            <w:pPr>
              <w:spacing w:before="120"/>
              <w:ind w:firstLine="480"/>
              <w:jc w:val="center"/>
              <w:rPr>
                <w:bCs/>
              </w:rPr>
            </w:pPr>
            <w:r>
              <w:rPr>
                <w:bCs/>
              </w:rPr>
              <w:t>Q=q1/Q1+q2/Q2+…+qn/Qn</w:t>
            </w:r>
          </w:p>
          <w:p>
            <w:pPr>
              <w:spacing w:before="120"/>
              <w:ind w:firstLine="480"/>
              <w:rPr>
                <w:bCs/>
              </w:rPr>
            </w:pPr>
            <w:r>
              <w:rPr>
                <w:bCs/>
              </w:rPr>
              <w:t xml:space="preserve">式中：q1，q2，…，qn—每种危险物质的最大存在总量，t； </w:t>
            </w:r>
          </w:p>
          <w:p>
            <w:pPr>
              <w:spacing w:before="120"/>
              <w:ind w:firstLine="1200" w:firstLineChars="500"/>
              <w:rPr>
                <w:bCs/>
              </w:rPr>
            </w:pPr>
            <w:r>
              <w:rPr>
                <w:bCs/>
              </w:rPr>
              <w:t>Q</w:t>
            </w:r>
            <w:r>
              <w:rPr>
                <w:bCs/>
                <w:vertAlign w:val="subscript"/>
              </w:rPr>
              <w:t>1</w:t>
            </w:r>
            <w:r>
              <w:rPr>
                <w:bCs/>
              </w:rPr>
              <w:t>，Q</w:t>
            </w:r>
            <w:r>
              <w:rPr>
                <w:bCs/>
                <w:vertAlign w:val="subscript"/>
              </w:rPr>
              <w:t>2</w:t>
            </w:r>
            <w:r>
              <w:rPr>
                <w:bCs/>
              </w:rPr>
              <w:t xml:space="preserve">，…，Qn—每种危险物质的临界量，t。 </w:t>
            </w:r>
          </w:p>
          <w:p>
            <w:pPr>
              <w:spacing w:before="120"/>
              <w:ind w:firstLine="480"/>
              <w:rPr>
                <w:bCs/>
              </w:rPr>
            </w:pPr>
            <w:r>
              <w:rPr>
                <w:bCs/>
              </w:rPr>
              <w:t xml:space="preserve">当Q＜1时，该项目环境风险潜势为I。 </w:t>
            </w:r>
          </w:p>
          <w:p>
            <w:pPr>
              <w:spacing w:before="120"/>
              <w:ind w:firstLine="480"/>
              <w:rPr>
                <w:bCs/>
              </w:rPr>
            </w:pPr>
            <w:r>
              <w:rPr>
                <w:bCs/>
              </w:rPr>
              <w:t xml:space="preserve">当Q≥1时，将Q值划分为：(1)1≤Q＜10；(2)10≤Q＜100；(3)Q≥100。 </w:t>
            </w:r>
          </w:p>
          <w:p>
            <w:pPr>
              <w:spacing w:before="120"/>
              <w:ind w:firstLine="480"/>
              <w:rPr>
                <w:bCs/>
                <w:kern w:val="2"/>
                <w:szCs w:val="16"/>
              </w:rPr>
            </w:pPr>
            <w:r>
              <w:rPr>
                <w:bCs/>
                <w:kern w:val="2"/>
                <w:szCs w:val="16"/>
              </w:rPr>
              <w:t>拟建项目中</w:t>
            </w:r>
            <w:r>
              <w:rPr>
                <w:rFonts w:hint="eastAsia"/>
                <w:bCs/>
                <w:kern w:val="2"/>
                <w:szCs w:val="16"/>
              </w:rPr>
              <w:t>盐酸</w:t>
            </w:r>
            <w:r>
              <w:rPr>
                <w:bCs/>
                <w:kern w:val="2"/>
                <w:szCs w:val="16"/>
              </w:rPr>
              <w:t>的最大储存量为0.2t，参考《企业突发环境事件风险分级方法》（HJ941-2018）的临界量为7.5t，</w:t>
            </w:r>
            <w:r>
              <w:rPr>
                <w:rFonts w:hint="eastAsia"/>
                <w:bCs/>
                <w:kern w:val="2"/>
                <w:szCs w:val="16"/>
              </w:rPr>
              <w:t>氯酸钠0</w:t>
            </w:r>
            <w:r>
              <w:rPr>
                <w:bCs/>
                <w:kern w:val="2"/>
                <w:szCs w:val="16"/>
              </w:rPr>
              <w:t>.1</w:t>
            </w:r>
            <w:r>
              <w:rPr>
                <w:rFonts w:hint="eastAsia"/>
                <w:bCs/>
                <w:kern w:val="2"/>
                <w:szCs w:val="16"/>
              </w:rPr>
              <w:t>t</w:t>
            </w:r>
            <w:r>
              <w:rPr>
                <w:bCs/>
                <w:kern w:val="2"/>
                <w:szCs w:val="16"/>
              </w:rPr>
              <w:t>,临界量为100t,</w:t>
            </w:r>
            <w:r>
              <w:rPr>
                <w:rFonts w:hint="eastAsia"/>
                <w:bCs/>
                <w:kern w:val="2"/>
                <w:szCs w:val="16"/>
              </w:rPr>
              <w:t>氢氧化钠0</w:t>
            </w:r>
            <w:r>
              <w:rPr>
                <w:bCs/>
                <w:kern w:val="2"/>
                <w:szCs w:val="16"/>
              </w:rPr>
              <w:t>.1</w:t>
            </w:r>
            <w:r>
              <w:rPr>
                <w:rFonts w:hint="eastAsia"/>
                <w:bCs/>
                <w:kern w:val="2"/>
                <w:szCs w:val="16"/>
              </w:rPr>
              <w:t>t，临界量</w:t>
            </w:r>
            <w:r>
              <w:rPr>
                <w:bCs/>
                <w:kern w:val="2"/>
                <w:szCs w:val="16"/>
              </w:rPr>
              <w:t>100</w:t>
            </w:r>
            <w:r>
              <w:rPr>
                <w:rFonts w:hint="eastAsia"/>
                <w:bCs/>
                <w:kern w:val="2"/>
                <w:szCs w:val="16"/>
              </w:rPr>
              <w:t>t，计算得到</w:t>
            </w:r>
            <w:r>
              <w:rPr>
                <w:bCs/>
                <w:kern w:val="2"/>
                <w:szCs w:val="16"/>
              </w:rPr>
              <w:t>Q=0.0287＜1即确定项目环境风险潜势为Ⅰ，可开展简单分析。</w:t>
            </w:r>
          </w:p>
          <w:p>
            <w:pPr>
              <w:spacing w:before="120"/>
              <w:ind w:firstLine="480"/>
              <w:rPr>
                <w:bCs/>
              </w:rPr>
            </w:pPr>
            <w:r>
              <w:rPr>
                <w:bCs/>
                <w:kern w:val="2"/>
                <w:szCs w:val="16"/>
              </w:rPr>
              <w:t>（3）环境风险分析</w:t>
            </w:r>
          </w:p>
          <w:p>
            <w:pPr>
              <w:spacing w:before="120"/>
              <w:ind w:firstLine="480"/>
              <w:rPr>
                <w:bCs/>
                <w:kern w:val="2"/>
                <w:szCs w:val="16"/>
              </w:rPr>
            </w:pPr>
            <w:r>
              <w:rPr>
                <w:bCs/>
                <w:szCs w:val="40"/>
              </w:rPr>
              <w:t>根据《危险化学品重大危险源辨识》（GB18218-2018）和《建设项目环境风险评价技术导则》(HJ/T169-2018)，结合本项目原辅材料及污染物产排情况本项目，</w:t>
            </w:r>
            <w:r>
              <w:rPr>
                <w:bCs/>
              </w:rPr>
              <w:t>主要风险为泄漏、火灾、废水事故排放及废气事故性排放等</w:t>
            </w:r>
            <w:r>
              <w:rPr>
                <w:bCs/>
                <w:kern w:val="2"/>
                <w:szCs w:val="16"/>
              </w:rPr>
              <w:t>。</w:t>
            </w:r>
          </w:p>
          <w:p>
            <w:pPr>
              <w:spacing w:before="120"/>
              <w:ind w:firstLine="0" w:firstLineChars="0"/>
              <w:jc w:val="center"/>
              <w:rPr>
                <w:b/>
                <w:kern w:val="28"/>
                <w:sz w:val="21"/>
                <w:szCs w:val="32"/>
              </w:rPr>
            </w:pPr>
            <w:r>
              <w:rPr>
                <w:b/>
                <w:kern w:val="28"/>
                <w:sz w:val="21"/>
                <w:szCs w:val="32"/>
              </w:rPr>
              <w:t>表4-18  建设项目环境风险简单分析内容表</w:t>
            </w:r>
          </w:p>
          <w:tbl>
            <w:tblPr>
              <w:tblStyle w:val="22"/>
              <w:tblW w:w="8054" w:type="dxa"/>
              <w:jc w:val="center"/>
              <w:tblLayout w:type="fixed"/>
              <w:tblCellMar>
                <w:top w:w="0" w:type="dxa"/>
                <w:left w:w="0" w:type="dxa"/>
                <w:bottom w:w="0" w:type="dxa"/>
                <w:right w:w="0" w:type="dxa"/>
              </w:tblCellMar>
            </w:tblPr>
            <w:tblGrid>
              <w:gridCol w:w="2451"/>
              <w:gridCol w:w="829"/>
              <w:gridCol w:w="1985"/>
              <w:gridCol w:w="709"/>
              <w:gridCol w:w="2080"/>
            </w:tblGrid>
            <w:tr>
              <w:trPr>
                <w:trHeight w:val="397" w:hRule="atLeast"/>
                <w:jc w:val="center"/>
              </w:trPr>
              <w:tc>
                <w:tcPr>
                  <w:tcW w:w="1522" w:type="pct"/>
                  <w:tcBorders>
                    <w:top w:val="single" w:color="000000" w:sz="8" w:space="0"/>
                    <w:left w:val="single" w:color="000000" w:sz="8" w:space="0"/>
                    <w:bottom w:val="single" w:color="000000" w:sz="4" w:space="0"/>
                    <w:right w:val="single" w:color="000000" w:sz="4" w:space="0"/>
                  </w:tcBorders>
                  <w:vAlign w:val="center"/>
                </w:tcPr>
                <w:p>
                  <w:pPr>
                    <w:spacing w:before="0" w:beforeLines="0" w:line="240" w:lineRule="auto"/>
                    <w:ind w:firstLine="0" w:firstLineChars="0"/>
                    <w:jc w:val="center"/>
                    <w:rPr>
                      <w:bCs/>
                      <w:snapToGrid w:val="0"/>
                      <w:sz w:val="21"/>
                    </w:rPr>
                  </w:pPr>
                  <w:bookmarkStart w:id="28" w:name="_Hlk87018055"/>
                  <w:r>
                    <w:rPr>
                      <w:bCs/>
                      <w:snapToGrid w:val="0"/>
                      <w:sz w:val="21"/>
                    </w:rPr>
                    <w:t>建设项目名称</w:t>
                  </w:r>
                </w:p>
              </w:tc>
              <w:tc>
                <w:tcPr>
                  <w:tcW w:w="3478" w:type="pct"/>
                  <w:gridSpan w:val="4"/>
                  <w:tcBorders>
                    <w:top w:val="single" w:color="000000" w:sz="8" w:space="0"/>
                    <w:left w:val="single" w:color="000000" w:sz="4" w:space="0"/>
                    <w:bottom w:val="single" w:color="000000" w:sz="4" w:space="0"/>
                    <w:right w:val="single" w:color="000000" w:sz="8" w:space="0"/>
                  </w:tcBorders>
                  <w:vAlign w:val="center"/>
                </w:tcPr>
                <w:p>
                  <w:pPr>
                    <w:spacing w:before="0" w:beforeLines="0" w:line="240" w:lineRule="auto"/>
                    <w:ind w:firstLine="0" w:firstLineChars="0"/>
                    <w:jc w:val="center"/>
                    <w:rPr>
                      <w:bCs/>
                      <w:snapToGrid w:val="0"/>
                      <w:sz w:val="21"/>
                    </w:rPr>
                  </w:pPr>
                  <w:r>
                    <w:rPr>
                      <w:rFonts w:hint="eastAsia"/>
                      <w:snapToGrid w:val="0"/>
                      <w:sz w:val="21"/>
                    </w:rPr>
                    <w:t>年屠宰牛1750头，羊50750头建设项目</w:t>
                  </w:r>
                </w:p>
              </w:tc>
            </w:tr>
            <w:tr>
              <w:tblPrEx>
                <w:tblCellMar>
                  <w:top w:w="0" w:type="dxa"/>
                  <w:left w:w="0" w:type="dxa"/>
                  <w:bottom w:w="0" w:type="dxa"/>
                  <w:right w:w="0" w:type="dxa"/>
                </w:tblCellMar>
              </w:tblPrEx>
              <w:trPr>
                <w:trHeight w:val="397" w:hRule="atLeast"/>
                <w:jc w:val="center"/>
              </w:trPr>
              <w:tc>
                <w:tcPr>
                  <w:tcW w:w="1522" w:type="pct"/>
                  <w:tcBorders>
                    <w:top w:val="single" w:color="000000" w:sz="4" w:space="0"/>
                    <w:left w:val="single" w:color="000000" w:sz="8" w:space="0"/>
                    <w:bottom w:val="single" w:color="000000" w:sz="4" w:space="0"/>
                    <w:right w:val="single" w:color="000000" w:sz="4" w:space="0"/>
                  </w:tcBorders>
                  <w:vAlign w:val="center"/>
                </w:tcPr>
                <w:p>
                  <w:pPr>
                    <w:spacing w:before="0" w:beforeLines="0" w:line="240" w:lineRule="auto"/>
                    <w:ind w:firstLine="0" w:firstLineChars="0"/>
                    <w:jc w:val="center"/>
                    <w:rPr>
                      <w:bCs/>
                      <w:snapToGrid w:val="0"/>
                      <w:sz w:val="21"/>
                    </w:rPr>
                  </w:pPr>
                  <w:r>
                    <w:rPr>
                      <w:bCs/>
                      <w:snapToGrid w:val="0"/>
                      <w:sz w:val="21"/>
                    </w:rPr>
                    <w:t>建设地点</w:t>
                  </w:r>
                </w:p>
              </w:tc>
              <w:tc>
                <w:tcPr>
                  <w:tcW w:w="3478" w:type="pct"/>
                  <w:gridSpan w:val="4"/>
                  <w:tcBorders>
                    <w:top w:val="single" w:color="000000" w:sz="4" w:space="0"/>
                    <w:left w:val="single" w:color="000000" w:sz="4" w:space="0"/>
                    <w:bottom w:val="single" w:color="000000" w:sz="4" w:space="0"/>
                    <w:right w:val="single" w:color="000000" w:sz="8" w:space="0"/>
                  </w:tcBorders>
                  <w:vAlign w:val="center"/>
                </w:tcPr>
                <w:p>
                  <w:pPr>
                    <w:spacing w:before="0" w:beforeLines="0" w:line="240" w:lineRule="auto"/>
                    <w:ind w:firstLine="0" w:firstLineChars="0"/>
                    <w:jc w:val="center"/>
                    <w:rPr>
                      <w:bCs/>
                      <w:snapToGrid w:val="0"/>
                      <w:sz w:val="21"/>
                    </w:rPr>
                  </w:pPr>
                  <w:r>
                    <w:rPr>
                      <w:rFonts w:hint="eastAsia"/>
                      <w:snapToGrid w:val="0"/>
                      <w:sz w:val="21"/>
                      <w:szCs w:val="21"/>
                    </w:rPr>
                    <w:t>韶关市仁化县董塘镇坪岗工业区A地块</w:t>
                  </w:r>
                </w:p>
              </w:tc>
            </w:tr>
            <w:tr>
              <w:tblPrEx>
                <w:tblCellMar>
                  <w:top w:w="0" w:type="dxa"/>
                  <w:left w:w="0" w:type="dxa"/>
                  <w:bottom w:w="0" w:type="dxa"/>
                  <w:right w:w="0" w:type="dxa"/>
                </w:tblCellMar>
              </w:tblPrEx>
              <w:trPr>
                <w:trHeight w:val="397" w:hRule="atLeast"/>
                <w:jc w:val="center"/>
              </w:trPr>
              <w:tc>
                <w:tcPr>
                  <w:tcW w:w="1522" w:type="pct"/>
                  <w:tcBorders>
                    <w:top w:val="single" w:color="000000" w:sz="4" w:space="0"/>
                    <w:left w:val="single" w:color="000000" w:sz="8" w:space="0"/>
                    <w:bottom w:val="single" w:color="000000" w:sz="4" w:space="0"/>
                    <w:right w:val="single" w:color="000000" w:sz="4" w:space="0"/>
                  </w:tcBorders>
                  <w:vAlign w:val="center"/>
                </w:tcPr>
                <w:p>
                  <w:pPr>
                    <w:spacing w:before="0" w:beforeLines="0" w:line="240" w:lineRule="auto"/>
                    <w:ind w:firstLine="0" w:firstLineChars="0"/>
                    <w:jc w:val="center"/>
                    <w:rPr>
                      <w:bCs/>
                      <w:snapToGrid w:val="0"/>
                      <w:sz w:val="21"/>
                    </w:rPr>
                  </w:pPr>
                  <w:r>
                    <w:rPr>
                      <w:bCs/>
                      <w:snapToGrid w:val="0"/>
                      <w:sz w:val="21"/>
                    </w:rPr>
                    <w:t>地理坐标</w:t>
                  </w:r>
                </w:p>
              </w:tc>
              <w:tc>
                <w:tcPr>
                  <w:tcW w:w="515" w:type="pct"/>
                  <w:tcBorders>
                    <w:top w:val="single" w:color="000000" w:sz="4" w:space="0"/>
                    <w:left w:val="single" w:color="000000" w:sz="4" w:space="0"/>
                    <w:bottom w:val="single" w:color="000000" w:sz="4" w:space="0"/>
                    <w:right w:val="single" w:color="000000" w:sz="4" w:space="0"/>
                  </w:tcBorders>
                  <w:vAlign w:val="center"/>
                </w:tcPr>
                <w:p>
                  <w:pPr>
                    <w:spacing w:before="0" w:beforeLines="0" w:line="240" w:lineRule="auto"/>
                    <w:ind w:firstLine="0" w:firstLineChars="0"/>
                    <w:jc w:val="center"/>
                    <w:rPr>
                      <w:bCs/>
                      <w:snapToGrid w:val="0"/>
                      <w:sz w:val="21"/>
                    </w:rPr>
                  </w:pPr>
                  <w:r>
                    <w:rPr>
                      <w:bCs/>
                      <w:snapToGrid w:val="0"/>
                      <w:sz w:val="21"/>
                    </w:rPr>
                    <w:t>经度</w:t>
                  </w:r>
                </w:p>
              </w:tc>
              <w:tc>
                <w:tcPr>
                  <w:tcW w:w="1232" w:type="pct"/>
                  <w:tcBorders>
                    <w:top w:val="single" w:color="000000" w:sz="4" w:space="0"/>
                    <w:left w:val="single" w:color="000000" w:sz="4" w:space="0"/>
                    <w:bottom w:val="single" w:color="000000" w:sz="4" w:space="0"/>
                    <w:right w:val="single" w:color="000000" w:sz="4" w:space="0"/>
                  </w:tcBorders>
                  <w:vAlign w:val="center"/>
                </w:tcPr>
                <w:p>
                  <w:pPr>
                    <w:spacing w:before="0" w:beforeLines="0" w:line="240" w:lineRule="auto"/>
                    <w:ind w:firstLine="0" w:firstLineChars="0"/>
                    <w:jc w:val="center"/>
                    <w:rPr>
                      <w:bCs/>
                      <w:snapToGrid w:val="0"/>
                      <w:sz w:val="21"/>
                    </w:rPr>
                  </w:pPr>
                  <w:r>
                    <w:rPr>
                      <w:bCs/>
                      <w:snapToGrid w:val="0"/>
                      <w:color w:val="000000"/>
                      <w:kern w:val="2"/>
                      <w:sz w:val="21"/>
                    </w:rPr>
                    <w:t>东经113°37'52.115"</w:t>
                  </w:r>
                </w:p>
              </w:tc>
              <w:tc>
                <w:tcPr>
                  <w:tcW w:w="440" w:type="pct"/>
                  <w:tcBorders>
                    <w:top w:val="single" w:color="000000" w:sz="4" w:space="0"/>
                    <w:left w:val="single" w:color="000000" w:sz="4" w:space="0"/>
                    <w:bottom w:val="single" w:color="000000" w:sz="4" w:space="0"/>
                    <w:right w:val="single" w:color="000000" w:sz="4" w:space="0"/>
                  </w:tcBorders>
                  <w:vAlign w:val="center"/>
                </w:tcPr>
                <w:p>
                  <w:pPr>
                    <w:spacing w:before="0" w:beforeLines="0" w:line="240" w:lineRule="auto"/>
                    <w:ind w:firstLine="0" w:firstLineChars="0"/>
                    <w:jc w:val="center"/>
                    <w:rPr>
                      <w:bCs/>
                      <w:snapToGrid w:val="0"/>
                      <w:sz w:val="21"/>
                    </w:rPr>
                  </w:pPr>
                  <w:r>
                    <w:rPr>
                      <w:bCs/>
                      <w:snapToGrid w:val="0"/>
                      <w:sz w:val="21"/>
                    </w:rPr>
                    <w:t>纬度</w:t>
                  </w:r>
                </w:p>
              </w:tc>
              <w:tc>
                <w:tcPr>
                  <w:tcW w:w="1291" w:type="pct"/>
                  <w:tcBorders>
                    <w:top w:val="single" w:color="000000" w:sz="4" w:space="0"/>
                    <w:left w:val="single" w:color="000000" w:sz="4" w:space="0"/>
                    <w:bottom w:val="single" w:color="000000" w:sz="4" w:space="0"/>
                    <w:right w:val="single" w:color="000000" w:sz="8" w:space="0"/>
                  </w:tcBorders>
                  <w:vAlign w:val="center"/>
                </w:tcPr>
                <w:p>
                  <w:pPr>
                    <w:spacing w:before="0" w:beforeLines="0" w:line="240" w:lineRule="auto"/>
                    <w:ind w:firstLine="0" w:firstLineChars="0"/>
                    <w:jc w:val="center"/>
                    <w:rPr>
                      <w:bCs/>
                      <w:snapToGrid w:val="0"/>
                      <w:sz w:val="21"/>
                    </w:rPr>
                  </w:pPr>
                  <w:r>
                    <w:rPr>
                      <w:bCs/>
                      <w:snapToGrid w:val="0"/>
                      <w:color w:val="000000"/>
                      <w:kern w:val="2"/>
                      <w:sz w:val="21"/>
                    </w:rPr>
                    <w:t>北纬25°3'8.934"</w:t>
                  </w:r>
                </w:p>
              </w:tc>
            </w:tr>
            <w:tr>
              <w:tblPrEx>
                <w:tblCellMar>
                  <w:top w:w="0" w:type="dxa"/>
                  <w:left w:w="0" w:type="dxa"/>
                  <w:bottom w:w="0" w:type="dxa"/>
                  <w:right w:w="0" w:type="dxa"/>
                </w:tblCellMar>
              </w:tblPrEx>
              <w:trPr>
                <w:trHeight w:val="397" w:hRule="atLeast"/>
                <w:jc w:val="center"/>
              </w:trPr>
              <w:tc>
                <w:tcPr>
                  <w:tcW w:w="1522" w:type="pct"/>
                  <w:tcBorders>
                    <w:top w:val="single" w:color="000000" w:sz="4" w:space="0"/>
                    <w:left w:val="single" w:color="000000" w:sz="8" w:space="0"/>
                    <w:bottom w:val="single" w:color="000000" w:sz="4" w:space="0"/>
                    <w:right w:val="single" w:color="000000" w:sz="4" w:space="0"/>
                  </w:tcBorders>
                  <w:vAlign w:val="center"/>
                </w:tcPr>
                <w:p>
                  <w:pPr>
                    <w:spacing w:before="0" w:beforeLines="0" w:line="240" w:lineRule="auto"/>
                    <w:ind w:firstLine="0" w:firstLineChars="0"/>
                    <w:jc w:val="center"/>
                    <w:rPr>
                      <w:bCs/>
                      <w:snapToGrid w:val="0"/>
                      <w:sz w:val="21"/>
                    </w:rPr>
                  </w:pPr>
                  <w:r>
                    <w:rPr>
                      <w:bCs/>
                      <w:snapToGrid w:val="0"/>
                      <w:sz w:val="21"/>
                    </w:rPr>
                    <w:t>主要危险物质及分布</w:t>
                  </w:r>
                </w:p>
              </w:tc>
              <w:tc>
                <w:tcPr>
                  <w:tcW w:w="3478" w:type="pct"/>
                  <w:gridSpan w:val="4"/>
                  <w:tcBorders>
                    <w:top w:val="single" w:color="000000" w:sz="4" w:space="0"/>
                    <w:left w:val="single" w:color="000000" w:sz="4" w:space="0"/>
                    <w:bottom w:val="single" w:color="000000" w:sz="4" w:space="0"/>
                    <w:right w:val="single" w:color="000000" w:sz="8" w:space="0"/>
                  </w:tcBorders>
                  <w:vAlign w:val="center"/>
                </w:tcPr>
                <w:p>
                  <w:pPr>
                    <w:spacing w:before="0" w:beforeLines="0"/>
                    <w:ind w:firstLine="0" w:firstLineChars="0"/>
                    <w:rPr>
                      <w:bCs/>
                      <w:snapToGrid w:val="0"/>
                      <w:color w:val="000000"/>
                      <w:sz w:val="21"/>
                    </w:rPr>
                  </w:pPr>
                  <w:r>
                    <w:rPr>
                      <w:bCs/>
                      <w:snapToGrid w:val="0"/>
                      <w:sz w:val="21"/>
                    </w:rPr>
                    <w:t>主要危险物质：</w:t>
                  </w:r>
                  <w:r>
                    <w:rPr>
                      <w:rFonts w:hint="eastAsia"/>
                      <w:bCs/>
                      <w:snapToGrid w:val="0"/>
                      <w:sz w:val="21"/>
                    </w:rPr>
                    <w:t>NH</w:t>
                  </w:r>
                  <w:r>
                    <w:rPr>
                      <w:bCs/>
                      <w:snapToGrid w:val="0"/>
                      <w:sz w:val="21"/>
                      <w:vertAlign w:val="subscript"/>
                    </w:rPr>
                    <w:t>3</w:t>
                  </w:r>
                  <w:r>
                    <w:rPr>
                      <w:rFonts w:hint="eastAsia"/>
                      <w:bCs/>
                      <w:snapToGrid w:val="0"/>
                      <w:sz w:val="21"/>
                    </w:rPr>
                    <w:t>、H</w:t>
                  </w:r>
                  <w:r>
                    <w:rPr>
                      <w:bCs/>
                      <w:snapToGrid w:val="0"/>
                      <w:sz w:val="21"/>
                      <w:vertAlign w:val="subscript"/>
                    </w:rPr>
                    <w:t>2</w:t>
                  </w:r>
                  <w:r>
                    <w:rPr>
                      <w:rFonts w:hint="eastAsia"/>
                      <w:bCs/>
                      <w:snapToGrid w:val="0"/>
                      <w:sz w:val="21"/>
                    </w:rPr>
                    <w:t>S、盐酸、氯酸纳、氢氧化钠、检疫废物</w:t>
                  </w:r>
                  <w:r>
                    <w:rPr>
                      <w:bCs/>
                      <w:snapToGrid w:val="0"/>
                      <w:color w:val="000000"/>
                      <w:sz w:val="21"/>
                    </w:rPr>
                    <w:t xml:space="preserve">； </w:t>
                  </w:r>
                </w:p>
                <w:p>
                  <w:pPr>
                    <w:spacing w:before="0" w:beforeLines="0"/>
                    <w:ind w:firstLine="0" w:firstLineChars="0"/>
                    <w:rPr>
                      <w:bCs/>
                      <w:snapToGrid w:val="0"/>
                      <w:sz w:val="21"/>
                    </w:rPr>
                  </w:pPr>
                  <w:r>
                    <w:rPr>
                      <w:bCs/>
                      <w:snapToGrid w:val="0"/>
                      <w:sz w:val="21"/>
                    </w:rPr>
                    <w:t>分布情况：</w:t>
                  </w:r>
                  <w:r>
                    <w:rPr>
                      <w:rFonts w:hint="eastAsia"/>
                      <w:bCs/>
                      <w:snapToGrid w:val="0"/>
                      <w:color w:val="000000"/>
                      <w:sz w:val="21"/>
                    </w:rPr>
                    <w:t>其中</w:t>
                  </w:r>
                  <w:r>
                    <w:rPr>
                      <w:rFonts w:hint="eastAsia"/>
                      <w:bCs/>
                      <w:snapToGrid w:val="0"/>
                      <w:sz w:val="21"/>
                    </w:rPr>
                    <w:t>NH</w:t>
                  </w:r>
                  <w:r>
                    <w:rPr>
                      <w:bCs/>
                      <w:snapToGrid w:val="0"/>
                      <w:sz w:val="21"/>
                      <w:vertAlign w:val="subscript"/>
                    </w:rPr>
                    <w:t>3</w:t>
                  </w:r>
                  <w:r>
                    <w:rPr>
                      <w:rFonts w:hint="eastAsia"/>
                      <w:bCs/>
                      <w:snapToGrid w:val="0"/>
                      <w:sz w:val="21"/>
                    </w:rPr>
                    <w:t>、H</w:t>
                  </w:r>
                  <w:r>
                    <w:rPr>
                      <w:bCs/>
                      <w:snapToGrid w:val="0"/>
                      <w:sz w:val="21"/>
                      <w:vertAlign w:val="subscript"/>
                    </w:rPr>
                    <w:t>2</w:t>
                  </w:r>
                  <w:r>
                    <w:rPr>
                      <w:rFonts w:hint="eastAsia"/>
                      <w:bCs/>
                      <w:snapToGrid w:val="0"/>
                      <w:sz w:val="21"/>
                    </w:rPr>
                    <w:t>S均为废气，分布于待宰栏、屠宰车间及污水处理站，盐酸、氯酸纳、氢氧化钠暂存于废水处理站里储存间；检疫废物暂存危废间。</w:t>
                  </w:r>
                </w:p>
              </w:tc>
            </w:tr>
            <w:tr>
              <w:trPr>
                <w:trHeight w:val="397" w:hRule="atLeast"/>
                <w:jc w:val="center"/>
              </w:trPr>
              <w:tc>
                <w:tcPr>
                  <w:tcW w:w="1522" w:type="pct"/>
                  <w:tcBorders>
                    <w:top w:val="single" w:color="000000" w:sz="4" w:space="0"/>
                    <w:left w:val="single" w:color="000000" w:sz="8" w:space="0"/>
                    <w:bottom w:val="single" w:color="000000" w:sz="4" w:space="0"/>
                    <w:right w:val="single" w:color="000000" w:sz="4" w:space="0"/>
                  </w:tcBorders>
                  <w:vAlign w:val="center"/>
                </w:tcPr>
                <w:p>
                  <w:pPr>
                    <w:spacing w:before="0" w:beforeLines="0" w:line="271" w:lineRule="auto"/>
                    <w:ind w:firstLine="0" w:firstLineChars="0"/>
                    <w:jc w:val="center"/>
                    <w:rPr>
                      <w:bCs/>
                      <w:snapToGrid w:val="0"/>
                      <w:sz w:val="21"/>
                    </w:rPr>
                  </w:pPr>
                  <w:r>
                    <w:rPr>
                      <w:bCs/>
                      <w:snapToGrid w:val="0"/>
                      <w:sz w:val="21"/>
                    </w:rPr>
                    <w:t>环境影响途径及危害后果</w:t>
                  </w:r>
                </w:p>
                <w:p>
                  <w:pPr>
                    <w:spacing w:before="0" w:beforeLines="0" w:line="271" w:lineRule="auto"/>
                    <w:ind w:firstLine="0" w:firstLineChars="0"/>
                    <w:jc w:val="center"/>
                    <w:rPr>
                      <w:bCs/>
                      <w:snapToGrid w:val="0"/>
                      <w:sz w:val="21"/>
                    </w:rPr>
                  </w:pPr>
                  <w:r>
                    <w:rPr>
                      <w:bCs/>
                      <w:snapToGrid w:val="0"/>
                      <w:sz w:val="21"/>
                    </w:rPr>
                    <w:t>（大气、地表水、地下水等）</w:t>
                  </w:r>
                </w:p>
              </w:tc>
              <w:tc>
                <w:tcPr>
                  <w:tcW w:w="3478" w:type="pct"/>
                  <w:gridSpan w:val="4"/>
                  <w:tcBorders>
                    <w:top w:val="single" w:color="000000" w:sz="4" w:space="0"/>
                    <w:left w:val="single" w:color="000000" w:sz="4" w:space="0"/>
                    <w:bottom w:val="single" w:color="000000" w:sz="4" w:space="0"/>
                    <w:right w:val="single" w:color="000000" w:sz="8" w:space="0"/>
                  </w:tcBorders>
                  <w:vAlign w:val="center"/>
                </w:tcPr>
                <w:p>
                  <w:pPr>
                    <w:spacing w:before="0" w:beforeLines="0"/>
                    <w:ind w:firstLine="0" w:firstLineChars="0"/>
                    <w:rPr>
                      <w:bCs/>
                      <w:snapToGrid w:val="0"/>
                      <w:color w:val="000000"/>
                      <w:sz w:val="21"/>
                    </w:rPr>
                  </w:pPr>
                  <w:r>
                    <w:rPr>
                      <w:b/>
                      <w:snapToGrid w:val="0"/>
                      <w:color w:val="000000"/>
                      <w:sz w:val="21"/>
                    </w:rPr>
                    <w:t>火灾事故：</w:t>
                  </w:r>
                  <w:r>
                    <w:rPr>
                      <w:rFonts w:hint="eastAsia" w:ascii="宋体" w:hAnsi="宋体" w:cs="宋体"/>
                      <w:bCs/>
                      <w:snapToGrid w:val="0"/>
                      <w:color w:val="000000"/>
                      <w:sz w:val="21"/>
                    </w:rPr>
                    <w:t>①</w:t>
                  </w:r>
                  <w:r>
                    <w:rPr>
                      <w:bCs/>
                      <w:snapToGrid w:val="0"/>
                      <w:color w:val="000000"/>
                      <w:sz w:val="21"/>
                    </w:rPr>
                    <w:t>火灾造成大气污染的主要物质是SO</w:t>
                  </w:r>
                  <w:r>
                    <w:rPr>
                      <w:bCs/>
                      <w:snapToGrid w:val="0"/>
                      <w:color w:val="000000"/>
                      <w:sz w:val="21"/>
                      <w:vertAlign w:val="subscript"/>
                    </w:rPr>
                    <w:t>X</w:t>
                  </w:r>
                  <w:r>
                    <w:rPr>
                      <w:bCs/>
                      <w:snapToGrid w:val="0"/>
                      <w:color w:val="000000"/>
                      <w:sz w:val="21"/>
                    </w:rPr>
                    <w:t>、NO</w:t>
                  </w:r>
                  <w:r>
                    <w:rPr>
                      <w:bCs/>
                      <w:snapToGrid w:val="0"/>
                      <w:color w:val="000000"/>
                      <w:sz w:val="21"/>
                      <w:vertAlign w:val="subscript"/>
                    </w:rPr>
                    <w:t>X</w:t>
                  </w:r>
                  <w:r>
                    <w:rPr>
                      <w:bCs/>
                      <w:snapToGrid w:val="0"/>
                      <w:color w:val="000000"/>
                      <w:sz w:val="21"/>
                    </w:rPr>
                    <w:t>、CO、碳氢化合物、炭黑粒子和飞灰等，通过呼吸道或皮肤进入人体，会对人体健康产生危害；</w:t>
                  </w:r>
                  <w:r>
                    <w:rPr>
                      <w:rFonts w:hint="eastAsia" w:ascii="宋体" w:hAnsi="宋体" w:cs="宋体"/>
                      <w:bCs/>
                      <w:snapToGrid w:val="0"/>
                      <w:color w:val="000000"/>
                      <w:sz w:val="21"/>
                    </w:rPr>
                    <w:t>②</w:t>
                  </w:r>
                  <w:r>
                    <w:rPr>
                      <w:bCs/>
                      <w:snapToGrid w:val="0"/>
                      <w:color w:val="000000"/>
                      <w:sz w:val="21"/>
                    </w:rPr>
                    <w:t>火灾的扑救过程中会使用大量的水来冷却可燃物或扑灭火，会造成宝贵水资源的大量消耗，在火场使用过的水会将火灾中产生的有害物质带走，渗入地下或排水系统，使居民生活及生产用水受到污染。</w:t>
                  </w:r>
                </w:p>
                <w:p>
                  <w:pPr>
                    <w:spacing w:before="0" w:beforeLines="0"/>
                    <w:ind w:firstLine="0" w:firstLineChars="0"/>
                    <w:rPr>
                      <w:bCs/>
                      <w:snapToGrid w:val="0"/>
                      <w:color w:val="000000"/>
                      <w:sz w:val="21"/>
                    </w:rPr>
                  </w:pPr>
                  <w:r>
                    <w:rPr>
                      <w:b/>
                      <w:snapToGrid w:val="0"/>
                      <w:color w:val="000000"/>
                      <w:sz w:val="21"/>
                    </w:rPr>
                    <w:t>危险物质泄漏：</w:t>
                  </w:r>
                  <w:r>
                    <w:rPr>
                      <w:rFonts w:hint="eastAsia"/>
                      <w:bCs/>
                      <w:snapToGrid w:val="0"/>
                      <w:color w:val="000000"/>
                      <w:sz w:val="21"/>
                    </w:rPr>
                    <w:t>盐酸、氯酸纳在密闭空间内浓度达到1</w:t>
                  </w:r>
                  <w:r>
                    <w:rPr>
                      <w:bCs/>
                      <w:snapToGrid w:val="0"/>
                      <w:color w:val="000000"/>
                      <w:sz w:val="21"/>
                    </w:rPr>
                    <w:t>0</w:t>
                  </w:r>
                  <w:r>
                    <w:rPr>
                      <w:rFonts w:hint="eastAsia"/>
                      <w:bCs/>
                      <w:snapToGrid w:val="0"/>
                      <w:color w:val="000000"/>
                      <w:sz w:val="21"/>
                    </w:rPr>
                    <w:t>%时，</w:t>
                  </w:r>
                  <w:r>
                    <w:rPr>
                      <w:bCs/>
                      <w:snapToGrid w:val="0"/>
                      <w:color w:val="000000"/>
                      <w:sz w:val="21"/>
                    </w:rPr>
                    <w:t>发生爆燃事故，甚至出现</w:t>
                  </w:r>
                  <w:r>
                    <w:rPr>
                      <w:rFonts w:hint="eastAsia"/>
                      <w:bCs/>
                      <w:snapToGrid w:val="0"/>
                      <w:color w:val="000000"/>
                      <w:sz w:val="21"/>
                    </w:rPr>
                    <w:t>容器</w:t>
                  </w:r>
                  <w:r>
                    <w:rPr>
                      <w:bCs/>
                      <w:snapToGrid w:val="0"/>
                      <w:color w:val="000000"/>
                      <w:sz w:val="21"/>
                    </w:rPr>
                    <w:t>爆炸，危及周边人员安全及建筑，同时引发火灾也会污染周边环境</w:t>
                  </w:r>
                  <w:r>
                    <w:rPr>
                      <w:rFonts w:hint="eastAsia"/>
                      <w:bCs/>
                      <w:snapToGrid w:val="0"/>
                      <w:color w:val="000000"/>
                      <w:sz w:val="21"/>
                    </w:rPr>
                    <w:t>，检疫废物、氢氧化钠等物质泄漏可能导致水体、土壤污染</w:t>
                  </w:r>
                  <w:r>
                    <w:rPr>
                      <w:bCs/>
                      <w:snapToGrid w:val="0"/>
                      <w:color w:val="000000"/>
                      <w:sz w:val="21"/>
                    </w:rPr>
                    <w:t>。</w:t>
                  </w:r>
                </w:p>
                <w:p>
                  <w:pPr>
                    <w:spacing w:before="0" w:beforeLines="0"/>
                    <w:ind w:firstLine="0" w:firstLineChars="0"/>
                    <w:rPr>
                      <w:bCs/>
                      <w:snapToGrid w:val="0"/>
                      <w:color w:val="000000"/>
                      <w:sz w:val="21"/>
                    </w:rPr>
                  </w:pPr>
                  <w:r>
                    <w:rPr>
                      <w:b/>
                      <w:snapToGrid w:val="0"/>
                      <w:color w:val="000000"/>
                      <w:sz w:val="21"/>
                    </w:rPr>
                    <w:t>废气事故性排放：</w:t>
                  </w:r>
                  <w:r>
                    <w:rPr>
                      <w:rFonts w:hint="eastAsia"/>
                      <w:bCs/>
                      <w:snapToGrid w:val="0"/>
                      <w:color w:val="000000"/>
                      <w:sz w:val="21"/>
                    </w:rPr>
                    <w:t>主要通过大气扩散影响周边大气环境，进影响居民生活。一旦发生爆炸、火灾、燃烧过程中引燃其它物质产生的有害气体和燃烧烟尘对区域的大气环境会造成不利影响，导致区域环境空气质量下降，且短内不易恢复。</w:t>
                  </w:r>
                </w:p>
                <w:p>
                  <w:pPr>
                    <w:spacing w:before="0" w:beforeLines="0"/>
                    <w:ind w:firstLine="0" w:firstLineChars="0"/>
                    <w:rPr>
                      <w:bCs/>
                      <w:snapToGrid w:val="0"/>
                      <w:sz w:val="21"/>
                    </w:rPr>
                  </w:pPr>
                  <w:r>
                    <w:rPr>
                      <w:b/>
                      <w:color w:val="000000"/>
                      <w:sz w:val="21"/>
                      <w:szCs w:val="21"/>
                    </w:rPr>
                    <w:t>废水事故性排放：</w:t>
                  </w:r>
                  <w:r>
                    <w:rPr>
                      <w:bCs/>
                      <w:snapToGrid w:val="0"/>
                      <w:color w:val="000000"/>
                      <w:sz w:val="21"/>
                    </w:rPr>
                    <w:t>未经处理的废水由于水泵等设备发生故障、配电箱短路、</w:t>
                  </w:r>
                  <w:r>
                    <w:rPr>
                      <w:rFonts w:hint="eastAsia"/>
                      <w:bCs/>
                      <w:snapToGrid w:val="0"/>
                      <w:color w:val="000000"/>
                      <w:sz w:val="21"/>
                    </w:rPr>
                    <w:t>管道破损</w:t>
                  </w:r>
                  <w:r>
                    <w:rPr>
                      <w:bCs/>
                      <w:snapToGrid w:val="0"/>
                      <w:color w:val="000000"/>
                      <w:sz w:val="21"/>
                    </w:rPr>
                    <w:t>等情况，导致污水处理设施无法正常运作，造成污水泄漏，直接外排会</w:t>
                  </w:r>
                  <w:r>
                    <w:rPr>
                      <w:rFonts w:hint="eastAsia"/>
                      <w:bCs/>
                      <w:snapToGrid w:val="0"/>
                      <w:color w:val="000000"/>
                      <w:sz w:val="21"/>
                    </w:rPr>
                    <w:t>对土壤及地下水造成一定程度的污染</w:t>
                  </w:r>
                  <w:r>
                    <w:rPr>
                      <w:bCs/>
                      <w:snapToGrid w:val="0"/>
                      <w:color w:val="000000"/>
                      <w:sz w:val="21"/>
                    </w:rPr>
                    <w:t>。</w:t>
                  </w:r>
                </w:p>
              </w:tc>
            </w:tr>
            <w:tr>
              <w:tblPrEx>
                <w:tblCellMar>
                  <w:top w:w="0" w:type="dxa"/>
                  <w:left w:w="0" w:type="dxa"/>
                  <w:bottom w:w="0" w:type="dxa"/>
                  <w:right w:w="0" w:type="dxa"/>
                </w:tblCellMar>
              </w:tblPrEx>
              <w:trPr>
                <w:trHeight w:val="397" w:hRule="atLeast"/>
                <w:jc w:val="center"/>
              </w:trPr>
              <w:tc>
                <w:tcPr>
                  <w:tcW w:w="1522" w:type="pct"/>
                  <w:tcBorders>
                    <w:top w:val="single" w:color="000000" w:sz="4" w:space="0"/>
                    <w:left w:val="single" w:color="000000" w:sz="8" w:space="0"/>
                    <w:bottom w:val="single" w:color="000000" w:sz="4" w:space="0"/>
                    <w:right w:val="single" w:color="000000" w:sz="4" w:space="0"/>
                  </w:tcBorders>
                  <w:vAlign w:val="center"/>
                </w:tcPr>
                <w:p>
                  <w:pPr>
                    <w:spacing w:before="0" w:beforeLines="0" w:line="271" w:lineRule="auto"/>
                    <w:ind w:firstLine="0" w:firstLineChars="0"/>
                    <w:jc w:val="center"/>
                    <w:rPr>
                      <w:bCs/>
                      <w:snapToGrid w:val="0"/>
                      <w:sz w:val="21"/>
                    </w:rPr>
                  </w:pPr>
                  <w:r>
                    <w:rPr>
                      <w:bCs/>
                      <w:snapToGrid w:val="0"/>
                      <w:sz w:val="21"/>
                    </w:rPr>
                    <w:t>风险防范措施要求</w:t>
                  </w:r>
                </w:p>
              </w:tc>
              <w:tc>
                <w:tcPr>
                  <w:tcW w:w="3478" w:type="pct"/>
                  <w:gridSpan w:val="4"/>
                  <w:tcBorders>
                    <w:top w:val="single" w:color="000000" w:sz="4" w:space="0"/>
                    <w:left w:val="single" w:color="000000" w:sz="4" w:space="0"/>
                    <w:bottom w:val="single" w:color="000000" w:sz="4" w:space="0"/>
                    <w:right w:val="single" w:color="000000" w:sz="8" w:space="0"/>
                  </w:tcBorders>
                  <w:vAlign w:val="center"/>
                </w:tcPr>
                <w:p>
                  <w:pPr>
                    <w:spacing w:before="0" w:beforeLines="0"/>
                    <w:ind w:firstLine="0" w:firstLineChars="0"/>
                    <w:jc w:val="left"/>
                    <w:rPr>
                      <w:bCs/>
                      <w:kern w:val="2"/>
                      <w:sz w:val="21"/>
                      <w:szCs w:val="21"/>
                    </w:rPr>
                  </w:pPr>
                  <w:r>
                    <w:rPr>
                      <w:bCs/>
                      <w:kern w:val="2"/>
                      <w:sz w:val="21"/>
                      <w:szCs w:val="21"/>
                    </w:rPr>
                    <w:t>（1）加强原辅材料管理，定期检查，避免</w:t>
                  </w:r>
                  <w:r>
                    <w:rPr>
                      <w:rFonts w:hint="eastAsia"/>
                      <w:bCs/>
                      <w:kern w:val="2"/>
                      <w:sz w:val="21"/>
                      <w:szCs w:val="21"/>
                    </w:rPr>
                    <w:t>风险物质</w:t>
                  </w:r>
                  <w:r>
                    <w:rPr>
                      <w:bCs/>
                      <w:kern w:val="2"/>
                      <w:sz w:val="21"/>
                      <w:szCs w:val="21"/>
                    </w:rPr>
                    <w:t>泄漏，存放必要应急物资，如应急药品、防毒面罩、消防斧等；</w:t>
                  </w:r>
                </w:p>
                <w:p>
                  <w:pPr>
                    <w:spacing w:before="0" w:beforeLines="0"/>
                    <w:ind w:firstLine="0" w:firstLineChars="0"/>
                    <w:jc w:val="left"/>
                    <w:rPr>
                      <w:bCs/>
                      <w:kern w:val="2"/>
                      <w:sz w:val="21"/>
                      <w:szCs w:val="21"/>
                    </w:rPr>
                  </w:pPr>
                  <w:r>
                    <w:rPr>
                      <w:bCs/>
                      <w:kern w:val="2"/>
                      <w:sz w:val="21"/>
                      <w:szCs w:val="21"/>
                    </w:rPr>
                    <w:t>（2）对岗位操作人员进行技术培训和定期考核，提高操作技术和自我防护能力，操作时严格遵守操作规程和劳动纪律；</w:t>
                  </w:r>
                </w:p>
                <w:p>
                  <w:pPr>
                    <w:spacing w:before="0" w:beforeLines="0"/>
                    <w:ind w:firstLine="0" w:firstLineChars="0"/>
                    <w:jc w:val="left"/>
                    <w:rPr>
                      <w:bCs/>
                      <w:snapToGrid w:val="0"/>
                      <w:sz w:val="21"/>
                    </w:rPr>
                  </w:pPr>
                  <w:r>
                    <w:rPr>
                      <w:bCs/>
                      <w:snapToGrid w:val="0"/>
                      <w:sz w:val="21"/>
                    </w:rPr>
                    <w:t>（3）在企业的明显位置张贴禁用明火、严禁吸烟的告示，并设置消防器材，车间内设置消防箱，防火防爆；</w:t>
                  </w:r>
                </w:p>
                <w:p>
                  <w:pPr>
                    <w:spacing w:before="0" w:beforeLines="0"/>
                    <w:ind w:firstLine="0" w:firstLineChars="0"/>
                    <w:jc w:val="left"/>
                    <w:rPr>
                      <w:bCs/>
                      <w:snapToGrid w:val="0"/>
                      <w:sz w:val="21"/>
                    </w:rPr>
                  </w:pPr>
                  <w:r>
                    <w:rPr>
                      <w:bCs/>
                      <w:snapToGrid w:val="0"/>
                      <w:sz w:val="21"/>
                    </w:rPr>
                    <w:t>（4）车间安装视频监控系统与火灾烟雾报警器，值班室设置监控终端；一旦出现紧急情况马上启动应急救援系统，并通过电话直接与当地公安、消防部门及有关单位联系；</w:t>
                  </w:r>
                </w:p>
                <w:p>
                  <w:pPr>
                    <w:spacing w:before="0" w:beforeLines="0"/>
                    <w:ind w:firstLine="0" w:firstLineChars="0"/>
                    <w:jc w:val="left"/>
                    <w:rPr>
                      <w:bCs/>
                      <w:snapToGrid w:val="0"/>
                      <w:sz w:val="21"/>
                    </w:rPr>
                  </w:pPr>
                  <w:r>
                    <w:rPr>
                      <w:bCs/>
                      <w:snapToGrid w:val="0"/>
                      <w:sz w:val="21"/>
                    </w:rPr>
                    <w:t>（5）厂区配备的应急设施、设备及物资设置专人负责，定期检查</w:t>
                  </w:r>
                  <w:r>
                    <w:rPr>
                      <w:rFonts w:hint="eastAsia"/>
                      <w:bCs/>
                      <w:snapToGrid w:val="0"/>
                      <w:sz w:val="21"/>
                    </w:rPr>
                    <w:t>；</w:t>
                  </w:r>
                </w:p>
                <w:p>
                  <w:pPr>
                    <w:spacing w:before="0" w:beforeLines="0"/>
                    <w:ind w:firstLine="0" w:firstLineChars="0"/>
                    <w:jc w:val="left"/>
                    <w:rPr>
                      <w:bCs/>
                      <w:snapToGrid w:val="0"/>
                      <w:color w:val="000000"/>
                      <w:sz w:val="21"/>
                    </w:rPr>
                  </w:pPr>
                  <w:r>
                    <w:rPr>
                      <w:bCs/>
                      <w:snapToGrid w:val="0"/>
                      <w:sz w:val="21"/>
                    </w:rPr>
                    <w:t>（6）制</w:t>
                  </w:r>
                  <w:r>
                    <w:rPr>
                      <w:bCs/>
                      <w:snapToGrid w:val="0"/>
                      <w:color w:val="000000"/>
                      <w:sz w:val="21"/>
                    </w:rPr>
                    <w:t>定突发环境事件应急措施，同时设置消防安全疏散通道，减少突发事件的发生与损害</w:t>
                  </w:r>
                  <w:r>
                    <w:rPr>
                      <w:rFonts w:hint="eastAsia"/>
                      <w:bCs/>
                      <w:snapToGrid w:val="0"/>
                      <w:color w:val="000000"/>
                      <w:sz w:val="21"/>
                    </w:rPr>
                    <w:t>；</w:t>
                  </w:r>
                </w:p>
              </w:tc>
            </w:tr>
            <w:tr>
              <w:tblPrEx>
                <w:tblCellMar>
                  <w:top w:w="0" w:type="dxa"/>
                  <w:left w:w="0" w:type="dxa"/>
                  <w:bottom w:w="0" w:type="dxa"/>
                  <w:right w:w="0" w:type="dxa"/>
                </w:tblCellMar>
              </w:tblPrEx>
              <w:trPr>
                <w:trHeight w:val="397" w:hRule="atLeast"/>
                <w:jc w:val="center"/>
              </w:trPr>
              <w:tc>
                <w:tcPr>
                  <w:tcW w:w="5000" w:type="pct"/>
                  <w:gridSpan w:val="5"/>
                  <w:tcBorders>
                    <w:top w:val="single" w:color="000000" w:sz="4" w:space="0"/>
                    <w:left w:val="single" w:color="000000" w:sz="8" w:space="0"/>
                    <w:bottom w:val="single" w:color="000000" w:sz="4" w:space="0"/>
                    <w:right w:val="single" w:color="000000" w:sz="8" w:space="0"/>
                  </w:tcBorders>
                  <w:vAlign w:val="center"/>
                </w:tcPr>
                <w:p>
                  <w:pPr>
                    <w:spacing w:before="0" w:beforeLines="0"/>
                    <w:ind w:firstLine="0" w:firstLineChars="0"/>
                    <w:rPr>
                      <w:bCs/>
                      <w:snapToGrid w:val="0"/>
                      <w:sz w:val="21"/>
                    </w:rPr>
                  </w:pPr>
                  <w:r>
                    <w:rPr>
                      <w:bCs/>
                      <w:snapToGrid w:val="0"/>
                      <w:sz w:val="21"/>
                      <w:szCs w:val="21"/>
                    </w:rPr>
                    <w:t>本项目潜在环境危害程度低，可能存在火灾事故、泄漏及废气事故性排放等风险，必须严格执行国家的技术规范和操作规程要求，落实各项安全规章制度，在采取措施后，能有效防范风险，对周围环境和居民影响较小。</w:t>
                  </w:r>
                </w:p>
              </w:tc>
            </w:tr>
            <w:bookmarkEnd w:id="28"/>
          </w:tbl>
          <w:p>
            <w:pPr>
              <w:tabs>
                <w:tab w:val="left" w:pos="8960"/>
              </w:tabs>
              <w:snapToGrid w:val="0"/>
              <w:spacing w:before="240" w:beforeLines="100"/>
              <w:ind w:firstLine="0" w:firstLineChars="0"/>
              <w:rPr>
                <w:bCs/>
              </w:rPr>
            </w:pPr>
            <w:r>
              <w:rPr>
                <w:rFonts w:hint="eastAsia"/>
                <w:bCs/>
              </w:rPr>
              <w:t xml:space="preserve"> </w:t>
            </w:r>
            <w:r>
              <w:rPr>
                <w:bCs/>
              </w:rPr>
              <w:t xml:space="preserve">   </w:t>
            </w:r>
            <w:r>
              <w:rPr>
                <w:rFonts w:hint="eastAsia"/>
                <w:bCs/>
              </w:rPr>
              <w:t>（4）</w:t>
            </w:r>
            <w:r>
              <w:rPr>
                <w:bCs/>
              </w:rPr>
              <w:t>制定突发环境事件应急措施</w:t>
            </w:r>
          </w:p>
          <w:p>
            <w:pPr>
              <w:snapToGrid w:val="0"/>
              <w:spacing w:before="120"/>
              <w:ind w:firstLine="480"/>
              <w:rPr>
                <w:bCs/>
              </w:rPr>
            </w:pPr>
            <w:r>
              <w:rPr>
                <w:bCs/>
              </w:rPr>
              <w:t>突发环境事件应急措施见下表：</w:t>
            </w:r>
          </w:p>
          <w:p>
            <w:pPr>
              <w:spacing w:before="120"/>
              <w:ind w:firstLine="0" w:firstLineChars="0"/>
              <w:jc w:val="center"/>
              <w:rPr>
                <w:b/>
                <w:kern w:val="28"/>
                <w:sz w:val="21"/>
                <w:szCs w:val="32"/>
              </w:rPr>
            </w:pPr>
            <w:r>
              <w:rPr>
                <w:b/>
                <w:kern w:val="28"/>
                <w:sz w:val="21"/>
                <w:szCs w:val="32"/>
              </w:rPr>
              <w:t>表4-19  突发环境事件应急措施一览表</w:t>
            </w:r>
          </w:p>
          <w:tbl>
            <w:tblPr>
              <w:tblStyle w:val="22"/>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940"/>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60" w:type="pct"/>
                  <w:vAlign w:val="center"/>
                </w:tcPr>
                <w:p>
                  <w:pPr>
                    <w:spacing w:before="0" w:beforeLines="0" w:line="240" w:lineRule="auto"/>
                    <w:ind w:firstLine="0" w:firstLineChars="0"/>
                    <w:jc w:val="center"/>
                    <w:rPr>
                      <w:bCs/>
                      <w:snapToGrid w:val="0"/>
                      <w:sz w:val="21"/>
                    </w:rPr>
                  </w:pPr>
                  <w:r>
                    <w:rPr>
                      <w:bCs/>
                      <w:snapToGrid w:val="0"/>
                      <w:sz w:val="21"/>
                    </w:rPr>
                    <w:t>序号</w:t>
                  </w:r>
                </w:p>
              </w:tc>
              <w:tc>
                <w:tcPr>
                  <w:tcW w:w="1210" w:type="pct"/>
                  <w:vAlign w:val="center"/>
                </w:tcPr>
                <w:p>
                  <w:pPr>
                    <w:spacing w:before="0" w:beforeLines="0" w:line="240" w:lineRule="auto"/>
                    <w:ind w:firstLine="0" w:firstLineChars="0"/>
                    <w:jc w:val="center"/>
                    <w:rPr>
                      <w:bCs/>
                      <w:snapToGrid w:val="0"/>
                      <w:sz w:val="21"/>
                    </w:rPr>
                  </w:pPr>
                  <w:r>
                    <w:rPr>
                      <w:bCs/>
                      <w:snapToGrid w:val="0"/>
                      <w:sz w:val="21"/>
                    </w:rPr>
                    <w:t>项目</w:t>
                  </w:r>
                </w:p>
              </w:tc>
              <w:tc>
                <w:tcPr>
                  <w:tcW w:w="3429" w:type="pct"/>
                  <w:vAlign w:val="center"/>
                </w:tcPr>
                <w:p>
                  <w:pPr>
                    <w:spacing w:before="0" w:beforeLines="0" w:line="240" w:lineRule="auto"/>
                    <w:ind w:firstLine="0" w:firstLineChars="0"/>
                    <w:jc w:val="center"/>
                    <w:rPr>
                      <w:bCs/>
                      <w:snapToGrid w:val="0"/>
                      <w:sz w:val="21"/>
                    </w:rPr>
                  </w:pPr>
                  <w:r>
                    <w:rPr>
                      <w:bCs/>
                      <w:snapToGrid w:val="0"/>
                      <w:sz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1</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应急组织机构、人员</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设立事故应急机构、人员由企业主要领导、安全负责人、环保负责人等主要人员组成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2</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预案分级响应条件</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3</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应急救援保障</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应配备必要的应急设施设备器材：事故易发的工作岗位配备必需的防护用品等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4</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报警、通讯联络方式</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建立专用的报警和通讯线路，并保持畅通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5</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应急监测、抢险救援及控制措施</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发生事故时，要保证现场的事故处理设施和全厂的应急处理系统能够紧急启动，并对事故产生的污染物进行有效的控制，同时启动当地的环境应急监测系统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6</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应急监测、防护措施、泄漏措施和器材</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设立必要地控制和清除污染的相应措施。事故发生时，要及时发现事故发生地点和环节，并利用已有的防护措施减少污染物的排放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7</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人员紧急撤离、疏散组织计划</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由事故应急现场指挥部负责及时向上级各有关部门及周边邻近单位和居民点告知事故的危险程度及严重性，指派人员协助邻近单位、村民疏散、撤离至安全地带。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8</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事故应急救援关闭程序与恢复措施</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规定应急状态终止程序、事故现场善后处理、邻近区域解除事故警戒及善后恢复措施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9</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应急培训计划</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企业要注意日常工作中对事故应急处理的培训，以提高职工的安全防范意识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60" w:type="pct"/>
                  <w:vAlign w:val="center"/>
                </w:tcPr>
                <w:p>
                  <w:pPr>
                    <w:spacing w:before="0" w:beforeLines="0" w:line="271" w:lineRule="exact"/>
                    <w:ind w:firstLine="0" w:firstLineChars="0"/>
                    <w:jc w:val="center"/>
                    <w:rPr>
                      <w:bCs/>
                      <w:snapToGrid w:val="0"/>
                      <w:sz w:val="21"/>
                    </w:rPr>
                  </w:pPr>
                  <w:r>
                    <w:rPr>
                      <w:bCs/>
                      <w:snapToGrid w:val="0"/>
                      <w:sz w:val="21"/>
                    </w:rPr>
                    <w:t>10</w:t>
                  </w:r>
                </w:p>
              </w:tc>
              <w:tc>
                <w:tcPr>
                  <w:tcW w:w="1210" w:type="pct"/>
                  <w:vAlign w:val="center"/>
                </w:tcPr>
                <w:p>
                  <w:pPr>
                    <w:spacing w:before="0" w:beforeLines="0" w:line="271" w:lineRule="exact"/>
                    <w:ind w:firstLine="0" w:firstLineChars="0"/>
                    <w:jc w:val="center"/>
                    <w:rPr>
                      <w:bCs/>
                      <w:snapToGrid w:val="0"/>
                      <w:sz w:val="21"/>
                    </w:rPr>
                  </w:pPr>
                  <w:r>
                    <w:rPr>
                      <w:bCs/>
                      <w:snapToGrid w:val="0"/>
                      <w:sz w:val="21"/>
                    </w:rPr>
                    <w:t>公众教育和信息</w:t>
                  </w:r>
                </w:p>
              </w:tc>
              <w:tc>
                <w:tcPr>
                  <w:tcW w:w="3429" w:type="pct"/>
                  <w:vAlign w:val="center"/>
                </w:tcPr>
                <w:p>
                  <w:pPr>
                    <w:spacing w:before="0" w:beforeLines="0" w:line="271" w:lineRule="exact"/>
                    <w:ind w:firstLine="0" w:firstLineChars="0"/>
                    <w:jc w:val="center"/>
                    <w:rPr>
                      <w:bCs/>
                      <w:snapToGrid w:val="0"/>
                      <w:sz w:val="21"/>
                    </w:rPr>
                  </w:pPr>
                  <w:r>
                    <w:rPr>
                      <w:bCs/>
                      <w:snapToGrid w:val="0"/>
                      <w:sz w:val="21"/>
                    </w:rPr>
                    <w:t>通过各种方式，对周围居民等进行预防和消除事故方法宣传</w:t>
                  </w:r>
                </w:p>
              </w:tc>
            </w:tr>
          </w:tbl>
          <w:p>
            <w:pPr>
              <w:adjustRightInd w:val="0"/>
              <w:snapToGrid w:val="0"/>
              <w:spacing w:before="120"/>
              <w:ind w:firstLine="480"/>
              <w:rPr>
                <w:bCs/>
                <w:color w:val="000000"/>
                <w:szCs w:val="20"/>
              </w:rPr>
            </w:pPr>
            <w:r>
              <w:rPr>
                <w:bCs/>
                <w:color w:val="000000"/>
                <w:szCs w:val="20"/>
              </w:rPr>
              <w:t>（5）环境风险分析小结与建议</w:t>
            </w:r>
          </w:p>
          <w:p>
            <w:pPr>
              <w:adjustRightInd w:val="0"/>
              <w:snapToGrid w:val="0"/>
              <w:spacing w:before="120"/>
              <w:ind w:firstLine="480"/>
              <w:rPr>
                <w:bCs/>
                <w:color w:val="000000"/>
                <w:szCs w:val="20"/>
              </w:rPr>
            </w:pPr>
            <w:r>
              <w:rPr>
                <w:bCs/>
              </w:rPr>
              <w:t>本项目潜在环境危害程度低，运营过程中存在泄漏、火灾及废气事故排放等风险，</w:t>
            </w:r>
            <w:r>
              <w:rPr>
                <w:bCs/>
                <w:color w:val="000000"/>
                <w:szCs w:val="20"/>
              </w:rPr>
              <w:t>建议企业加强管理、人员培训、做好防范措施：各厂房设置消均配置一定量的灭火器、呼吸面罩等消防设备、制定环保设备检修制度、应急设施及设备定期巡检制度等，可以较为有效的防范风险事故的发生，把环境风险掌握在可控范围内。</w:t>
            </w:r>
          </w:p>
          <w:p>
            <w:pPr>
              <w:spacing w:before="120"/>
              <w:ind w:firstLine="480"/>
              <w:rPr>
                <w:bCs/>
                <w:szCs w:val="22"/>
              </w:rPr>
            </w:pPr>
            <w:r>
              <w:rPr>
                <w:bCs/>
                <w:szCs w:val="22"/>
              </w:rPr>
              <w:t>8.电磁辐射</w:t>
            </w:r>
          </w:p>
          <w:p>
            <w:pPr>
              <w:spacing w:before="120"/>
              <w:ind w:firstLine="480"/>
              <w:rPr>
                <w:bCs/>
              </w:rPr>
            </w:pPr>
            <w:r>
              <w:rPr>
                <w:bCs/>
              </w:rPr>
              <w:t>本项目不属于广播电台、电视塔台、卫星地球上行站、雷达等电磁辐射类项目，因此无需开展电磁辐射进行分析。</w:t>
            </w:r>
          </w:p>
          <w:p>
            <w:pPr>
              <w:spacing w:before="120"/>
              <w:ind w:firstLine="480"/>
              <w:rPr>
                <w:bCs/>
              </w:rPr>
            </w:pPr>
            <w:r>
              <w:rPr>
                <w:bCs/>
              </w:rPr>
              <w:t>9.环境管理</w:t>
            </w:r>
          </w:p>
          <w:p>
            <w:pPr>
              <w:spacing w:before="120"/>
              <w:ind w:firstLine="480"/>
              <w:rPr>
                <w:bCs/>
              </w:rPr>
            </w:pPr>
            <w:r>
              <w:rPr>
                <w:bCs/>
              </w:rPr>
              <w:t>项目建设实施过程中，通过环境管理，使该项目建设符合国家的经济建设和环境建设同步规划、同步发展和同步实施的“三同时”方针，使环保措施得以具体落实，使环保主管部门具有监督的依据，现提出以下要求：</w:t>
            </w:r>
          </w:p>
          <w:p>
            <w:pPr>
              <w:spacing w:before="120"/>
              <w:ind w:firstLine="480"/>
              <w:rPr>
                <w:bCs/>
              </w:rPr>
            </w:pPr>
            <w:r>
              <w:rPr>
                <w:rFonts w:hint="eastAsia" w:ascii="宋体" w:hAnsi="宋体" w:cs="宋体"/>
                <w:bCs/>
              </w:rPr>
              <w:t>①</w:t>
            </w:r>
            <w:r>
              <w:rPr>
                <w:bCs/>
              </w:rPr>
              <w:t>企业需设置专人负责企业日常的环保管理工作。其具体职责为：贯彻执行国家和上级有关部门及地方生态环境主管部门的方针政策和法规，负责对职工进行经常性的环保教育，按时向有关部门上报有关技术数据，负责组织、落实和监督公司的环境保护工作。</w:t>
            </w:r>
          </w:p>
          <w:p>
            <w:pPr>
              <w:spacing w:before="120"/>
              <w:ind w:firstLine="480"/>
              <w:rPr>
                <w:bCs/>
              </w:rPr>
            </w:pPr>
            <w:r>
              <w:rPr>
                <w:rFonts w:hint="eastAsia" w:ascii="宋体" w:hAnsi="宋体" w:cs="宋体"/>
                <w:bCs/>
              </w:rPr>
              <w:t>②</w:t>
            </w:r>
            <w:r>
              <w:rPr>
                <w:bCs/>
              </w:rPr>
              <w:t>做好环保设施的运行、检查、维护等工作，制定环保设施运转与监督制度。</w:t>
            </w:r>
          </w:p>
          <w:p>
            <w:pPr>
              <w:spacing w:before="120"/>
              <w:ind w:firstLine="480"/>
              <w:rPr>
                <w:bCs/>
              </w:rPr>
            </w:pPr>
            <w:r>
              <w:rPr>
                <w:rFonts w:hint="eastAsia" w:ascii="宋体" w:hAnsi="宋体" w:cs="宋体"/>
                <w:bCs/>
              </w:rPr>
              <w:t>③</w:t>
            </w:r>
            <w:r>
              <w:rPr>
                <w:bCs/>
              </w:rPr>
              <w:t>定期对污染源进行监测，通过设置监测制度，及时反映企业排污状况，根据监测结果及时调整环保管理计划，为改善环保措施提供依据。</w:t>
            </w:r>
          </w:p>
          <w:p>
            <w:pPr>
              <w:spacing w:before="120"/>
              <w:ind w:firstLine="480"/>
              <w:rPr>
                <w:bCs/>
              </w:rPr>
            </w:pPr>
            <w:r>
              <w:rPr>
                <w:rFonts w:hint="eastAsia" w:ascii="宋体" w:hAnsi="宋体" w:cs="宋体"/>
                <w:bCs/>
              </w:rPr>
              <w:t>④</w:t>
            </w:r>
            <w:r>
              <w:rPr>
                <w:bCs/>
              </w:rPr>
              <w:t>制定和实施相应环境保护奖惩制度。</w:t>
            </w:r>
          </w:p>
          <w:p>
            <w:pPr>
              <w:spacing w:before="120"/>
              <w:ind w:firstLine="480"/>
              <w:rPr>
                <w:bCs/>
              </w:rPr>
            </w:pPr>
            <w:r>
              <w:rPr>
                <w:rFonts w:hint="eastAsia"/>
                <w:bCs/>
              </w:rPr>
              <w:t>1</w:t>
            </w:r>
            <w:r>
              <w:rPr>
                <w:bCs/>
              </w:rPr>
              <w:t>0.</w:t>
            </w:r>
            <w:r>
              <w:rPr>
                <w:rFonts w:hint="eastAsia"/>
                <w:bCs/>
              </w:rPr>
              <w:t>疫情风险评价</w:t>
            </w:r>
          </w:p>
          <w:p>
            <w:pPr>
              <w:spacing w:before="120"/>
              <w:ind w:firstLine="440"/>
              <w:rPr>
                <w:bCs/>
                <w:spacing w:val="-10"/>
                <w:szCs w:val="20"/>
              </w:rPr>
            </w:pPr>
            <w:r>
              <w:rPr>
                <w:rFonts w:hint="eastAsia"/>
                <w:bCs/>
                <w:spacing w:val="-10"/>
                <w:szCs w:val="20"/>
              </w:rPr>
              <w:t>疫情不仅影响企业的经济效益，而且大规模疫情将是对环境的潜在威胁。疫情的发生与牛、羊的来源、养殖环境卫生等因素有关，也与当地牲畜等流行病爆发密切相关。尽管发生疫情的概率较低，也要采取相应措施，避免、控制疫情发生。</w:t>
            </w:r>
          </w:p>
          <w:p>
            <w:pPr>
              <w:spacing w:before="120"/>
              <w:ind w:firstLine="440"/>
              <w:rPr>
                <w:bCs/>
                <w:spacing w:val="-10"/>
                <w:szCs w:val="20"/>
              </w:rPr>
            </w:pPr>
            <w:r>
              <w:rPr>
                <w:rFonts w:hint="eastAsia"/>
                <w:bCs/>
                <w:spacing w:val="-10"/>
                <w:szCs w:val="20"/>
              </w:rPr>
              <w:t>考虑到本项目的特殊性，建设单位应设置风险应急预案和风险管理系统，以便迅速对疫情做出必要的反应，并采取相应的防范措施。在发生疫情时，应及时将疫情上报上级主管部门和卫生防疫部门，迅速对疫区进行隔离，有疫情的牛羊参考《畜禽养殖污染防治管理办法》、《畜禽养殖业污染防治技术规范》（HJ/T81-2001）和《国家突发重大动物疫情应急预案》进行妥善处置。具体如下：</w:t>
            </w:r>
          </w:p>
          <w:p>
            <w:pPr>
              <w:spacing w:before="120"/>
              <w:ind w:firstLine="440"/>
              <w:rPr>
                <w:bCs/>
                <w:spacing w:val="-10"/>
                <w:szCs w:val="20"/>
              </w:rPr>
            </w:pPr>
            <w:r>
              <w:rPr>
                <w:rFonts w:hint="eastAsia"/>
                <w:bCs/>
                <w:spacing w:val="-10"/>
                <w:szCs w:val="20"/>
              </w:rPr>
              <w:t>①加强源头控制，坚决切断污染源</w:t>
            </w:r>
          </w:p>
          <w:p>
            <w:pPr>
              <w:spacing w:before="120"/>
              <w:ind w:firstLine="440"/>
              <w:rPr>
                <w:bCs/>
                <w:spacing w:val="-10"/>
                <w:szCs w:val="20"/>
              </w:rPr>
            </w:pPr>
            <w:r>
              <w:rPr>
                <w:rFonts w:hint="eastAsia"/>
                <w:bCs/>
                <w:spacing w:val="-10"/>
                <w:szCs w:val="20"/>
              </w:rPr>
              <w:t>动物进厂前须经当地相关部门检疫，签发检疫证明，方可引入待宰栏内。做好畜禽饮用水的消毒管理，确保畜禽饮用水符合安全卫生标准。严格防止畜禽粪便等污染物混入其饮用水中。被污染的畜禽饮用水严禁循环使用。参考《畜禽养殖业污染防治技术规范》（HT/T81-2001）要求对待宰栏进行空气消毒。</w:t>
            </w:r>
          </w:p>
          <w:p>
            <w:pPr>
              <w:spacing w:before="120"/>
              <w:ind w:firstLine="440"/>
              <w:rPr>
                <w:bCs/>
                <w:spacing w:val="-10"/>
                <w:szCs w:val="20"/>
              </w:rPr>
            </w:pPr>
            <w:r>
              <w:rPr>
                <w:rFonts w:hint="eastAsia"/>
                <w:bCs/>
                <w:spacing w:val="-10"/>
                <w:szCs w:val="20"/>
              </w:rPr>
              <w:t>②生产区与非生产区划分明显，清洁区与非清洁区严格分隔，人流物流互不干扰，垃圾、废弃物存放与处理符合相关要求，厂区定期除虫灭害、清洁消毒。搞好各待宰栏内外的环境卫生，及时清除待宰栏的粪便。员工进入生产车间要换上消毒的服装鞋帽，外来人员及车辆等必须严格消毒后进场。</w:t>
            </w:r>
          </w:p>
          <w:p>
            <w:pPr>
              <w:spacing w:before="120"/>
              <w:ind w:firstLine="440"/>
              <w:rPr>
                <w:bCs/>
                <w:spacing w:val="-10"/>
                <w:szCs w:val="20"/>
              </w:rPr>
            </w:pPr>
            <w:r>
              <w:rPr>
                <w:rFonts w:hint="eastAsia"/>
                <w:bCs/>
                <w:spacing w:val="-10"/>
                <w:szCs w:val="20"/>
              </w:rPr>
              <w:t>③加强过程控制和末端治理</w:t>
            </w:r>
          </w:p>
          <w:p>
            <w:pPr>
              <w:spacing w:before="120"/>
              <w:ind w:firstLine="440"/>
              <w:rPr>
                <w:bCs/>
                <w:spacing w:val="-10"/>
                <w:szCs w:val="20"/>
              </w:rPr>
            </w:pPr>
            <w:r>
              <w:rPr>
                <w:rFonts w:hint="eastAsia"/>
                <w:bCs/>
                <w:spacing w:val="-10"/>
                <w:szCs w:val="20"/>
              </w:rPr>
              <w:t>按要求做好粪便清理，委托有处理能力单位进行处理。用消毒剂消毒粪便暂存区，</w:t>
            </w:r>
          </w:p>
          <w:p>
            <w:pPr>
              <w:spacing w:before="120"/>
              <w:ind w:firstLine="0" w:firstLineChars="0"/>
              <w:rPr>
                <w:bCs/>
                <w:spacing w:val="-10"/>
                <w:szCs w:val="20"/>
              </w:rPr>
            </w:pPr>
            <w:r>
              <w:rPr>
                <w:rFonts w:hint="eastAsia"/>
                <w:bCs/>
                <w:spacing w:val="-10"/>
                <w:szCs w:val="20"/>
              </w:rPr>
              <w:t>牛羊排泄物及时清理，保持待宰栏干燥洁净。</w:t>
            </w:r>
          </w:p>
          <w:p>
            <w:pPr>
              <w:spacing w:before="120"/>
              <w:ind w:firstLine="440"/>
              <w:rPr>
                <w:bCs/>
                <w:spacing w:val="-10"/>
                <w:szCs w:val="20"/>
              </w:rPr>
            </w:pPr>
            <w:r>
              <w:rPr>
                <w:rFonts w:hint="eastAsia"/>
                <w:bCs/>
                <w:spacing w:val="-10"/>
                <w:szCs w:val="20"/>
              </w:rPr>
              <w:t>④提高员工专业素质，增强疫病防范观念</w:t>
            </w:r>
          </w:p>
          <w:p>
            <w:pPr>
              <w:spacing w:before="120"/>
              <w:ind w:firstLine="440"/>
              <w:rPr>
                <w:bCs/>
                <w:spacing w:val="-10"/>
                <w:szCs w:val="20"/>
              </w:rPr>
            </w:pPr>
            <w:r>
              <w:rPr>
                <w:rFonts w:hint="eastAsia"/>
                <w:bCs/>
                <w:spacing w:val="-10"/>
                <w:szCs w:val="20"/>
              </w:rPr>
              <w:t>提高员工的专业素质，定期进行思想教育和技术培训，逐步提高他们对传染病的警惕意识，并自觉遵守防疫制度，厂区设专人负责防疫工作。</w:t>
            </w:r>
          </w:p>
          <w:p>
            <w:pPr>
              <w:spacing w:before="120"/>
              <w:ind w:firstLine="440"/>
              <w:rPr>
                <w:bCs/>
                <w:spacing w:val="-10"/>
                <w:szCs w:val="20"/>
              </w:rPr>
            </w:pPr>
            <w:r>
              <w:rPr>
                <w:rFonts w:hint="eastAsia"/>
                <w:bCs/>
                <w:spacing w:val="-10"/>
                <w:szCs w:val="20"/>
              </w:rPr>
              <w:t>⑤加强日常管理</w:t>
            </w:r>
          </w:p>
          <w:p>
            <w:pPr>
              <w:spacing w:before="120"/>
              <w:ind w:firstLine="440"/>
              <w:rPr>
                <w:bCs/>
                <w:spacing w:val="-10"/>
                <w:szCs w:val="20"/>
              </w:rPr>
            </w:pPr>
            <w:r>
              <w:rPr>
                <w:rFonts w:hint="eastAsia"/>
                <w:bCs/>
                <w:spacing w:val="-10"/>
                <w:szCs w:val="20"/>
              </w:rPr>
              <w:t>按国家和地方相关标准严格执行宰前检验、宰后检验及检验结果异常的处理。推行屠宰环节肉品质量安全风险管理，根据屠宰环节肉品质量安全风险状况开展检验检测，具备完善的以危害分析和预防控制措施为核心的肉品质量安全控制体系。</w:t>
            </w:r>
          </w:p>
          <w:p>
            <w:pPr>
              <w:spacing w:before="120"/>
              <w:ind w:firstLine="440"/>
              <w:rPr>
                <w:bCs/>
                <w:spacing w:val="-10"/>
                <w:szCs w:val="20"/>
              </w:rPr>
            </w:pPr>
            <w:r>
              <w:rPr>
                <w:rFonts w:hint="eastAsia"/>
                <w:bCs/>
                <w:spacing w:val="-10"/>
                <w:szCs w:val="20"/>
              </w:rPr>
              <w:t>⑥建立疫病报告制度</w:t>
            </w:r>
          </w:p>
          <w:p>
            <w:pPr>
              <w:spacing w:before="120"/>
              <w:ind w:firstLine="440"/>
              <w:rPr>
                <w:bCs/>
                <w:spacing w:val="-10"/>
                <w:szCs w:val="20"/>
              </w:rPr>
            </w:pPr>
            <w:r>
              <w:rPr>
                <w:rFonts w:hint="eastAsia"/>
                <w:bCs/>
                <w:spacing w:val="-10"/>
                <w:szCs w:val="20"/>
              </w:rPr>
              <w:t>实施规范化管理，待宰栏内牛羊的数量、精神状况、发病死亡情况、粪便情况均需记载，发现有病牲畜同时，尽快向当地兽医部门报告，以便及早确诊，采取适当措施，减少损失。</w:t>
            </w:r>
          </w:p>
          <w:p>
            <w:pPr>
              <w:spacing w:before="120"/>
              <w:ind w:firstLine="480"/>
              <w:rPr>
                <w:bCs/>
              </w:rPr>
            </w:pPr>
            <w:r>
              <w:rPr>
                <w:bCs/>
              </w:rPr>
              <w:t>11.污染源汇总及监测计划</w:t>
            </w:r>
          </w:p>
          <w:p>
            <w:pPr>
              <w:spacing w:before="120"/>
              <w:ind w:firstLine="480"/>
              <w:rPr>
                <w:bCs/>
                <w:kern w:val="28"/>
                <w:sz w:val="21"/>
                <w:szCs w:val="32"/>
              </w:rPr>
            </w:pPr>
            <w:r>
              <w:rPr>
                <w:bCs/>
              </w:rPr>
              <w:t>本项目污染物产排情况如下表所示：</w:t>
            </w:r>
          </w:p>
          <w:p>
            <w:pPr>
              <w:spacing w:before="120"/>
              <w:ind w:firstLine="0" w:firstLineChars="0"/>
              <w:jc w:val="center"/>
              <w:rPr>
                <w:b/>
                <w:kern w:val="28"/>
                <w:sz w:val="21"/>
                <w:szCs w:val="32"/>
              </w:rPr>
            </w:pPr>
            <w:r>
              <w:rPr>
                <w:b/>
                <w:kern w:val="28"/>
                <w:sz w:val="21"/>
                <w:szCs w:val="32"/>
              </w:rPr>
              <w:t xml:space="preserve">表4-20  本项目污染源强产生及排放情况汇总一览表 </w:t>
            </w:r>
          </w:p>
          <w:tbl>
            <w:tblPr>
              <w:tblStyle w:val="22"/>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080"/>
              <w:gridCol w:w="1623"/>
              <w:gridCol w:w="1229"/>
              <w:gridCol w:w="1214"/>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内容</w:t>
                  </w:r>
                </w:p>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类型</w:t>
                  </w:r>
                </w:p>
              </w:tc>
              <w:tc>
                <w:tcPr>
                  <w:tcW w:w="10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排放源</w:t>
                  </w:r>
                </w:p>
              </w:tc>
              <w:tc>
                <w:tcPr>
                  <w:tcW w:w="1623"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排放形式</w:t>
                  </w:r>
                </w:p>
              </w:tc>
              <w:tc>
                <w:tcPr>
                  <w:tcW w:w="122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污染物名称</w:t>
                  </w:r>
                </w:p>
              </w:tc>
              <w:tc>
                <w:tcPr>
                  <w:tcW w:w="12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产生情况</w:t>
                  </w:r>
                </w:p>
              </w:tc>
              <w:tc>
                <w:tcPr>
                  <w:tcW w:w="1670" w:type="dxa"/>
                  <w:tcBorders>
                    <w:top w:val="single" w:color="auto" w:sz="4"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061" w:type="dxa"/>
                  <w:vMerge w:val="restart"/>
                  <w:tcBorders>
                    <w:top w:val="single" w:color="auto" w:sz="6" w:space="0"/>
                    <w:left w:val="single" w:color="auto" w:sz="4" w:space="0"/>
                    <w:bottom w:val="single" w:color="auto" w:sz="6" w:space="0"/>
                    <w:right w:val="single" w:color="auto" w:sz="4" w:space="0"/>
                  </w:tcBorders>
                  <w:shd w:val="clear" w:color="auto" w:fill="auto"/>
                  <w:vAlign w:val="center"/>
                </w:tcPr>
                <w:p>
                  <w:pPr>
                    <w:adjustRightInd w:val="0"/>
                    <w:snapToGrid w:val="0"/>
                    <w:spacing w:before="0" w:beforeLines="0" w:afterAutospacing="1"/>
                    <w:ind w:firstLine="0" w:firstLineChars="0"/>
                    <w:jc w:val="center"/>
                    <w:rPr>
                      <w:color w:val="000000"/>
                      <w:sz w:val="21"/>
                      <w:szCs w:val="21"/>
                    </w:rPr>
                  </w:pPr>
                  <w:r>
                    <w:rPr>
                      <w:rFonts w:hint="eastAsia" w:ascii="宋体" w:hAnsi="宋体" w:cs="宋体"/>
                      <w:color w:val="000000"/>
                      <w:sz w:val="21"/>
                      <w:szCs w:val="21"/>
                      <w:lang w:bidi="ar"/>
                    </w:rPr>
                    <w:t>废气</w:t>
                  </w:r>
                </w:p>
              </w:tc>
              <w:tc>
                <w:tcPr>
                  <w:tcW w:w="1080" w:type="dxa"/>
                  <w:vMerge w:val="restart"/>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待宰、屠宰间</w:t>
                  </w:r>
                </w:p>
              </w:tc>
              <w:tc>
                <w:tcPr>
                  <w:tcW w:w="1623" w:type="dxa"/>
                  <w:vMerge w:val="restart"/>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经生物（或碱）喷淋塔处理后有组织高空排放</w:t>
                  </w:r>
                </w:p>
              </w:tc>
              <w:tc>
                <w:tcPr>
                  <w:tcW w:w="1229" w:type="dxa"/>
                  <w:tcBorders>
                    <w:top w:val="single" w:color="auto" w:sz="6"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NH</w:t>
                  </w:r>
                  <w:r>
                    <w:rPr>
                      <w:color w:val="000000"/>
                      <w:sz w:val="21"/>
                      <w:szCs w:val="21"/>
                      <w:vertAlign w:val="subscript"/>
                    </w:rPr>
                    <w:t>3</w:t>
                  </w:r>
                </w:p>
              </w:tc>
              <w:tc>
                <w:tcPr>
                  <w:tcW w:w="1214" w:type="dxa"/>
                  <w:tcBorders>
                    <w:top w:val="single" w:color="auto" w:sz="6" w:space="0"/>
                    <w:left w:val="single" w:color="auto" w:sz="6" w:space="0"/>
                    <w:bottom w:val="single" w:color="auto" w:sz="4"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0.28t/a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0.053t/a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5" w:hRule="atLeast"/>
                <w:jc w:val="center"/>
              </w:trPr>
              <w:tc>
                <w:tcPr>
                  <w:tcW w:w="1061" w:type="dxa"/>
                  <w:vMerge w:val="continue"/>
                  <w:tcBorders>
                    <w:top w:val="single" w:color="auto" w:sz="6"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vMerge w:val="continue"/>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vMerge w:val="continue"/>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229" w:type="dxa"/>
                  <w:tcBorders>
                    <w:top w:val="single" w:color="auto" w:sz="6"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H</w:t>
                  </w:r>
                  <w:r>
                    <w:rPr>
                      <w:color w:val="000000"/>
                      <w:sz w:val="21"/>
                      <w:szCs w:val="21"/>
                      <w:vertAlign w:val="subscript"/>
                    </w:rPr>
                    <w:t>2</w:t>
                  </w:r>
                  <w:r>
                    <w:rPr>
                      <w:color w:val="000000"/>
                      <w:sz w:val="21"/>
                      <w:szCs w:val="21"/>
                    </w:rPr>
                    <w:t>S</w:t>
                  </w:r>
                </w:p>
              </w:tc>
              <w:tc>
                <w:tcPr>
                  <w:tcW w:w="1214" w:type="dxa"/>
                  <w:tcBorders>
                    <w:top w:val="single" w:color="auto" w:sz="6" w:space="0"/>
                    <w:left w:val="single" w:color="auto" w:sz="6" w:space="0"/>
                    <w:bottom w:val="single" w:color="auto" w:sz="4"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0.042t/a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061" w:type="dxa"/>
                  <w:vMerge w:val="continue"/>
                  <w:tcBorders>
                    <w:top w:val="single" w:color="auto" w:sz="6"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vMerge w:val="restart"/>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无害化处理间及废水处理站</w:t>
                  </w:r>
                </w:p>
              </w:tc>
              <w:tc>
                <w:tcPr>
                  <w:tcW w:w="1623" w:type="dxa"/>
                  <w:vMerge w:val="restart"/>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生物（或碱）喷淋塔处理后有组织高空排放</w:t>
                  </w:r>
                </w:p>
              </w:tc>
              <w:tc>
                <w:tcPr>
                  <w:tcW w:w="1229" w:type="dxa"/>
                  <w:tcBorders>
                    <w:top w:val="single" w:color="auto" w:sz="6"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NH</w:t>
                  </w:r>
                  <w:r>
                    <w:rPr>
                      <w:color w:val="000000"/>
                      <w:sz w:val="21"/>
                      <w:szCs w:val="21"/>
                      <w:vertAlign w:val="subscript"/>
                    </w:rPr>
                    <w:t>3</w:t>
                  </w:r>
                </w:p>
              </w:tc>
              <w:tc>
                <w:tcPr>
                  <w:tcW w:w="1214" w:type="dxa"/>
                  <w:tcBorders>
                    <w:top w:val="single" w:color="auto" w:sz="6" w:space="0"/>
                    <w:left w:val="single" w:color="auto" w:sz="6" w:space="0"/>
                    <w:bottom w:val="single" w:color="auto" w:sz="4"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71.16</w:t>
                  </w:r>
                  <w:r>
                    <w:rPr>
                      <w:color w:val="000000"/>
                      <w:sz w:val="21"/>
                      <w:szCs w:val="21"/>
                    </w:rPr>
                    <w:t>kg/a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13.056</w:t>
                  </w:r>
                  <w:r>
                    <w:rPr>
                      <w:color w:val="000000"/>
                      <w:sz w:val="21"/>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1" w:type="dxa"/>
                  <w:vMerge w:val="continue"/>
                  <w:tcBorders>
                    <w:top w:val="single" w:color="auto" w:sz="6"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vMerge w:val="continue"/>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vMerge w:val="continue"/>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229" w:type="dxa"/>
                  <w:tcBorders>
                    <w:top w:val="single" w:color="auto" w:sz="6"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H</w:t>
                  </w:r>
                  <w:r>
                    <w:rPr>
                      <w:color w:val="000000"/>
                      <w:sz w:val="21"/>
                      <w:szCs w:val="21"/>
                      <w:vertAlign w:val="subscript"/>
                    </w:rPr>
                    <w:t>2</w:t>
                  </w:r>
                  <w:r>
                    <w:rPr>
                      <w:color w:val="000000"/>
                      <w:sz w:val="21"/>
                      <w:szCs w:val="21"/>
                    </w:rPr>
                    <w:t>S</w:t>
                  </w:r>
                </w:p>
              </w:tc>
              <w:tc>
                <w:tcPr>
                  <w:tcW w:w="1214" w:type="dxa"/>
                  <w:tcBorders>
                    <w:top w:val="single" w:color="auto" w:sz="6" w:space="0"/>
                    <w:left w:val="single" w:color="auto" w:sz="6" w:space="0"/>
                    <w:bottom w:val="single" w:color="auto" w:sz="4"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3.64</w:t>
                  </w:r>
                  <w:r>
                    <w:rPr>
                      <w:color w:val="000000"/>
                      <w:sz w:val="21"/>
                      <w:szCs w:val="21"/>
                    </w:rPr>
                    <w:t>kg/a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0.</w:t>
                  </w:r>
                  <w:r>
                    <w:rPr>
                      <w:rFonts w:hint="eastAsia"/>
                      <w:color w:val="000000"/>
                      <w:sz w:val="21"/>
                      <w:szCs w:val="21"/>
                    </w:rPr>
                    <w:t>634</w:t>
                  </w:r>
                  <w:r>
                    <w:rPr>
                      <w:color w:val="000000"/>
                      <w:sz w:val="21"/>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61" w:type="dxa"/>
                  <w:vMerge w:val="restart"/>
                  <w:tcBorders>
                    <w:top w:val="single" w:color="auto" w:sz="4" w:space="0"/>
                    <w:left w:val="single" w:color="auto" w:sz="4" w:space="0"/>
                    <w:bottom w:val="single" w:color="auto" w:sz="6" w:space="0"/>
                    <w:right w:val="single" w:color="auto" w:sz="4" w:space="0"/>
                  </w:tcBorders>
                  <w:shd w:val="clear" w:color="auto" w:fill="auto"/>
                  <w:vAlign w:val="center"/>
                </w:tcPr>
                <w:p>
                  <w:pPr>
                    <w:adjustRightInd w:val="0"/>
                    <w:snapToGrid w:val="0"/>
                    <w:spacing w:before="0" w:beforeLines="0" w:afterAutospacing="1"/>
                    <w:ind w:firstLine="0" w:firstLineChars="0"/>
                    <w:jc w:val="center"/>
                    <w:rPr>
                      <w:color w:val="000000"/>
                      <w:sz w:val="21"/>
                      <w:szCs w:val="21"/>
                    </w:rPr>
                  </w:pPr>
                  <w:r>
                    <w:rPr>
                      <w:rFonts w:hint="eastAsia" w:ascii="宋体" w:hAnsi="宋体" w:cs="宋体"/>
                      <w:color w:val="000000"/>
                      <w:sz w:val="21"/>
                      <w:szCs w:val="21"/>
                      <w:lang w:bidi="ar"/>
                    </w:rPr>
                    <w:t>废水</w:t>
                  </w:r>
                </w:p>
              </w:tc>
              <w:tc>
                <w:tcPr>
                  <w:tcW w:w="1080" w:type="dxa"/>
                  <w:vMerge w:val="restart"/>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综合排水</w:t>
                  </w:r>
                </w:p>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23506.45</w:t>
                  </w:r>
                  <w:r>
                    <w:rPr>
                      <w:color w:val="000000"/>
                      <w:sz w:val="21"/>
                      <w:szCs w:val="21"/>
                    </w:rPr>
                    <w:t>m3/a</w:t>
                  </w:r>
                </w:p>
              </w:tc>
              <w:tc>
                <w:tcPr>
                  <w:tcW w:w="1623" w:type="dxa"/>
                  <w:vMerge w:val="restart"/>
                  <w:tcBorders>
                    <w:top w:val="nil"/>
                    <w:left w:val="single" w:color="auto" w:sz="6" w:space="0"/>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回用于厂区及周边林地浇灌</w:t>
                  </w:r>
                </w:p>
              </w:tc>
              <w:tc>
                <w:tcPr>
                  <w:tcW w:w="1229"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CODcr</w:t>
                  </w:r>
                </w:p>
              </w:tc>
              <w:tc>
                <w:tcPr>
                  <w:tcW w:w="1214"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45.689t/a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120</w:t>
                  </w:r>
                  <w:r>
                    <w:rPr>
                      <w:color w:val="000000"/>
                      <w:sz w:val="21"/>
                      <w:szCs w:val="21"/>
                    </w:rPr>
                    <w:t>mg/m3</w:t>
                  </w:r>
                  <w:r>
                    <w:rPr>
                      <w:rFonts w:hint="eastAsia"/>
                      <w:color w:val="000000"/>
                      <w:sz w:val="21"/>
                      <w:szCs w:val="21"/>
                    </w:rPr>
                    <w:t>，</w:t>
                  </w:r>
                </w:p>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2.821</w:t>
                  </w:r>
                  <w:r>
                    <w:rPr>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1061" w:type="dxa"/>
                  <w:vMerge w:val="continue"/>
                  <w:tcBorders>
                    <w:top w:val="single" w:color="auto" w:sz="4"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vMerge w:val="continue"/>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vMerge w:val="continue"/>
                  <w:tcBorders>
                    <w:top w:val="nil"/>
                    <w:left w:val="single" w:color="auto" w:sz="6" w:space="0"/>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229"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BOD</w:t>
                  </w:r>
                  <w:r>
                    <w:rPr>
                      <w:color w:val="000000"/>
                      <w:sz w:val="21"/>
                      <w:szCs w:val="21"/>
                      <w:vertAlign w:val="subscript"/>
                    </w:rPr>
                    <w:t>5</w:t>
                  </w:r>
                </w:p>
              </w:tc>
              <w:tc>
                <w:tcPr>
                  <w:tcW w:w="1214"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22.863/a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60</w:t>
                  </w:r>
                  <w:r>
                    <w:rPr>
                      <w:color w:val="000000"/>
                      <w:sz w:val="21"/>
                      <w:szCs w:val="21"/>
                    </w:rPr>
                    <w:t>mg/m3</w:t>
                  </w:r>
                  <w:r>
                    <w:rPr>
                      <w:rFonts w:hint="eastAsia"/>
                      <w:color w:val="000000"/>
                      <w:sz w:val="21"/>
                      <w:szCs w:val="21"/>
                    </w:rPr>
                    <w:t>，1.410</w:t>
                  </w:r>
                  <w:r>
                    <w:rPr>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61" w:type="dxa"/>
                  <w:vMerge w:val="continue"/>
                  <w:tcBorders>
                    <w:top w:val="single" w:color="auto" w:sz="4"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vMerge w:val="continue"/>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vMerge w:val="continue"/>
                  <w:tcBorders>
                    <w:top w:val="nil"/>
                    <w:left w:val="single" w:color="auto" w:sz="6" w:space="0"/>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229"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SS</w:t>
                  </w:r>
                </w:p>
              </w:tc>
              <w:tc>
                <w:tcPr>
                  <w:tcW w:w="1214"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22.863t/a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120</w:t>
                  </w:r>
                  <w:r>
                    <w:rPr>
                      <w:color w:val="000000"/>
                      <w:sz w:val="21"/>
                      <w:szCs w:val="21"/>
                    </w:rPr>
                    <w:t>mg/m3</w:t>
                  </w:r>
                  <w:r>
                    <w:rPr>
                      <w:rFonts w:hint="eastAsia"/>
                      <w:color w:val="000000"/>
                      <w:sz w:val="21"/>
                      <w:szCs w:val="21"/>
                    </w:rPr>
                    <w:t>，2.821</w:t>
                  </w:r>
                  <w:r>
                    <w:rPr>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61" w:type="dxa"/>
                  <w:vMerge w:val="continue"/>
                  <w:tcBorders>
                    <w:top w:val="single" w:color="auto" w:sz="4"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vMerge w:val="continue"/>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vMerge w:val="continue"/>
                  <w:tcBorders>
                    <w:top w:val="nil"/>
                    <w:left w:val="single" w:color="auto" w:sz="6" w:space="0"/>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229"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1214"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3.431t/a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25</w:t>
                  </w:r>
                  <w:r>
                    <w:rPr>
                      <w:color w:val="000000"/>
                      <w:sz w:val="21"/>
                      <w:szCs w:val="21"/>
                    </w:rPr>
                    <w:t>mg/m3</w:t>
                  </w:r>
                  <w:r>
                    <w:rPr>
                      <w:rFonts w:hint="eastAsia"/>
                      <w:color w:val="000000"/>
                      <w:sz w:val="21"/>
                      <w:szCs w:val="21"/>
                    </w:rPr>
                    <w:t>，0.588</w:t>
                  </w:r>
                  <w:r>
                    <w:rPr>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61" w:type="dxa"/>
                  <w:vMerge w:val="continue"/>
                  <w:tcBorders>
                    <w:top w:val="single" w:color="auto" w:sz="4"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vMerge w:val="continue"/>
                  <w:tcBorders>
                    <w:top w:val="nil"/>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vMerge w:val="continue"/>
                  <w:tcBorders>
                    <w:top w:val="nil"/>
                    <w:left w:val="single" w:color="auto" w:sz="6" w:space="0"/>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229"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动植物油</w:t>
                  </w:r>
                </w:p>
              </w:tc>
              <w:tc>
                <w:tcPr>
                  <w:tcW w:w="1214" w:type="dxa"/>
                  <w:tcBorders>
                    <w:top w:val="single" w:color="auto" w:sz="6" w:space="0"/>
                    <w:left w:val="nil"/>
                    <w:bottom w:val="single" w:color="auto" w:sz="6" w:space="0"/>
                    <w:right w:val="single" w:color="auto" w:sz="6"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4.545t/a</w:t>
                  </w:r>
                </w:p>
              </w:tc>
              <w:tc>
                <w:tcPr>
                  <w:tcW w:w="1670" w:type="dxa"/>
                  <w:tcBorders>
                    <w:top w:val="single" w:color="auto" w:sz="6"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2</w:t>
                  </w:r>
                  <w:r>
                    <w:rPr>
                      <w:rFonts w:hint="eastAsia"/>
                      <w:color w:val="000000"/>
                      <w:sz w:val="21"/>
                      <w:szCs w:val="21"/>
                    </w:rPr>
                    <w:t>0</w:t>
                  </w:r>
                  <w:r>
                    <w:rPr>
                      <w:color w:val="000000"/>
                      <w:sz w:val="21"/>
                      <w:szCs w:val="21"/>
                    </w:rPr>
                    <w:t>mg/m3</w:t>
                  </w:r>
                  <w:r>
                    <w:rPr>
                      <w:rFonts w:hint="eastAsia"/>
                      <w:color w:val="000000"/>
                      <w:sz w:val="21"/>
                      <w:szCs w:val="21"/>
                    </w:rPr>
                    <w:t>，</w:t>
                  </w:r>
                </w:p>
                <w:p>
                  <w:pPr>
                    <w:adjustRightInd w:val="0"/>
                    <w:snapToGrid w:val="0"/>
                    <w:spacing w:before="0" w:beforeLines="0" w:line="240" w:lineRule="auto"/>
                    <w:ind w:firstLine="0" w:firstLineChars="0"/>
                    <w:jc w:val="center"/>
                    <w:rPr>
                      <w:color w:val="000000"/>
                      <w:sz w:val="21"/>
                      <w:szCs w:val="21"/>
                    </w:rPr>
                  </w:pPr>
                  <w:r>
                    <w:rPr>
                      <w:color w:val="000000"/>
                      <w:sz w:val="21"/>
                      <w:szCs w:val="21"/>
                    </w:rPr>
                    <w:t>0.047t/a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61" w:type="dxa"/>
                  <w:vMerge w:val="restart"/>
                  <w:tcBorders>
                    <w:top w:val="single" w:color="auto" w:sz="4" w:space="0"/>
                    <w:left w:val="single" w:color="auto" w:sz="4" w:space="0"/>
                    <w:bottom w:val="single" w:color="auto" w:sz="6" w:space="0"/>
                    <w:right w:val="single" w:color="auto" w:sz="4" w:space="0"/>
                  </w:tcBorders>
                  <w:shd w:val="clear" w:color="auto" w:fill="auto"/>
                  <w:vAlign w:val="center"/>
                </w:tcPr>
                <w:p>
                  <w:pPr>
                    <w:adjustRightInd w:val="0"/>
                    <w:snapToGrid w:val="0"/>
                    <w:spacing w:before="0" w:beforeLines="0" w:afterAutospacing="1"/>
                    <w:ind w:firstLine="0" w:firstLineChars="0"/>
                    <w:jc w:val="center"/>
                    <w:rPr>
                      <w:color w:val="000000"/>
                      <w:sz w:val="21"/>
                      <w:szCs w:val="21"/>
                    </w:rPr>
                  </w:pPr>
                  <w:r>
                    <w:rPr>
                      <w:rFonts w:hint="eastAsia" w:ascii="宋体" w:hAnsi="宋体" w:cs="宋体"/>
                      <w:color w:val="000000"/>
                      <w:sz w:val="21"/>
                      <w:szCs w:val="21"/>
                      <w:lang w:bidi="ar"/>
                    </w:rPr>
                    <w:t>固体废物</w:t>
                  </w:r>
                </w:p>
              </w:tc>
              <w:tc>
                <w:tcPr>
                  <w:tcW w:w="1080" w:type="dxa"/>
                  <w:vMerge w:val="restart"/>
                  <w:tcBorders>
                    <w:top w:val="single" w:color="auto" w:sz="4" w:space="0"/>
                    <w:left w:val="nil"/>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一般固废</w:t>
                  </w:r>
                </w:p>
              </w:tc>
              <w:tc>
                <w:tcPr>
                  <w:tcW w:w="1623" w:type="dxa"/>
                  <w:tcBorders>
                    <w:top w:val="single" w:color="auto" w:sz="4" w:space="0"/>
                    <w:left w:val="nil"/>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有能力处理单位处理</w:t>
                  </w:r>
                </w:p>
              </w:tc>
              <w:tc>
                <w:tcPr>
                  <w:tcW w:w="122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污水处理污泥、格栅渣及油脂</w:t>
                  </w:r>
                </w:p>
              </w:tc>
              <w:tc>
                <w:tcPr>
                  <w:tcW w:w="12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77.38</w:t>
                  </w:r>
                  <w:r>
                    <w:rPr>
                      <w:color w:val="000000"/>
                      <w:sz w:val="21"/>
                      <w:szCs w:val="21"/>
                    </w:rPr>
                    <w:t>t/a</w:t>
                  </w:r>
                </w:p>
              </w:tc>
              <w:tc>
                <w:tcPr>
                  <w:tcW w:w="16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77.38</w:t>
                  </w:r>
                  <w:r>
                    <w:rPr>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61" w:type="dxa"/>
                  <w:vMerge w:val="continue"/>
                  <w:tcBorders>
                    <w:left w:val="single" w:color="auto" w:sz="4" w:space="0"/>
                    <w:right w:val="single" w:color="auto" w:sz="4" w:space="0"/>
                  </w:tcBorders>
                  <w:shd w:val="clear" w:color="auto" w:fill="auto"/>
                  <w:vAlign w:val="center"/>
                </w:tcPr>
                <w:p>
                  <w:pPr>
                    <w:adjustRightInd w:val="0"/>
                    <w:snapToGrid w:val="0"/>
                    <w:spacing w:before="0" w:beforeLines="0" w:afterAutospacing="1"/>
                    <w:ind w:firstLine="0" w:firstLineChars="0"/>
                    <w:jc w:val="center"/>
                    <w:rPr>
                      <w:rFonts w:ascii="宋体" w:hAnsi="宋体" w:cs="宋体"/>
                      <w:color w:val="000000"/>
                      <w:sz w:val="21"/>
                      <w:szCs w:val="21"/>
                      <w:lang w:bidi="ar"/>
                    </w:rPr>
                  </w:pPr>
                </w:p>
              </w:tc>
              <w:tc>
                <w:tcPr>
                  <w:tcW w:w="1080" w:type="dxa"/>
                  <w:vMerge w:val="continue"/>
                  <w:tcBorders>
                    <w:left w:val="nil"/>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tcBorders>
                    <w:top w:val="single" w:color="auto" w:sz="4" w:space="0"/>
                    <w:left w:val="nil"/>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交由仁化县环卫站进行处理</w:t>
                  </w:r>
                </w:p>
              </w:tc>
              <w:tc>
                <w:tcPr>
                  <w:tcW w:w="122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三级化粪池污泥</w:t>
                  </w:r>
                </w:p>
              </w:tc>
              <w:tc>
                <w:tcPr>
                  <w:tcW w:w="12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0.4</w:t>
                  </w:r>
                  <w:r>
                    <w:rPr>
                      <w:color w:val="000000"/>
                      <w:sz w:val="21"/>
                      <w:szCs w:val="21"/>
                    </w:rPr>
                    <w:t>t/a</w:t>
                  </w:r>
                </w:p>
              </w:tc>
              <w:tc>
                <w:tcPr>
                  <w:tcW w:w="16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0.4</w:t>
                  </w:r>
                  <w:r>
                    <w:rPr>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061" w:type="dxa"/>
                  <w:vMerge w:val="continue"/>
                  <w:tcBorders>
                    <w:left w:val="single" w:color="auto" w:sz="4" w:space="0"/>
                    <w:right w:val="single" w:color="auto" w:sz="4" w:space="0"/>
                  </w:tcBorders>
                  <w:shd w:val="clear" w:color="auto" w:fill="auto"/>
                  <w:vAlign w:val="center"/>
                </w:tcPr>
                <w:p>
                  <w:pPr>
                    <w:adjustRightInd w:val="0"/>
                    <w:snapToGrid w:val="0"/>
                    <w:spacing w:before="0" w:beforeLines="0" w:afterAutospacing="1"/>
                    <w:ind w:firstLine="0" w:firstLineChars="0"/>
                    <w:jc w:val="center"/>
                    <w:rPr>
                      <w:rFonts w:ascii="宋体" w:hAnsi="宋体" w:cs="宋体"/>
                      <w:color w:val="000000"/>
                      <w:sz w:val="21"/>
                      <w:szCs w:val="21"/>
                      <w:lang w:bidi="ar"/>
                    </w:rPr>
                  </w:pPr>
                </w:p>
              </w:tc>
              <w:tc>
                <w:tcPr>
                  <w:tcW w:w="1080" w:type="dxa"/>
                  <w:vMerge w:val="continue"/>
                  <w:tcBorders>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p>
              </w:tc>
              <w:tc>
                <w:tcPr>
                  <w:tcW w:w="1623" w:type="dxa"/>
                  <w:tcBorders>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有机肥厂</w:t>
                  </w:r>
                </w:p>
              </w:tc>
              <w:tc>
                <w:tcPr>
                  <w:tcW w:w="122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牛羊粪便、胃容物、无害化处理废渣</w:t>
                  </w:r>
                </w:p>
              </w:tc>
              <w:tc>
                <w:tcPr>
                  <w:tcW w:w="12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21.2</w:t>
                  </w:r>
                  <w:r>
                    <w:rPr>
                      <w:color w:val="000000"/>
                      <w:sz w:val="21"/>
                      <w:szCs w:val="21"/>
                    </w:rPr>
                    <w:t>t/a</w:t>
                  </w:r>
                </w:p>
              </w:tc>
              <w:tc>
                <w:tcPr>
                  <w:tcW w:w="16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21.2</w:t>
                  </w:r>
                  <w:r>
                    <w:rPr>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1061" w:type="dxa"/>
                  <w:vMerge w:val="continue"/>
                  <w:tcBorders>
                    <w:top w:val="single" w:color="auto" w:sz="4"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tcBorders>
                    <w:top w:val="single" w:color="auto" w:sz="4"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危险废物</w:t>
                  </w:r>
                </w:p>
              </w:tc>
              <w:tc>
                <w:tcPr>
                  <w:tcW w:w="1623" w:type="dxa"/>
                  <w:tcBorders>
                    <w:top w:val="single" w:color="auto" w:sz="4"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委托资质单位处理</w:t>
                  </w:r>
                </w:p>
              </w:tc>
              <w:tc>
                <w:tcPr>
                  <w:tcW w:w="122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检疫废物</w:t>
                  </w:r>
                </w:p>
              </w:tc>
              <w:tc>
                <w:tcPr>
                  <w:tcW w:w="12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0.07t/a</w:t>
                  </w:r>
                </w:p>
              </w:tc>
              <w:tc>
                <w:tcPr>
                  <w:tcW w:w="16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0.07t/a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jc w:val="center"/>
              </w:trPr>
              <w:tc>
                <w:tcPr>
                  <w:tcW w:w="1061" w:type="dxa"/>
                  <w:vMerge w:val="continue"/>
                  <w:tcBorders>
                    <w:top w:val="single" w:color="auto" w:sz="4" w:space="0"/>
                    <w:left w:val="single" w:color="auto" w:sz="4" w:space="0"/>
                    <w:bottom w:val="single" w:color="auto" w:sz="6" w:space="0"/>
                    <w:right w:val="single" w:color="auto" w:sz="4" w:space="0"/>
                  </w:tcBorders>
                  <w:shd w:val="clear" w:color="auto" w:fill="auto"/>
                  <w:vAlign w:val="center"/>
                </w:tcPr>
                <w:p>
                  <w:pPr>
                    <w:spacing w:before="120"/>
                    <w:ind w:firstLine="400"/>
                    <w:rPr>
                      <w:sz w:val="20"/>
                      <w:szCs w:val="20"/>
                    </w:rPr>
                  </w:pPr>
                </w:p>
              </w:tc>
              <w:tc>
                <w:tcPr>
                  <w:tcW w:w="1080" w:type="dxa"/>
                  <w:tcBorders>
                    <w:top w:val="single" w:color="auto" w:sz="4"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生活垃圾</w:t>
                  </w:r>
                </w:p>
              </w:tc>
              <w:tc>
                <w:tcPr>
                  <w:tcW w:w="1623" w:type="dxa"/>
                  <w:tcBorders>
                    <w:top w:val="single" w:color="auto" w:sz="4" w:space="0"/>
                    <w:left w:val="nil"/>
                    <w:bottom w:val="single" w:color="auto" w:sz="6"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交由仁化县环卫站进行处理</w:t>
                  </w:r>
                </w:p>
              </w:tc>
              <w:tc>
                <w:tcPr>
                  <w:tcW w:w="122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生活垃圾</w:t>
                  </w:r>
                </w:p>
              </w:tc>
              <w:tc>
                <w:tcPr>
                  <w:tcW w:w="12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7t/a</w:t>
                  </w:r>
                </w:p>
              </w:tc>
              <w:tc>
                <w:tcPr>
                  <w:tcW w:w="167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0" w:beforeLines="0" w:afterAutospacing="1"/>
                    <w:ind w:firstLine="0" w:firstLineChars="0"/>
                    <w:jc w:val="center"/>
                    <w:rPr>
                      <w:color w:val="000000"/>
                      <w:sz w:val="21"/>
                      <w:szCs w:val="21"/>
                    </w:rPr>
                  </w:pPr>
                  <w:r>
                    <w:rPr>
                      <w:rFonts w:hint="eastAsia" w:ascii="宋体" w:hAnsi="宋体" w:cs="宋体"/>
                      <w:color w:val="000000"/>
                      <w:sz w:val="21"/>
                      <w:szCs w:val="21"/>
                      <w:lang w:bidi="ar"/>
                    </w:rPr>
                    <w:t>噪声</w:t>
                  </w:r>
                </w:p>
              </w:tc>
              <w:tc>
                <w:tcPr>
                  <w:tcW w:w="1080"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生产设备、车辆进出</w:t>
                  </w:r>
                </w:p>
              </w:tc>
              <w:tc>
                <w:tcPr>
                  <w:tcW w:w="1623"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w:t>
                  </w:r>
                </w:p>
              </w:tc>
              <w:tc>
                <w:tcPr>
                  <w:tcW w:w="1229"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噪声</w:t>
                  </w:r>
                </w:p>
              </w:tc>
              <w:tc>
                <w:tcPr>
                  <w:tcW w:w="1214" w:type="dxa"/>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70~90dB</w:t>
                  </w:r>
                  <w:r>
                    <w:rPr>
                      <w:rFonts w:hint="eastAsia"/>
                      <w:color w:val="000000"/>
                      <w:sz w:val="21"/>
                      <w:szCs w:val="21"/>
                    </w:rPr>
                    <w:t>（</w:t>
                  </w:r>
                  <w:r>
                    <w:rPr>
                      <w:color w:val="000000"/>
                      <w:sz w:val="21"/>
                      <w:szCs w:val="21"/>
                    </w:rPr>
                    <w:t>A</w:t>
                  </w:r>
                  <w:r>
                    <w:rPr>
                      <w:rFonts w:hint="eastAsia"/>
                      <w:color w:val="000000"/>
                      <w:sz w:val="21"/>
                      <w:szCs w:val="21"/>
                    </w:rPr>
                    <w:t>）</w:t>
                  </w:r>
                </w:p>
              </w:tc>
              <w:tc>
                <w:tcPr>
                  <w:tcW w:w="1670" w:type="dxa"/>
                  <w:tcBorders>
                    <w:top w:val="single" w:color="auto" w:sz="6" w:space="0"/>
                    <w:left w:val="nil"/>
                    <w:bottom w:val="single" w:color="auto" w:sz="4" w:space="0"/>
                    <w:right w:val="single" w:color="auto" w:sz="4" w:space="0"/>
                  </w:tcBorders>
                  <w:shd w:val="clear" w:color="auto" w:fill="auto"/>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满足《工业企业厂界环境噪声排放标准》（</w:t>
                  </w:r>
                  <w:r>
                    <w:rPr>
                      <w:color w:val="000000"/>
                      <w:sz w:val="21"/>
                      <w:szCs w:val="21"/>
                    </w:rPr>
                    <w:t>GB12348-2008</w:t>
                  </w:r>
                  <w:r>
                    <w:rPr>
                      <w:rFonts w:hint="eastAsia"/>
                      <w:color w:val="000000"/>
                      <w:sz w:val="21"/>
                      <w:szCs w:val="21"/>
                    </w:rPr>
                    <w:t>）</w:t>
                  </w:r>
                  <w:r>
                    <w:rPr>
                      <w:color w:val="000000"/>
                      <w:sz w:val="21"/>
                      <w:szCs w:val="21"/>
                    </w:rPr>
                    <w:t>2</w:t>
                  </w:r>
                  <w:r>
                    <w:rPr>
                      <w:rFonts w:hint="eastAsia"/>
                      <w:color w:val="000000"/>
                      <w:sz w:val="21"/>
                      <w:szCs w:val="21"/>
                    </w:rPr>
                    <w:t>类标准</w:t>
                  </w:r>
                </w:p>
              </w:tc>
            </w:tr>
          </w:tbl>
          <w:p>
            <w:pPr>
              <w:spacing w:before="120"/>
              <w:ind w:firstLine="480"/>
              <w:rPr>
                <w:bCs/>
              </w:rPr>
            </w:pPr>
            <w:r>
              <w:rPr>
                <w:bCs/>
              </w:rPr>
              <w:t>根据本项目的工程建设内容，参考《排污单位自行监测技术指南 总则》(HJ819-2017)</w:t>
            </w:r>
            <w:r>
              <w:rPr>
                <w:rFonts w:hint="eastAsia"/>
                <w:bCs/>
              </w:rPr>
              <w:t>、《排污许可证申请与核发技术规范 农副食品加工工业—屠宰及肉类加工工业》(HJ860.3-2018)、《排污单位自行监测技术指南农副食品加工业》（HJ 986-2018）</w:t>
            </w:r>
            <w:r>
              <w:rPr>
                <w:bCs/>
              </w:rPr>
              <w:t>，本项目监测计划见下表所示：</w:t>
            </w:r>
          </w:p>
          <w:p>
            <w:pPr>
              <w:pStyle w:val="17"/>
              <w:spacing w:before="120" w:line="360" w:lineRule="auto"/>
              <w:rPr>
                <w:b/>
                <w:bCs w:val="0"/>
              </w:rPr>
            </w:pPr>
            <w:r>
              <w:rPr>
                <w:b/>
                <w:bCs w:val="0"/>
              </w:rPr>
              <w:t>表4-21  监测项目一览表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37"/>
              <w:gridCol w:w="1187"/>
              <w:gridCol w:w="1336"/>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项目</w:t>
                  </w:r>
                </w:p>
              </w:tc>
              <w:tc>
                <w:tcPr>
                  <w:tcW w:w="13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监测点位</w:t>
                  </w:r>
                </w:p>
              </w:tc>
              <w:tc>
                <w:tcPr>
                  <w:tcW w:w="11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监测指标</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监测频次</w:t>
                  </w:r>
                </w:p>
              </w:tc>
              <w:tc>
                <w:tcPr>
                  <w:tcW w:w="3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噪声</w:t>
                  </w:r>
                </w:p>
              </w:tc>
              <w:tc>
                <w:tcPr>
                  <w:tcW w:w="13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项目厂界四周</w:t>
                  </w:r>
                </w:p>
              </w:tc>
              <w:tc>
                <w:tcPr>
                  <w:tcW w:w="11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等效声级</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1次/季度</w:t>
                  </w:r>
                </w:p>
              </w:tc>
              <w:tc>
                <w:tcPr>
                  <w:tcW w:w="3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执行《工业企业厂界环境噪声排放标准》（GB12348-2008）中的2类标准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704" w:type="dxa"/>
                  <w:vMerge w:val="restart"/>
                  <w:tcBorders>
                    <w:top w:val="nil"/>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废气</w:t>
                  </w:r>
                </w:p>
              </w:tc>
              <w:tc>
                <w:tcPr>
                  <w:tcW w:w="13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DA0</w:t>
                  </w:r>
                  <w:r>
                    <w:rPr>
                      <w:color w:val="000000"/>
                      <w:sz w:val="21"/>
                      <w:szCs w:val="21"/>
                    </w:rPr>
                    <w:t>01</w:t>
                  </w:r>
                </w:p>
              </w:tc>
              <w:tc>
                <w:tcPr>
                  <w:tcW w:w="11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NH</w:t>
                  </w:r>
                  <w:r>
                    <w:rPr>
                      <w:color w:val="000000"/>
                      <w:sz w:val="21"/>
                      <w:szCs w:val="21"/>
                      <w:vertAlign w:val="subscript"/>
                    </w:rPr>
                    <w:t>3</w:t>
                  </w:r>
                  <w:r>
                    <w:rPr>
                      <w:rFonts w:hint="eastAsia"/>
                      <w:color w:val="000000"/>
                      <w:sz w:val="21"/>
                      <w:szCs w:val="21"/>
                    </w:rPr>
                    <w:t>、H</w:t>
                  </w:r>
                  <w:r>
                    <w:rPr>
                      <w:color w:val="000000"/>
                      <w:sz w:val="21"/>
                      <w:szCs w:val="21"/>
                      <w:vertAlign w:val="subscript"/>
                    </w:rPr>
                    <w:t>2</w:t>
                  </w:r>
                  <w:r>
                    <w:rPr>
                      <w:color w:val="000000"/>
                      <w:sz w:val="21"/>
                      <w:szCs w:val="21"/>
                    </w:rPr>
                    <w:t xml:space="preserve">S </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color w:val="000000"/>
                      <w:sz w:val="21"/>
                      <w:szCs w:val="21"/>
                    </w:rPr>
                    <w:t>1次/</w:t>
                  </w:r>
                  <w:r>
                    <w:rPr>
                      <w:rFonts w:hint="eastAsia"/>
                      <w:color w:val="000000"/>
                      <w:sz w:val="21"/>
                      <w:szCs w:val="21"/>
                    </w:rPr>
                    <w:t>半年</w:t>
                  </w:r>
                </w:p>
              </w:tc>
              <w:tc>
                <w:tcPr>
                  <w:tcW w:w="3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rPr>
                      <w:color w:val="000000"/>
                      <w:sz w:val="21"/>
                      <w:szCs w:val="21"/>
                    </w:rPr>
                  </w:pPr>
                  <w:r>
                    <w:rPr>
                      <w:rFonts w:hint="eastAsia"/>
                      <w:color w:val="000000"/>
                      <w:sz w:val="21"/>
                      <w:szCs w:val="21"/>
                    </w:rPr>
                    <w:t>《恶臭污染物排放标准》（GB14554-93）表2排放标准限值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704" w:type="dxa"/>
                  <w:vMerge w:val="continue"/>
                  <w:tcBorders>
                    <w:top w:val="nil"/>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p>
              </w:tc>
              <w:tc>
                <w:tcPr>
                  <w:tcW w:w="13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color w:val="000000"/>
                      <w:sz w:val="21"/>
                      <w:szCs w:val="21"/>
                    </w:rPr>
                    <w:t>DA002</w:t>
                  </w:r>
                </w:p>
              </w:tc>
              <w:tc>
                <w:tcPr>
                  <w:tcW w:w="11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color w:val="000000"/>
                      <w:sz w:val="21"/>
                      <w:szCs w:val="21"/>
                    </w:rPr>
                    <w:t>NH</w:t>
                  </w:r>
                  <w:r>
                    <w:rPr>
                      <w:color w:val="000000"/>
                      <w:sz w:val="21"/>
                      <w:szCs w:val="21"/>
                      <w:vertAlign w:val="subscript"/>
                    </w:rPr>
                    <w:t>3</w:t>
                  </w:r>
                  <w:r>
                    <w:rPr>
                      <w:rFonts w:hint="eastAsia"/>
                      <w:color w:val="000000"/>
                      <w:sz w:val="21"/>
                      <w:szCs w:val="21"/>
                    </w:rPr>
                    <w:t>、</w:t>
                  </w:r>
                  <w:r>
                    <w:rPr>
                      <w:color w:val="000000"/>
                      <w:sz w:val="21"/>
                      <w:szCs w:val="21"/>
                    </w:rPr>
                    <w:t>H</w:t>
                  </w:r>
                  <w:r>
                    <w:rPr>
                      <w:color w:val="000000"/>
                      <w:sz w:val="21"/>
                      <w:szCs w:val="21"/>
                      <w:vertAlign w:val="subscript"/>
                    </w:rPr>
                    <w:t>2</w:t>
                  </w:r>
                  <w:r>
                    <w:rPr>
                      <w:color w:val="000000"/>
                      <w:sz w:val="21"/>
                      <w:szCs w:val="21"/>
                    </w:rPr>
                    <w:t>S</w:t>
                  </w:r>
                  <w:r>
                    <w:rPr>
                      <w:rFonts w:hint="eastAsia"/>
                      <w:color w:val="000000"/>
                      <w:sz w:val="21"/>
                      <w:szCs w:val="21"/>
                    </w:rPr>
                    <w:t>、臭气浓度</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color w:val="000000"/>
                      <w:sz w:val="21"/>
                      <w:szCs w:val="21"/>
                    </w:rPr>
                    <w:t>1</w:t>
                  </w:r>
                  <w:r>
                    <w:rPr>
                      <w:rFonts w:hint="eastAsia"/>
                      <w:color w:val="000000"/>
                      <w:sz w:val="21"/>
                      <w:szCs w:val="21"/>
                    </w:rPr>
                    <w:t>次</w:t>
                  </w:r>
                  <w:r>
                    <w:rPr>
                      <w:color w:val="000000"/>
                      <w:sz w:val="21"/>
                      <w:szCs w:val="21"/>
                    </w:rPr>
                    <w:t>/</w:t>
                  </w:r>
                  <w:r>
                    <w:rPr>
                      <w:rFonts w:hint="eastAsia"/>
                      <w:color w:val="000000"/>
                      <w:sz w:val="21"/>
                      <w:szCs w:val="21"/>
                    </w:rPr>
                    <w:t>半年</w:t>
                  </w:r>
                </w:p>
              </w:tc>
              <w:tc>
                <w:tcPr>
                  <w:tcW w:w="3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rPr>
                      <w:color w:val="000000"/>
                      <w:szCs w:val="21"/>
                    </w:rPr>
                  </w:pPr>
                  <w:r>
                    <w:rPr>
                      <w:rFonts w:hint="eastAsia"/>
                      <w:color w:val="000000"/>
                      <w:sz w:val="21"/>
                      <w:szCs w:val="21"/>
                    </w:rPr>
                    <w:t>《恶臭污染物排放标准》（GB14554-93）表2排放标准限值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704" w:type="dxa"/>
                  <w:vMerge w:val="continue"/>
                  <w:tcBorders>
                    <w:top w:val="nil"/>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p>
              </w:tc>
              <w:tc>
                <w:tcPr>
                  <w:tcW w:w="13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rFonts w:hint="eastAsia"/>
                      <w:color w:val="000000"/>
                      <w:sz w:val="21"/>
                      <w:szCs w:val="21"/>
                    </w:rPr>
                    <w:t>食堂油烟排放口</w:t>
                  </w:r>
                </w:p>
              </w:tc>
              <w:tc>
                <w:tcPr>
                  <w:tcW w:w="11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rFonts w:hint="eastAsia"/>
                      <w:color w:val="000000"/>
                      <w:sz w:val="21"/>
                      <w:szCs w:val="21"/>
                    </w:rPr>
                    <w:t>油烟</w:t>
                  </w:r>
                  <w:r>
                    <w:rPr>
                      <w:color w:val="000000"/>
                      <w:sz w:val="21"/>
                      <w:szCs w:val="21"/>
                    </w:rPr>
                    <w:t xml:space="preserve"> </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color w:val="000000"/>
                      <w:sz w:val="21"/>
                      <w:szCs w:val="21"/>
                    </w:rPr>
                    <w:t>1</w:t>
                  </w:r>
                  <w:r>
                    <w:rPr>
                      <w:rFonts w:hint="eastAsia"/>
                      <w:color w:val="000000"/>
                      <w:sz w:val="21"/>
                      <w:szCs w:val="21"/>
                    </w:rPr>
                    <w:t>次</w:t>
                  </w:r>
                  <w:r>
                    <w:rPr>
                      <w:color w:val="000000"/>
                      <w:sz w:val="21"/>
                      <w:szCs w:val="21"/>
                    </w:rPr>
                    <w:t>/</w:t>
                  </w:r>
                  <w:r>
                    <w:rPr>
                      <w:rFonts w:hint="eastAsia"/>
                      <w:color w:val="000000"/>
                      <w:sz w:val="21"/>
                      <w:szCs w:val="21"/>
                    </w:rPr>
                    <w:t>年</w:t>
                  </w:r>
                </w:p>
              </w:tc>
              <w:tc>
                <w:tcPr>
                  <w:tcW w:w="3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rFonts w:hint="eastAsia"/>
                      <w:color w:val="000000"/>
                      <w:sz w:val="21"/>
                      <w:szCs w:val="21"/>
                    </w:rPr>
                    <w:t>《饮食业油烟排放标准（试行）》</w:t>
                  </w:r>
                </w:p>
                <w:p>
                  <w:pPr>
                    <w:adjustRightInd w:val="0"/>
                    <w:snapToGrid w:val="0"/>
                    <w:spacing w:before="0" w:beforeLines="0" w:line="240" w:lineRule="auto"/>
                    <w:ind w:firstLine="0" w:firstLineChars="0"/>
                    <w:jc w:val="center"/>
                    <w:rPr>
                      <w:color w:val="000000"/>
                      <w:szCs w:val="21"/>
                    </w:rPr>
                  </w:pPr>
                  <w:r>
                    <w:rPr>
                      <w:rFonts w:hint="eastAsia"/>
                      <w:color w:val="000000"/>
                      <w:sz w:val="21"/>
                      <w:szCs w:val="21"/>
                    </w:rPr>
                    <w:t>（</w:t>
                  </w:r>
                  <w:r>
                    <w:rPr>
                      <w:color w:val="000000"/>
                      <w:sz w:val="21"/>
                      <w:szCs w:val="21"/>
                    </w:rPr>
                    <w:t>GB18483-2001</w:t>
                  </w:r>
                  <w:r>
                    <w:rPr>
                      <w:rFonts w:hint="eastAsia"/>
                      <w:color w:val="000000"/>
                      <w:sz w:val="21"/>
                      <w:szCs w:val="21"/>
                    </w:rPr>
                    <w:t>）表</w:t>
                  </w:r>
                  <w:r>
                    <w:rPr>
                      <w:color w:val="000000"/>
                      <w:sz w:val="21"/>
                      <w:szCs w:val="21"/>
                    </w:rPr>
                    <w:t xml:space="preserv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704" w:type="dxa"/>
                  <w:vMerge w:val="continue"/>
                  <w:tcBorders>
                    <w:top w:val="nil"/>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p>
              </w:tc>
              <w:tc>
                <w:tcPr>
                  <w:tcW w:w="13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rFonts w:hint="eastAsia"/>
                      <w:color w:val="000000"/>
                      <w:sz w:val="21"/>
                      <w:szCs w:val="21"/>
                    </w:rPr>
                    <w:t>厂界</w:t>
                  </w:r>
                </w:p>
              </w:tc>
              <w:tc>
                <w:tcPr>
                  <w:tcW w:w="11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color w:val="000000"/>
                      <w:sz w:val="21"/>
                      <w:szCs w:val="21"/>
                    </w:rPr>
                    <w:t>NH</w:t>
                  </w:r>
                  <w:r>
                    <w:rPr>
                      <w:color w:val="000000"/>
                      <w:sz w:val="21"/>
                      <w:szCs w:val="21"/>
                      <w:vertAlign w:val="subscript"/>
                    </w:rPr>
                    <w:t>3</w:t>
                  </w:r>
                  <w:r>
                    <w:rPr>
                      <w:rFonts w:hint="eastAsia"/>
                      <w:color w:val="000000"/>
                      <w:sz w:val="21"/>
                      <w:szCs w:val="21"/>
                    </w:rPr>
                    <w:t>、</w:t>
                  </w:r>
                  <w:r>
                    <w:rPr>
                      <w:color w:val="000000"/>
                      <w:sz w:val="21"/>
                      <w:szCs w:val="21"/>
                    </w:rPr>
                    <w:t>H</w:t>
                  </w:r>
                  <w:r>
                    <w:rPr>
                      <w:color w:val="000000"/>
                      <w:sz w:val="21"/>
                      <w:szCs w:val="21"/>
                      <w:vertAlign w:val="subscript"/>
                    </w:rPr>
                    <w:t>2</w:t>
                  </w:r>
                  <w:r>
                    <w:rPr>
                      <w:color w:val="000000"/>
                      <w:sz w:val="21"/>
                      <w:szCs w:val="21"/>
                    </w:rPr>
                    <w:t>S</w:t>
                  </w:r>
                  <w:r>
                    <w:rPr>
                      <w:rFonts w:hint="eastAsia"/>
                      <w:color w:val="000000"/>
                      <w:sz w:val="21"/>
                      <w:szCs w:val="21"/>
                    </w:rPr>
                    <w:t>、臭气浓度</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color w:val="000000"/>
                      <w:sz w:val="21"/>
                      <w:szCs w:val="21"/>
                    </w:rPr>
                    <w:t>1</w:t>
                  </w:r>
                  <w:r>
                    <w:rPr>
                      <w:rFonts w:hint="eastAsia"/>
                      <w:color w:val="000000"/>
                      <w:sz w:val="21"/>
                      <w:szCs w:val="21"/>
                    </w:rPr>
                    <w:t>次</w:t>
                  </w:r>
                  <w:r>
                    <w:rPr>
                      <w:color w:val="000000"/>
                      <w:sz w:val="21"/>
                      <w:szCs w:val="21"/>
                    </w:rPr>
                    <w:t>/</w:t>
                  </w:r>
                  <w:r>
                    <w:rPr>
                      <w:rFonts w:hint="eastAsia"/>
                      <w:color w:val="000000"/>
                      <w:sz w:val="21"/>
                      <w:szCs w:val="21"/>
                    </w:rPr>
                    <w:t>半年</w:t>
                  </w:r>
                </w:p>
              </w:tc>
              <w:tc>
                <w:tcPr>
                  <w:tcW w:w="3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Cs w:val="21"/>
                    </w:rPr>
                  </w:pPr>
                  <w:r>
                    <w:rPr>
                      <w:rFonts w:hint="eastAsia"/>
                      <w:color w:val="000000"/>
                      <w:sz w:val="21"/>
                      <w:szCs w:val="21"/>
                    </w:rPr>
                    <w:t>《恶臭污染物排放标准》（</w:t>
                  </w:r>
                  <w:r>
                    <w:rPr>
                      <w:color w:val="000000"/>
                      <w:sz w:val="21"/>
                      <w:szCs w:val="21"/>
                    </w:rPr>
                    <w:t>GB14554-93</w:t>
                  </w:r>
                  <w:r>
                    <w:rPr>
                      <w:rFonts w:hint="eastAsia"/>
                      <w:color w:val="000000"/>
                      <w:sz w:val="21"/>
                      <w:szCs w:val="21"/>
                    </w:rPr>
                    <w:t>）表</w:t>
                  </w:r>
                  <w:r>
                    <w:rPr>
                      <w:color w:val="000000"/>
                      <w:sz w:val="21"/>
                      <w:szCs w:val="21"/>
                    </w:rPr>
                    <w:t xml:space="preserve"> 1</w:t>
                  </w:r>
                  <w:r>
                    <w:rPr>
                      <w:rFonts w:hint="eastAsia"/>
                      <w:color w:val="000000"/>
                      <w:sz w:val="21"/>
                      <w:szCs w:val="21"/>
                    </w:rPr>
                    <w:t>恶臭污染物厂界标准值中的二级新扩改建限值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废水</w:t>
                  </w:r>
                </w:p>
              </w:tc>
              <w:tc>
                <w:tcPr>
                  <w:tcW w:w="13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污水处理站出口</w:t>
                  </w:r>
                </w:p>
              </w:tc>
              <w:tc>
                <w:tcPr>
                  <w:tcW w:w="118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left"/>
                    <w:rPr>
                      <w:color w:val="000000"/>
                      <w:sz w:val="21"/>
                      <w:szCs w:val="21"/>
                    </w:rPr>
                  </w:pPr>
                  <w:r>
                    <w:rPr>
                      <w:rFonts w:hint="eastAsia"/>
                      <w:color w:val="000000"/>
                      <w:sz w:val="21"/>
                      <w:szCs w:val="21"/>
                    </w:rPr>
                    <w:t>CODcr、</w:t>
                  </w:r>
                </w:p>
                <w:p>
                  <w:pPr>
                    <w:adjustRightInd w:val="0"/>
                    <w:snapToGrid w:val="0"/>
                    <w:spacing w:before="0" w:beforeLines="0" w:line="240" w:lineRule="auto"/>
                    <w:ind w:firstLine="0" w:firstLineChars="0"/>
                    <w:jc w:val="left"/>
                    <w:rPr>
                      <w:color w:val="000000"/>
                      <w:sz w:val="21"/>
                      <w:szCs w:val="21"/>
                    </w:rPr>
                  </w:pPr>
                  <w:r>
                    <w:rPr>
                      <w:color w:val="000000"/>
                      <w:sz w:val="21"/>
                      <w:szCs w:val="21"/>
                    </w:rPr>
                    <w:t>BOD</w:t>
                  </w:r>
                  <w:r>
                    <w:rPr>
                      <w:color w:val="000000"/>
                      <w:sz w:val="21"/>
                      <w:szCs w:val="21"/>
                      <w:vertAlign w:val="subscript"/>
                    </w:rPr>
                    <w:t>5</w:t>
                  </w:r>
                  <w:r>
                    <w:rPr>
                      <w:rFonts w:hint="eastAsia"/>
                      <w:color w:val="000000"/>
                      <w:sz w:val="21"/>
                      <w:szCs w:val="21"/>
                    </w:rPr>
                    <w:t>、SS、氨氮、动植物油、大肠菌群</w:t>
                  </w:r>
                </w:p>
                <w:p>
                  <w:pPr>
                    <w:adjustRightInd w:val="0"/>
                    <w:snapToGrid w:val="0"/>
                    <w:spacing w:before="0" w:beforeLines="0" w:line="240" w:lineRule="auto"/>
                    <w:ind w:firstLine="0" w:firstLineChars="0"/>
                    <w:jc w:val="left"/>
                    <w:rPr>
                      <w:color w:val="000000"/>
                      <w:sz w:val="21"/>
                      <w:szCs w:val="21"/>
                    </w:rPr>
                  </w:pPr>
                  <w:r>
                    <w:rPr>
                      <w:rFonts w:hint="eastAsia"/>
                      <w:color w:val="000000"/>
                      <w:sz w:val="21"/>
                      <w:szCs w:val="21"/>
                    </w:rPr>
                    <w:t>数</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1次/半年</w:t>
                  </w:r>
                </w:p>
              </w:tc>
              <w:tc>
                <w:tcPr>
                  <w:tcW w:w="33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line="240" w:lineRule="auto"/>
                    <w:ind w:firstLine="0" w:firstLineChars="0"/>
                    <w:jc w:val="center"/>
                    <w:rPr>
                      <w:color w:val="000000"/>
                      <w:sz w:val="21"/>
                      <w:szCs w:val="21"/>
                    </w:rPr>
                  </w:pPr>
                  <w:r>
                    <w:rPr>
                      <w:rFonts w:hint="eastAsia"/>
                      <w:color w:val="000000"/>
                      <w:sz w:val="21"/>
                      <w:szCs w:val="21"/>
                    </w:rPr>
                    <w:t>《肉类加工工业水污染物排放标准》（GB13457-92）表3规定的畜类屠宰加工二级标准</w:t>
                  </w:r>
                </w:p>
              </w:tc>
            </w:tr>
          </w:tbl>
          <w:p>
            <w:pPr>
              <w:spacing w:before="120"/>
              <w:ind w:firstLine="0" w:firstLineChars="0"/>
              <w:rPr>
                <w:bCs/>
                <w:szCs w:val="21"/>
              </w:rPr>
            </w:pPr>
          </w:p>
        </w:tc>
      </w:tr>
    </w:tbl>
    <w:p>
      <w:pPr>
        <w:spacing w:before="120"/>
        <w:ind w:firstLine="560"/>
        <w:rPr>
          <w:rFonts w:cs="宋体"/>
          <w:sz w:val="28"/>
          <w:szCs w:val="28"/>
        </w:rPr>
        <w:sectPr>
          <w:pgSz w:w="11907" w:h="16840"/>
          <w:pgMar w:top="1701" w:right="1531" w:bottom="2127" w:left="1531" w:header="851" w:footer="851" w:gutter="0"/>
          <w:cols w:space="720" w:num="1"/>
          <w:docGrid w:linePitch="312" w:charSpace="0"/>
        </w:sectPr>
      </w:pPr>
    </w:p>
    <w:p>
      <w:pPr>
        <w:pStyle w:val="18"/>
        <w:spacing w:before="120" w:beforeAutospacing="0" w:after="120" w:afterLines="50" w:afterAutospacing="0"/>
        <w:ind w:firstLine="0" w:firstLineChars="0"/>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9" w:name="_Hlk54167917"/>
      <w:r>
        <w:rPr>
          <w:rFonts w:hint="eastAsia" w:ascii="黑体" w:hAnsi="黑体" w:eastAsia="黑体"/>
          <w:snapToGrid w:val="0"/>
          <w:sz w:val="30"/>
          <w:szCs w:val="30"/>
        </w:rPr>
        <w:t>环境保护措施监督检查清单</w:t>
      </w:r>
      <w:bookmarkEnd w:id="29"/>
    </w:p>
    <w:tbl>
      <w:tblPr>
        <w:tblStyle w:val="22"/>
        <w:tblW w:w="86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253"/>
        <w:gridCol w:w="1509"/>
        <w:gridCol w:w="2335"/>
        <w:gridCol w:w="19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21" w:type="dxa"/>
            <w:tcBorders>
              <w:top w:val="single" w:color="auto" w:sz="8" w:space="0"/>
              <w:left w:val="single" w:color="auto" w:sz="8"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内容要素</w:t>
            </w:r>
          </w:p>
        </w:tc>
        <w:tc>
          <w:tcPr>
            <w:tcW w:w="1253"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排放口(编号、名称)/污染源</w:t>
            </w:r>
          </w:p>
        </w:tc>
        <w:tc>
          <w:tcPr>
            <w:tcW w:w="1509"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污染物项目</w:t>
            </w:r>
          </w:p>
        </w:tc>
        <w:tc>
          <w:tcPr>
            <w:tcW w:w="2335"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环境保护措施</w:t>
            </w:r>
          </w:p>
        </w:tc>
        <w:tc>
          <w:tcPr>
            <w:tcW w:w="1900"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1621" w:type="dxa"/>
            <w:vMerge w:val="restart"/>
            <w:tcBorders>
              <w:top w:val="single" w:color="auto" w:sz="4" w:space="0"/>
              <w:left w:val="single" w:color="auto" w:sz="8"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大气环境</w:t>
            </w: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待宰栏及屠宰间</w:t>
            </w:r>
          </w:p>
          <w:p>
            <w:pPr>
              <w:adjustRightInd w:val="0"/>
              <w:snapToGrid w:val="0"/>
              <w:spacing w:before="120" w:line="240" w:lineRule="auto"/>
              <w:ind w:firstLine="420"/>
              <w:jc w:val="center"/>
              <w:rPr>
                <w:color w:val="000000"/>
                <w:sz w:val="21"/>
                <w:szCs w:val="21"/>
              </w:rPr>
            </w:pP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NH</w:t>
            </w:r>
            <w:r>
              <w:rPr>
                <w:rFonts w:hint="eastAsia"/>
                <w:color w:val="000000"/>
                <w:sz w:val="21"/>
                <w:szCs w:val="21"/>
                <w:vertAlign w:val="subscript"/>
              </w:rPr>
              <w:t>3</w:t>
            </w:r>
            <w:r>
              <w:rPr>
                <w:rFonts w:hint="eastAsia"/>
                <w:color w:val="000000"/>
                <w:sz w:val="21"/>
                <w:szCs w:val="21"/>
              </w:rPr>
              <w:t>、H</w:t>
            </w:r>
            <w:r>
              <w:rPr>
                <w:rFonts w:hint="eastAsia"/>
                <w:color w:val="000000"/>
                <w:sz w:val="21"/>
                <w:szCs w:val="21"/>
                <w:vertAlign w:val="subscript"/>
              </w:rPr>
              <w:t>2</w:t>
            </w:r>
            <w:r>
              <w:rPr>
                <w:rFonts w:hint="eastAsia"/>
                <w:color w:val="000000"/>
                <w:sz w:val="21"/>
                <w:szCs w:val="21"/>
              </w:rPr>
              <w:t>S、臭气浓度</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车间喷洒生物除臭剂、有组织部分经生物（或碱）喷淋塔处理后由15m高排气筒（D</w:t>
            </w:r>
            <w:r>
              <w:rPr>
                <w:color w:val="000000"/>
                <w:sz w:val="21"/>
                <w:szCs w:val="21"/>
              </w:rPr>
              <w:t>A001</w:t>
            </w:r>
            <w:r>
              <w:rPr>
                <w:rFonts w:hint="eastAsia"/>
                <w:color w:val="000000"/>
                <w:sz w:val="21"/>
                <w:szCs w:val="21"/>
              </w:rPr>
              <w:t>）排放，未收集部分无组织排放</w:t>
            </w:r>
          </w:p>
        </w:tc>
        <w:tc>
          <w:tcPr>
            <w:tcW w:w="1900" w:type="dxa"/>
            <w:vMerge w:val="restart"/>
            <w:tcBorders>
              <w:top w:val="single" w:color="auto" w:sz="4" w:space="0"/>
              <w:left w:val="single" w:color="auto" w:sz="4" w:space="0"/>
              <w:right w:val="single" w:color="auto" w:sz="8"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《恶臭污染物排放标准》（GB14554-93）中的表2恶臭污染物排放标准值及表1二级标准中的新扩改建标准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1621" w:type="dxa"/>
            <w:vMerge w:val="continue"/>
            <w:tcBorders>
              <w:left w:val="single" w:color="auto" w:sz="8"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污水处理站及无害化处理间</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NH</w:t>
            </w:r>
            <w:r>
              <w:rPr>
                <w:rFonts w:hint="eastAsia"/>
                <w:color w:val="000000"/>
                <w:sz w:val="21"/>
                <w:szCs w:val="21"/>
                <w:vertAlign w:val="subscript"/>
              </w:rPr>
              <w:t>3</w:t>
            </w:r>
            <w:r>
              <w:rPr>
                <w:rFonts w:hint="eastAsia"/>
                <w:color w:val="000000"/>
                <w:sz w:val="21"/>
                <w:szCs w:val="21"/>
              </w:rPr>
              <w:t>、H</w:t>
            </w:r>
            <w:r>
              <w:rPr>
                <w:rFonts w:hint="eastAsia"/>
                <w:color w:val="000000"/>
                <w:sz w:val="21"/>
                <w:szCs w:val="21"/>
                <w:vertAlign w:val="subscript"/>
              </w:rPr>
              <w:t>2</w:t>
            </w:r>
            <w:r>
              <w:rPr>
                <w:rFonts w:hint="eastAsia"/>
                <w:color w:val="000000"/>
                <w:sz w:val="21"/>
                <w:szCs w:val="21"/>
              </w:rPr>
              <w:t>S、臭气浓度</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车间喷洒生物除臭剂、有组织部分经生物（或碱）喷淋塔处理后由15m高排气筒（D</w:t>
            </w:r>
            <w:r>
              <w:rPr>
                <w:color w:val="000000"/>
                <w:sz w:val="21"/>
                <w:szCs w:val="21"/>
              </w:rPr>
              <w:t>A00</w:t>
            </w:r>
            <w:r>
              <w:rPr>
                <w:rFonts w:hint="eastAsia"/>
                <w:color w:val="000000"/>
                <w:sz w:val="21"/>
                <w:szCs w:val="21"/>
              </w:rPr>
              <w:t>2）排放，未收集部分无组织排放</w:t>
            </w:r>
          </w:p>
        </w:tc>
        <w:tc>
          <w:tcPr>
            <w:tcW w:w="1900" w:type="dxa"/>
            <w:vMerge w:val="continue"/>
            <w:tcBorders>
              <w:left w:val="single" w:color="auto" w:sz="4" w:space="0"/>
              <w:bottom w:val="single" w:color="auto" w:sz="4" w:space="0"/>
              <w:right w:val="single" w:color="auto" w:sz="8" w:space="0"/>
            </w:tcBorders>
            <w:vAlign w:val="center"/>
          </w:tcPr>
          <w:p>
            <w:pPr>
              <w:adjustRightInd w:val="0"/>
              <w:snapToGrid w:val="0"/>
              <w:spacing w:before="120" w:line="240" w:lineRule="auto"/>
              <w:ind w:firstLine="42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621" w:type="dxa"/>
            <w:vMerge w:val="continue"/>
            <w:tcBorders>
              <w:left w:val="single" w:color="auto" w:sz="8"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食堂</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油烟</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由烟罩收集并经静电油烟净化器处理后引至楼顶排放</w:t>
            </w:r>
          </w:p>
        </w:tc>
        <w:tc>
          <w:tcPr>
            <w:tcW w:w="1900"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《饮食业油烟排放标准（试行）》（GB18483-2001）小型规模排放标准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621" w:type="dxa"/>
            <w:vMerge w:val="restart"/>
            <w:tcBorders>
              <w:top w:val="single" w:color="auto" w:sz="4" w:space="0"/>
              <w:left w:val="single" w:color="auto" w:sz="8"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地表水环境</w:t>
            </w: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生活污水</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CODcr、BOD</w:t>
            </w:r>
            <w:r>
              <w:rPr>
                <w:rFonts w:hint="eastAsia"/>
                <w:color w:val="000000"/>
                <w:sz w:val="21"/>
                <w:szCs w:val="21"/>
                <w:vertAlign w:val="subscript"/>
              </w:rPr>
              <w:t>5</w:t>
            </w:r>
          </w:p>
          <w:p>
            <w:pPr>
              <w:adjustRightInd w:val="0"/>
              <w:snapToGrid w:val="0"/>
              <w:spacing w:before="120" w:line="240" w:lineRule="auto"/>
              <w:ind w:firstLine="0" w:firstLineChars="0"/>
              <w:jc w:val="center"/>
              <w:rPr>
                <w:color w:val="000000"/>
                <w:sz w:val="21"/>
                <w:szCs w:val="21"/>
              </w:rPr>
            </w:pPr>
            <w:r>
              <w:rPr>
                <w:rFonts w:hint="eastAsia"/>
                <w:color w:val="000000"/>
                <w:sz w:val="21"/>
                <w:szCs w:val="21"/>
              </w:rPr>
              <w:t>、SS、氨氮、动植物油</w:t>
            </w:r>
          </w:p>
        </w:tc>
        <w:tc>
          <w:tcPr>
            <w:tcW w:w="2335" w:type="dxa"/>
            <w:vMerge w:val="restart"/>
            <w:tcBorders>
              <w:top w:val="single" w:color="auto" w:sz="4" w:space="0"/>
              <w:left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采用“粗格栅+细格栅+平流式沉淀池+平流式隔油池+加压溶气气浮+水解酸化+好氧池+MBR+消毒池”工艺处理后回用</w:t>
            </w:r>
          </w:p>
        </w:tc>
        <w:tc>
          <w:tcPr>
            <w:tcW w:w="1900" w:type="dxa"/>
            <w:vMerge w:val="restart"/>
            <w:tcBorders>
              <w:top w:val="single" w:color="auto" w:sz="4" w:space="0"/>
              <w:left w:val="single" w:color="auto" w:sz="4" w:space="0"/>
              <w:right w:val="single" w:color="auto" w:sz="8"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《肉类加工工业水污染物排放标准》（GB13457-92）表3规定的畜类屠宰加工二级标准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1621" w:type="dxa"/>
            <w:vMerge w:val="continue"/>
            <w:tcBorders>
              <w:left w:val="single" w:color="auto" w:sz="8" w:space="0"/>
              <w:bottom w:val="single" w:color="auto" w:sz="4"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生产废水</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CODcr、BOD</w:t>
            </w:r>
            <w:r>
              <w:rPr>
                <w:rFonts w:hint="eastAsia"/>
                <w:color w:val="000000"/>
                <w:sz w:val="21"/>
                <w:szCs w:val="21"/>
                <w:vertAlign w:val="subscript"/>
              </w:rPr>
              <w:t>5</w:t>
            </w:r>
          </w:p>
          <w:p>
            <w:pPr>
              <w:adjustRightInd w:val="0"/>
              <w:snapToGrid w:val="0"/>
              <w:spacing w:before="120" w:line="240" w:lineRule="auto"/>
              <w:ind w:firstLine="0" w:firstLineChars="0"/>
              <w:jc w:val="center"/>
              <w:rPr>
                <w:color w:val="000000"/>
                <w:sz w:val="21"/>
                <w:szCs w:val="21"/>
              </w:rPr>
            </w:pPr>
            <w:r>
              <w:rPr>
                <w:rFonts w:hint="eastAsia"/>
                <w:color w:val="000000"/>
                <w:sz w:val="21"/>
                <w:szCs w:val="21"/>
              </w:rPr>
              <w:t>、SS、氨氮、动植物油、大肠菌群数</w:t>
            </w:r>
          </w:p>
        </w:tc>
        <w:tc>
          <w:tcPr>
            <w:tcW w:w="2335" w:type="dxa"/>
            <w:vMerge w:val="continue"/>
            <w:tcBorders>
              <w:left w:val="single" w:color="auto" w:sz="4" w:space="0"/>
              <w:bottom w:val="single" w:color="auto" w:sz="4"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900" w:type="dxa"/>
            <w:vMerge w:val="continue"/>
            <w:tcBorders>
              <w:left w:val="single" w:color="auto" w:sz="4" w:space="0"/>
              <w:bottom w:val="single" w:color="auto" w:sz="4" w:space="0"/>
              <w:right w:val="single" w:color="auto" w:sz="8" w:space="0"/>
            </w:tcBorders>
            <w:vAlign w:val="center"/>
          </w:tcPr>
          <w:p>
            <w:pPr>
              <w:adjustRightInd w:val="0"/>
              <w:snapToGrid w:val="0"/>
              <w:spacing w:before="120" w:line="240" w:lineRule="auto"/>
              <w:ind w:firstLine="42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62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声环境</w:t>
            </w: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生产设备</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噪声</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安装相关减震装置、合理布置，墙体隔声及距离衰减</w:t>
            </w:r>
          </w:p>
        </w:tc>
        <w:tc>
          <w:tcPr>
            <w:tcW w:w="1900"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《工业企业厂界环境噪声排标准》（GB12348-2008）中的2类标准限值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21"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固体废物</w:t>
            </w: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待宰栏</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牛羊粪便、胃容物</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外售作为有机肥原料</w:t>
            </w:r>
          </w:p>
        </w:tc>
        <w:tc>
          <w:tcPr>
            <w:tcW w:w="1900" w:type="dxa"/>
            <w:vMerge w:val="restart"/>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资源化、少量化、无害化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621" w:type="dxa"/>
            <w:vMerge w:val="continue"/>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屠宰间</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检疫不合格品（不可食用部分）、病死牛羊</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无害化处理后的废渣日产日清，送有机肥厂制有机肥</w:t>
            </w:r>
          </w:p>
        </w:tc>
        <w:tc>
          <w:tcPr>
            <w:tcW w:w="1900" w:type="dxa"/>
            <w:vMerge w:val="continue"/>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42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21" w:type="dxa"/>
            <w:vMerge w:val="continue"/>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污水处理站</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污泥、格栅渣及油脂</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由有能力单位处置</w:t>
            </w:r>
          </w:p>
        </w:tc>
        <w:tc>
          <w:tcPr>
            <w:tcW w:w="1900" w:type="dxa"/>
            <w:vMerge w:val="continue"/>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42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21" w:type="dxa"/>
            <w:vMerge w:val="continue"/>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三级化粪池</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污泥</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仁化县环卫部门</w:t>
            </w:r>
          </w:p>
        </w:tc>
        <w:tc>
          <w:tcPr>
            <w:tcW w:w="1900" w:type="dxa"/>
            <w:vMerge w:val="continue"/>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42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21" w:type="dxa"/>
            <w:vMerge w:val="continue"/>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办公生活</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生活垃圾</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统一收集后由环卫部门清运处理</w:t>
            </w:r>
          </w:p>
        </w:tc>
        <w:tc>
          <w:tcPr>
            <w:tcW w:w="1900" w:type="dxa"/>
            <w:vMerge w:val="continue"/>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42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21" w:type="dxa"/>
            <w:vMerge w:val="continue"/>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420"/>
              <w:jc w:val="center"/>
              <w:rPr>
                <w:color w:val="000000"/>
                <w:sz w:val="21"/>
                <w:szCs w:val="21"/>
              </w:rPr>
            </w:pPr>
          </w:p>
        </w:tc>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卫检、肉检室</w:t>
            </w:r>
          </w:p>
        </w:tc>
        <w:tc>
          <w:tcPr>
            <w:tcW w:w="150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检疫废物</w:t>
            </w:r>
          </w:p>
        </w:tc>
        <w:tc>
          <w:tcPr>
            <w:tcW w:w="23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由有资质单位处置</w:t>
            </w:r>
          </w:p>
        </w:tc>
        <w:tc>
          <w:tcPr>
            <w:tcW w:w="1900" w:type="dxa"/>
            <w:vMerge w:val="continue"/>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42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62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土壤及地下水</w:t>
            </w:r>
          </w:p>
          <w:p>
            <w:pPr>
              <w:adjustRightInd w:val="0"/>
              <w:snapToGrid w:val="0"/>
              <w:spacing w:before="120" w:line="240" w:lineRule="auto"/>
              <w:ind w:firstLine="0" w:firstLineChars="0"/>
              <w:rPr>
                <w:color w:val="000000"/>
                <w:sz w:val="21"/>
                <w:szCs w:val="21"/>
              </w:rPr>
            </w:pPr>
            <w:r>
              <w:rPr>
                <w:rFonts w:hint="eastAsia"/>
                <w:color w:val="000000"/>
                <w:sz w:val="21"/>
                <w:szCs w:val="21"/>
              </w:rPr>
              <w:t>污染防治措施</w:t>
            </w:r>
          </w:p>
        </w:tc>
        <w:tc>
          <w:tcPr>
            <w:tcW w:w="6997"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从原料和产品储存、生产过程等全过程控制各种原辅材料、中间材料、产品泄漏（含跑、冒、滴、漏），同时对可能泄漏到地面的区域采取防渗措施，阻止其渗入土壤和地下水中，即从源头到末端全方位采取控制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62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生态保护措施</w:t>
            </w:r>
          </w:p>
        </w:tc>
        <w:tc>
          <w:tcPr>
            <w:tcW w:w="6997"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加强绿化工程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9" w:hRule="atLeast"/>
          <w:jc w:val="center"/>
        </w:trPr>
        <w:tc>
          <w:tcPr>
            <w:tcW w:w="1621"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环境风险防范措施</w:t>
            </w:r>
          </w:p>
        </w:tc>
        <w:tc>
          <w:tcPr>
            <w:tcW w:w="6997"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before="120" w:line="240" w:lineRule="auto"/>
              <w:ind w:firstLine="0" w:firstLineChars="0"/>
              <w:rPr>
                <w:color w:val="000000"/>
                <w:sz w:val="21"/>
                <w:szCs w:val="21"/>
              </w:rPr>
            </w:pPr>
            <w:r>
              <w:rPr>
                <w:rFonts w:hint="eastAsia"/>
                <w:color w:val="000000"/>
                <w:sz w:val="21"/>
                <w:szCs w:val="21"/>
              </w:rPr>
              <w:t>（1）加强原辅材料管理，定期检查，避免化学药剂泄漏，存放必要应急物资，如应急药品、防毒面罩、消防斧等；</w:t>
            </w:r>
          </w:p>
          <w:p>
            <w:pPr>
              <w:adjustRightInd w:val="0"/>
              <w:snapToGrid w:val="0"/>
              <w:spacing w:before="120" w:line="240" w:lineRule="auto"/>
              <w:ind w:firstLine="0" w:firstLineChars="0"/>
              <w:rPr>
                <w:color w:val="000000"/>
                <w:sz w:val="21"/>
                <w:szCs w:val="21"/>
              </w:rPr>
            </w:pPr>
            <w:r>
              <w:rPr>
                <w:rFonts w:hint="eastAsia"/>
                <w:color w:val="000000"/>
                <w:sz w:val="21"/>
                <w:szCs w:val="21"/>
              </w:rPr>
              <w:t>（2）对岗位操作人员进行技术培训和定期考核，提高操作技术和自我防护能力，操作时严格遵守操作规程和劳动纪律；</w:t>
            </w:r>
          </w:p>
          <w:p>
            <w:pPr>
              <w:adjustRightInd w:val="0"/>
              <w:snapToGrid w:val="0"/>
              <w:spacing w:before="120" w:line="240" w:lineRule="auto"/>
              <w:ind w:firstLine="0" w:firstLineChars="0"/>
              <w:rPr>
                <w:color w:val="000000"/>
                <w:sz w:val="21"/>
                <w:szCs w:val="21"/>
              </w:rPr>
            </w:pPr>
            <w:r>
              <w:rPr>
                <w:rFonts w:hint="eastAsia"/>
                <w:color w:val="000000"/>
                <w:sz w:val="21"/>
                <w:szCs w:val="21"/>
              </w:rPr>
              <w:t>（3）在企业的明显位置张贴禁用明火、严禁吸烟的告示，并设置消防器材，车间内设置消防箱，防火防爆；</w:t>
            </w:r>
          </w:p>
          <w:p>
            <w:pPr>
              <w:adjustRightInd w:val="0"/>
              <w:snapToGrid w:val="0"/>
              <w:spacing w:before="120" w:line="240" w:lineRule="auto"/>
              <w:ind w:firstLine="0" w:firstLineChars="0"/>
              <w:rPr>
                <w:color w:val="000000"/>
                <w:sz w:val="21"/>
                <w:szCs w:val="21"/>
              </w:rPr>
            </w:pPr>
            <w:r>
              <w:rPr>
                <w:rFonts w:hint="eastAsia"/>
                <w:color w:val="000000"/>
                <w:sz w:val="21"/>
                <w:szCs w:val="21"/>
              </w:rPr>
              <w:t>（4）车间安装视频监控系统与火灾烟雾报警器，值班室设置监控终端；一旦出现紧急情况马上启动应急救援系统，并通过电话直接与当地公安、消防部门及有关单位联系；</w:t>
            </w:r>
          </w:p>
          <w:p>
            <w:pPr>
              <w:adjustRightInd w:val="0"/>
              <w:snapToGrid w:val="0"/>
              <w:spacing w:before="120" w:line="240" w:lineRule="auto"/>
              <w:ind w:firstLine="0" w:firstLineChars="0"/>
              <w:rPr>
                <w:color w:val="000000"/>
                <w:sz w:val="21"/>
                <w:szCs w:val="21"/>
              </w:rPr>
            </w:pPr>
            <w:r>
              <w:rPr>
                <w:rFonts w:hint="eastAsia"/>
                <w:color w:val="000000"/>
                <w:sz w:val="21"/>
                <w:szCs w:val="21"/>
              </w:rPr>
              <w:t>（5）厂区配备的应急设施、设备及物资设置专人负责，定期检查；</w:t>
            </w:r>
          </w:p>
          <w:p>
            <w:pPr>
              <w:adjustRightInd w:val="0"/>
              <w:snapToGrid w:val="0"/>
              <w:spacing w:before="120" w:line="240" w:lineRule="auto"/>
              <w:ind w:firstLine="0" w:firstLineChars="0"/>
              <w:rPr>
                <w:color w:val="000000"/>
                <w:sz w:val="21"/>
                <w:szCs w:val="21"/>
              </w:rPr>
            </w:pPr>
            <w:r>
              <w:rPr>
                <w:rFonts w:hint="eastAsia"/>
                <w:color w:val="000000"/>
                <w:sz w:val="21"/>
                <w:szCs w:val="21"/>
              </w:rPr>
              <w:t>（6）制定突发环境事件应急措施，同时设置消防安全疏散通道，减少突发事件的发生与损害；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21" w:type="dxa"/>
            <w:tcBorders>
              <w:top w:val="single" w:color="auto" w:sz="4" w:space="0"/>
              <w:left w:val="single" w:color="auto" w:sz="8" w:space="0"/>
              <w:bottom w:val="single" w:color="auto" w:sz="8" w:space="0"/>
              <w:right w:val="single" w:color="auto" w:sz="4"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其他环境管理要求</w:t>
            </w:r>
          </w:p>
        </w:tc>
        <w:tc>
          <w:tcPr>
            <w:tcW w:w="6997"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spacing w:before="120" w:line="240" w:lineRule="auto"/>
              <w:ind w:firstLine="0" w:firstLineChars="0"/>
              <w:jc w:val="center"/>
              <w:rPr>
                <w:color w:val="000000"/>
                <w:sz w:val="21"/>
                <w:szCs w:val="21"/>
              </w:rPr>
            </w:pPr>
            <w:r>
              <w:rPr>
                <w:rFonts w:hint="eastAsia"/>
                <w:color w:val="000000"/>
                <w:sz w:val="21"/>
                <w:szCs w:val="21"/>
              </w:rPr>
              <w:t>设置专门环保专员，做好相关环境管理台账记录</w:t>
            </w:r>
          </w:p>
        </w:tc>
      </w:tr>
    </w:tbl>
    <w:p>
      <w:pPr>
        <w:pStyle w:val="18"/>
        <w:spacing w:before="120" w:beforeAutospacing="0" w:after="120" w:afterLines="50" w:afterAutospacing="0"/>
        <w:ind w:firstLine="0" w:firstLineChars="0"/>
        <w:jc w:val="center"/>
        <w:outlineLvl w:val="0"/>
        <w:rPr>
          <w:rFonts w:ascii="黑体" w:hAnsi="黑体" w:eastAsia="黑体"/>
          <w:snapToGrid w:val="0"/>
          <w:sz w:val="30"/>
          <w:szCs w:val="30"/>
        </w:rPr>
      </w:pPr>
      <w:r>
        <w:rPr>
          <w:rFonts w:ascii="Times New Roman" w:hAnsi="Times New Roman"/>
          <w:snapToGrid w:val="0"/>
        </w:rPr>
        <w:br w:type="page"/>
      </w:r>
      <w:r>
        <w:rPr>
          <w:rFonts w:hint="eastAsia" w:ascii="黑体" w:hAnsi="黑体" w:eastAsia="黑体"/>
          <w:snapToGrid w:val="0"/>
          <w:sz w:val="30"/>
          <w:szCs w:val="30"/>
        </w:rPr>
        <w:t>六、结论</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spacing w:before="120"/>
              <w:ind w:firstLine="480"/>
            </w:pPr>
            <w:r>
              <w:rPr>
                <w:rFonts w:hint="eastAsia"/>
              </w:rPr>
              <w:t>通过上述分析，广东创盛农业发展有限公司投资</w:t>
            </w:r>
            <w:r>
              <w:t>480</w:t>
            </w:r>
            <w:r>
              <w:rPr>
                <w:rFonts w:hint="eastAsia"/>
              </w:rPr>
              <w:t>万元进行年屠宰牛1750头，羊50750头建设项目符合国家和地方产业政策要求，选址符合环境功能区划和当地城市规划；项目有利于推动当地经济的发展，具有较好的经济和社会效益。采取的“三废”治理措施经济技术可行、工程实施后可满足当地环境质量要求。评价认为，在确保各项污染治理措施“三同时”和外排污染物达标的前提下，</w:t>
            </w:r>
            <w:r>
              <w:rPr>
                <w:rFonts w:hint="eastAsia"/>
                <w:b/>
                <w:bCs/>
              </w:rPr>
              <w:t>从环境保护角度而言，本项目建设是可行的</w:t>
            </w:r>
            <w:r>
              <w:rPr>
                <w:rFonts w:hint="eastAsia"/>
              </w:rPr>
              <w:t>。</w:t>
            </w:r>
          </w:p>
          <w:p>
            <w:pPr>
              <w:adjustRightInd w:val="0"/>
              <w:snapToGrid w:val="0"/>
              <w:spacing w:before="120"/>
              <w:ind w:firstLine="480"/>
              <w:rPr>
                <w:rFonts w:cs="宋体"/>
              </w:rPr>
            </w:pPr>
          </w:p>
        </w:tc>
      </w:tr>
    </w:tbl>
    <w:p>
      <w:pPr>
        <w:spacing w:before="120"/>
        <w:ind w:firstLine="480"/>
        <w:sectPr>
          <w:pgSz w:w="11906" w:h="16838"/>
          <w:pgMar w:top="1701" w:right="1531" w:bottom="1701" w:left="1531" w:header="851" w:footer="851" w:gutter="0"/>
          <w:cols w:space="720" w:num="1"/>
          <w:docGrid w:linePitch="312" w:charSpace="0"/>
        </w:sectPr>
      </w:pPr>
    </w:p>
    <w:p>
      <w:pPr>
        <w:pStyle w:val="18"/>
        <w:adjustRightInd w:val="0"/>
        <w:snapToGrid w:val="0"/>
        <w:spacing w:before="120" w:beforeAutospacing="0" w:after="0" w:afterAutospacing="0"/>
        <w:ind w:firstLine="198" w:firstLineChars="62"/>
        <w:outlineLvl w:val="0"/>
        <w:rPr>
          <w:rFonts w:ascii="Times New Roman" w:hAnsi="Times New Roman"/>
          <w:snapToGrid w:val="0"/>
          <w:sz w:val="32"/>
          <w:szCs w:val="32"/>
        </w:rPr>
      </w:pPr>
      <w:r>
        <w:rPr>
          <w:rFonts w:hint="eastAsia" w:ascii="Times New Roman" w:hAnsi="Times New Roman"/>
          <w:snapToGrid w:val="0"/>
          <w:sz w:val="32"/>
          <w:szCs w:val="32"/>
        </w:rPr>
        <w:t>附表</w:t>
      </w:r>
    </w:p>
    <w:p>
      <w:pPr>
        <w:adjustRightInd w:val="0"/>
        <w:snapToGrid w:val="0"/>
        <w:spacing w:before="0" w:beforeLines="0" w:line="240" w:lineRule="auto"/>
        <w:ind w:firstLine="0" w:firstLineChars="0"/>
        <w:jc w:val="center"/>
        <w:rPr>
          <w:b/>
          <w:bCs/>
          <w:snapToGrid w:val="0"/>
          <w:sz w:val="36"/>
          <w:szCs w:val="36"/>
        </w:rPr>
      </w:pPr>
      <w:r>
        <w:rPr>
          <w:rFonts w:hint="eastAsia"/>
          <w:b/>
          <w:bCs/>
          <w:snapToGrid w:val="0"/>
          <w:sz w:val="36"/>
          <w:szCs w:val="36"/>
        </w:rPr>
        <w:t>建设项目污染物排放量汇总表</w:t>
      </w:r>
    </w:p>
    <w:tbl>
      <w:tblPr>
        <w:tblStyle w:val="22"/>
        <w:tblW w:w="514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804"/>
        <w:gridCol w:w="1556"/>
        <w:gridCol w:w="1559"/>
        <w:gridCol w:w="1559"/>
        <w:gridCol w:w="1559"/>
        <w:gridCol w:w="1559"/>
        <w:gridCol w:w="1559"/>
        <w:gridCol w:w="18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454" w:type="pct"/>
            <w:tcBorders>
              <w:tl2br w:val="single" w:color="auto" w:sz="4" w:space="0"/>
            </w:tcBorders>
            <w:tcMar>
              <w:left w:w="28" w:type="dxa"/>
              <w:right w:w="28" w:type="dxa"/>
            </w:tcMar>
            <w:vAlign w:val="center"/>
          </w:tcPr>
          <w:p>
            <w:pPr>
              <w:pStyle w:val="78"/>
              <w:rPr>
                <w:szCs w:val="21"/>
              </w:rPr>
            </w:pPr>
            <w:r>
              <w:rPr>
                <w:szCs w:val="21"/>
              </w:rPr>
              <w:t xml:space="preserve">     项目</w:t>
            </w:r>
          </w:p>
          <w:p>
            <w:pPr>
              <w:pStyle w:val="78"/>
              <w:jc w:val="both"/>
              <w:rPr>
                <w:szCs w:val="21"/>
              </w:rPr>
            </w:pPr>
          </w:p>
          <w:p>
            <w:pPr>
              <w:pStyle w:val="78"/>
              <w:ind w:firstLine="210" w:firstLineChars="100"/>
              <w:jc w:val="both"/>
              <w:rPr>
                <w:szCs w:val="21"/>
              </w:rPr>
            </w:pPr>
            <w:r>
              <w:rPr>
                <w:szCs w:val="21"/>
              </w:rPr>
              <w:t>分类</w:t>
            </w:r>
          </w:p>
        </w:tc>
        <w:tc>
          <w:tcPr>
            <w:tcW w:w="630" w:type="pct"/>
            <w:tcMar>
              <w:left w:w="28" w:type="dxa"/>
              <w:right w:w="28" w:type="dxa"/>
            </w:tcMar>
            <w:vAlign w:val="center"/>
          </w:tcPr>
          <w:p>
            <w:pPr>
              <w:pStyle w:val="78"/>
              <w:rPr>
                <w:szCs w:val="21"/>
              </w:rPr>
            </w:pPr>
            <w:r>
              <w:rPr>
                <w:szCs w:val="21"/>
              </w:rPr>
              <w:t>污染物名称</w:t>
            </w:r>
          </w:p>
        </w:tc>
        <w:tc>
          <w:tcPr>
            <w:tcW w:w="543" w:type="pct"/>
            <w:tcMar>
              <w:left w:w="28" w:type="dxa"/>
              <w:right w:w="28" w:type="dxa"/>
            </w:tcMar>
            <w:vAlign w:val="center"/>
          </w:tcPr>
          <w:p>
            <w:pPr>
              <w:pStyle w:val="78"/>
              <w:rPr>
                <w:szCs w:val="21"/>
              </w:rPr>
            </w:pPr>
            <w:r>
              <w:rPr>
                <w:szCs w:val="21"/>
              </w:rPr>
              <w:t>现有工程排放量（固体废物产生量）</w:t>
            </w:r>
            <w:r>
              <w:rPr>
                <w:szCs w:val="21"/>
              </w:rPr>
              <w:fldChar w:fldCharType="begin"/>
            </w:r>
            <w:r>
              <w:rPr>
                <w:szCs w:val="21"/>
              </w:rPr>
              <w:instrText xml:space="preserve"> = 1 \* GB3 \* MERGEFORMAT </w:instrText>
            </w:r>
            <w:r>
              <w:rPr>
                <w:szCs w:val="21"/>
              </w:rPr>
              <w:fldChar w:fldCharType="separate"/>
            </w:r>
            <w:r>
              <w:rPr>
                <w:rFonts w:hint="eastAsia" w:cs="宋体"/>
                <w:szCs w:val="21"/>
              </w:rPr>
              <w:t>①</w:t>
            </w:r>
            <w:r>
              <w:rPr>
                <w:szCs w:val="21"/>
              </w:rPr>
              <w:fldChar w:fldCharType="end"/>
            </w:r>
          </w:p>
        </w:tc>
        <w:tc>
          <w:tcPr>
            <w:tcW w:w="544" w:type="pct"/>
            <w:tcMar>
              <w:left w:w="28" w:type="dxa"/>
              <w:right w:w="28" w:type="dxa"/>
            </w:tcMar>
            <w:vAlign w:val="center"/>
          </w:tcPr>
          <w:p>
            <w:pPr>
              <w:pStyle w:val="78"/>
              <w:rPr>
                <w:szCs w:val="21"/>
              </w:rPr>
            </w:pPr>
            <w:r>
              <w:rPr>
                <w:szCs w:val="21"/>
              </w:rPr>
              <w:t>现有工程</w:t>
            </w:r>
          </w:p>
          <w:p>
            <w:pPr>
              <w:pStyle w:val="78"/>
              <w:rPr>
                <w:szCs w:val="21"/>
              </w:rPr>
            </w:pPr>
            <w:r>
              <w:rPr>
                <w:szCs w:val="21"/>
              </w:rPr>
              <w:t>许可排放量</w:t>
            </w:r>
          </w:p>
          <w:p>
            <w:pPr>
              <w:pStyle w:val="78"/>
              <w:rPr>
                <w:szCs w:val="21"/>
              </w:rPr>
            </w:pPr>
            <w:r>
              <w:rPr>
                <w:szCs w:val="21"/>
              </w:rPr>
              <w:fldChar w:fldCharType="begin"/>
            </w:r>
            <w:r>
              <w:rPr>
                <w:szCs w:val="21"/>
              </w:rPr>
              <w:instrText xml:space="preserve"> = 2 \* GB3 \* MERGEFORMAT </w:instrText>
            </w:r>
            <w:r>
              <w:rPr>
                <w:szCs w:val="21"/>
              </w:rPr>
              <w:fldChar w:fldCharType="separate"/>
            </w:r>
            <w:r>
              <w:rPr>
                <w:rFonts w:hint="eastAsia" w:cs="宋体"/>
                <w:szCs w:val="21"/>
              </w:rPr>
              <w:t>②</w:t>
            </w:r>
            <w:r>
              <w:rPr>
                <w:szCs w:val="21"/>
              </w:rPr>
              <w:fldChar w:fldCharType="end"/>
            </w:r>
          </w:p>
        </w:tc>
        <w:tc>
          <w:tcPr>
            <w:tcW w:w="544" w:type="pct"/>
            <w:vAlign w:val="center"/>
          </w:tcPr>
          <w:p>
            <w:pPr>
              <w:pStyle w:val="78"/>
              <w:rPr>
                <w:szCs w:val="21"/>
              </w:rPr>
            </w:pPr>
            <w:r>
              <w:rPr>
                <w:szCs w:val="21"/>
              </w:rPr>
              <w:t>在建工程排放量（固体废物产生量）</w:t>
            </w:r>
            <w:r>
              <w:rPr>
                <w:szCs w:val="21"/>
              </w:rPr>
              <w:fldChar w:fldCharType="begin"/>
            </w:r>
            <w:r>
              <w:rPr>
                <w:szCs w:val="21"/>
              </w:rPr>
              <w:instrText xml:space="preserve"> = 3 \* GB3 \* MERGEFORMAT </w:instrText>
            </w:r>
            <w:r>
              <w:rPr>
                <w:szCs w:val="21"/>
              </w:rPr>
              <w:fldChar w:fldCharType="separate"/>
            </w:r>
            <w:r>
              <w:rPr>
                <w:rFonts w:hint="eastAsia" w:cs="宋体"/>
                <w:szCs w:val="21"/>
              </w:rPr>
              <w:t>③</w:t>
            </w:r>
            <w:r>
              <w:rPr>
                <w:szCs w:val="21"/>
              </w:rPr>
              <w:fldChar w:fldCharType="end"/>
            </w:r>
          </w:p>
        </w:tc>
        <w:tc>
          <w:tcPr>
            <w:tcW w:w="544" w:type="pct"/>
            <w:tcMar>
              <w:left w:w="28" w:type="dxa"/>
              <w:right w:w="28" w:type="dxa"/>
            </w:tcMar>
            <w:vAlign w:val="center"/>
          </w:tcPr>
          <w:p>
            <w:pPr>
              <w:pStyle w:val="78"/>
              <w:rPr>
                <w:szCs w:val="21"/>
              </w:rPr>
            </w:pPr>
            <w:r>
              <w:rPr>
                <w:szCs w:val="21"/>
              </w:rPr>
              <w:t>本项目排放量（固体废物产生量）</w:t>
            </w:r>
            <w:r>
              <w:rPr>
                <w:szCs w:val="21"/>
              </w:rPr>
              <w:fldChar w:fldCharType="begin"/>
            </w:r>
            <w:r>
              <w:rPr>
                <w:szCs w:val="21"/>
              </w:rPr>
              <w:instrText xml:space="preserve"> = 4 \* GB3 \* MERGEFORMAT </w:instrText>
            </w:r>
            <w:r>
              <w:rPr>
                <w:szCs w:val="21"/>
              </w:rPr>
              <w:fldChar w:fldCharType="separate"/>
            </w:r>
            <w:r>
              <w:rPr>
                <w:rFonts w:hint="eastAsia" w:cs="宋体"/>
                <w:szCs w:val="21"/>
              </w:rPr>
              <w:t>④</w:t>
            </w:r>
            <w:r>
              <w:rPr>
                <w:szCs w:val="21"/>
              </w:rPr>
              <w:fldChar w:fldCharType="end"/>
            </w:r>
          </w:p>
        </w:tc>
        <w:tc>
          <w:tcPr>
            <w:tcW w:w="544" w:type="pct"/>
            <w:tcMar>
              <w:left w:w="28" w:type="dxa"/>
              <w:right w:w="28" w:type="dxa"/>
            </w:tcMar>
            <w:vAlign w:val="center"/>
          </w:tcPr>
          <w:p>
            <w:pPr>
              <w:pStyle w:val="78"/>
              <w:rPr>
                <w:spacing w:val="-16"/>
                <w:szCs w:val="21"/>
              </w:rPr>
            </w:pPr>
            <w:r>
              <w:rPr>
                <w:spacing w:val="-16"/>
                <w:szCs w:val="21"/>
              </w:rPr>
              <w:t>以新带老削减量</w:t>
            </w:r>
          </w:p>
          <w:p>
            <w:pPr>
              <w:pStyle w:val="78"/>
              <w:rPr>
                <w:spacing w:val="-16"/>
                <w:szCs w:val="21"/>
              </w:rPr>
            </w:pPr>
            <w:r>
              <w:rPr>
                <w:spacing w:val="-16"/>
                <w:szCs w:val="21"/>
              </w:rPr>
              <w:t>（新建项目不填）</w:t>
            </w:r>
            <w:r>
              <w:rPr>
                <w:spacing w:val="-16"/>
                <w:szCs w:val="21"/>
              </w:rPr>
              <w:fldChar w:fldCharType="begin"/>
            </w:r>
            <w:r>
              <w:rPr>
                <w:spacing w:val="-16"/>
                <w:szCs w:val="21"/>
              </w:rPr>
              <w:instrText xml:space="preserve"> = 5 \* GB3 \* MERGEFORMAT </w:instrText>
            </w:r>
            <w:r>
              <w:rPr>
                <w:spacing w:val="-16"/>
                <w:szCs w:val="21"/>
              </w:rPr>
              <w:fldChar w:fldCharType="separate"/>
            </w:r>
            <w:r>
              <w:rPr>
                <w:rFonts w:hint="eastAsia" w:cs="宋体"/>
                <w:szCs w:val="21"/>
              </w:rPr>
              <w:t>⑤</w:t>
            </w:r>
            <w:r>
              <w:rPr>
                <w:spacing w:val="-16"/>
                <w:szCs w:val="21"/>
              </w:rPr>
              <w:fldChar w:fldCharType="end"/>
            </w:r>
          </w:p>
        </w:tc>
        <w:tc>
          <w:tcPr>
            <w:tcW w:w="544" w:type="pct"/>
            <w:tcMar>
              <w:left w:w="28" w:type="dxa"/>
              <w:right w:w="28" w:type="dxa"/>
            </w:tcMar>
            <w:vAlign w:val="center"/>
          </w:tcPr>
          <w:p>
            <w:pPr>
              <w:pStyle w:val="78"/>
              <w:rPr>
                <w:szCs w:val="21"/>
              </w:rPr>
            </w:pPr>
            <w:r>
              <w:rPr>
                <w:szCs w:val="21"/>
              </w:rPr>
              <w:t>本项目全厂排放量（固体废物产生量）</w:t>
            </w:r>
            <w:r>
              <w:rPr>
                <w:szCs w:val="21"/>
              </w:rPr>
              <w:fldChar w:fldCharType="begin"/>
            </w:r>
            <w:r>
              <w:rPr>
                <w:szCs w:val="21"/>
              </w:rPr>
              <w:instrText xml:space="preserve"> = 6 \* GB3 \* MERGEFORMAT </w:instrText>
            </w:r>
            <w:r>
              <w:rPr>
                <w:szCs w:val="21"/>
              </w:rPr>
              <w:fldChar w:fldCharType="separate"/>
            </w:r>
            <w:r>
              <w:rPr>
                <w:rFonts w:hint="eastAsia" w:cs="宋体"/>
                <w:szCs w:val="21"/>
              </w:rPr>
              <w:t>⑥</w:t>
            </w:r>
            <w:r>
              <w:rPr>
                <w:szCs w:val="21"/>
              </w:rPr>
              <w:fldChar w:fldCharType="end"/>
            </w:r>
          </w:p>
        </w:tc>
        <w:tc>
          <w:tcPr>
            <w:tcW w:w="650" w:type="pct"/>
            <w:vAlign w:val="center"/>
          </w:tcPr>
          <w:p>
            <w:pPr>
              <w:pStyle w:val="78"/>
              <w:rPr>
                <w:szCs w:val="21"/>
              </w:rPr>
            </w:pPr>
            <w:r>
              <w:rPr>
                <w:szCs w:val="21"/>
              </w:rPr>
              <w:t>变化量</w:t>
            </w:r>
          </w:p>
          <w:p>
            <w:pPr>
              <w:pStyle w:val="78"/>
              <w:rPr>
                <w:szCs w:val="21"/>
              </w:rPr>
            </w:pPr>
            <w:r>
              <w:rPr>
                <w:szCs w:val="21"/>
              </w:rPr>
              <w:fldChar w:fldCharType="begin"/>
            </w:r>
            <w:r>
              <w:rPr>
                <w:szCs w:val="21"/>
              </w:rPr>
              <w:instrText xml:space="preserve"> = 7 \* GB3 \* MERGEFORMAT </w:instrText>
            </w:r>
            <w:r>
              <w:rPr>
                <w:szCs w:val="21"/>
              </w:rPr>
              <w:fldChar w:fldCharType="separate"/>
            </w:r>
            <w:r>
              <w:rPr>
                <w:rFonts w:hint="eastAsia" w:cs="宋体"/>
                <w:szCs w:val="21"/>
              </w:rPr>
              <w:t>⑦</w:t>
            </w:r>
            <w:r>
              <w:rPr>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4" w:type="pct"/>
            <w:vMerge w:val="restart"/>
            <w:vAlign w:val="center"/>
          </w:tcPr>
          <w:p>
            <w:pPr>
              <w:pStyle w:val="78"/>
              <w:rPr>
                <w:szCs w:val="21"/>
              </w:rPr>
            </w:pPr>
            <w:r>
              <w:rPr>
                <w:szCs w:val="21"/>
              </w:rPr>
              <w:t>废气</w:t>
            </w:r>
          </w:p>
        </w:tc>
        <w:tc>
          <w:tcPr>
            <w:tcW w:w="630" w:type="pct"/>
            <w:vAlign w:val="center"/>
          </w:tcPr>
          <w:p>
            <w:pPr>
              <w:spacing w:before="0" w:beforeLines="0" w:line="240" w:lineRule="auto"/>
              <w:ind w:firstLine="0" w:firstLineChars="0"/>
              <w:jc w:val="center"/>
              <w:rPr>
                <w:szCs w:val="21"/>
              </w:rPr>
            </w:pPr>
            <w:r>
              <w:rPr>
                <w:bCs/>
                <w:color w:val="000000"/>
                <w:sz w:val="21"/>
                <w:szCs w:val="21"/>
              </w:rPr>
              <w:t>NH</w:t>
            </w:r>
            <w:r>
              <w:rPr>
                <w:bCs/>
                <w:color w:val="000000"/>
                <w:sz w:val="21"/>
                <w:szCs w:val="21"/>
                <w:vertAlign w:val="subscript"/>
              </w:rPr>
              <w:t>3</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66.056kg</w:t>
            </w:r>
            <w:r>
              <w:rPr>
                <w:bCs/>
                <w:szCs w:val="21"/>
              </w:rPr>
              <w:t>/a</w:t>
            </w:r>
          </w:p>
        </w:tc>
        <w:tc>
          <w:tcPr>
            <w:tcW w:w="544" w:type="pct"/>
            <w:vAlign w:val="center"/>
          </w:tcPr>
          <w:p>
            <w:pPr>
              <w:pStyle w:val="78"/>
              <w:rPr>
                <w:szCs w:val="21"/>
              </w:rPr>
            </w:pPr>
            <w:r>
              <w:rPr>
                <w:rFonts w:hint="eastAsia"/>
                <w:szCs w:val="21"/>
              </w:rPr>
              <w:t>0</w:t>
            </w:r>
          </w:p>
        </w:tc>
        <w:tc>
          <w:tcPr>
            <w:tcW w:w="1559" w:type="dxa"/>
            <w:vAlign w:val="center"/>
          </w:tcPr>
          <w:p>
            <w:pPr>
              <w:pStyle w:val="78"/>
              <w:rPr>
                <w:szCs w:val="21"/>
              </w:rPr>
            </w:pPr>
            <w:r>
              <w:rPr>
                <w:rFonts w:hint="eastAsia"/>
                <w:szCs w:val="21"/>
              </w:rPr>
              <w:t>66.056kg</w:t>
            </w:r>
            <w:r>
              <w:rPr>
                <w:bCs/>
                <w:szCs w:val="21"/>
              </w:rPr>
              <w:t>/a</w:t>
            </w:r>
          </w:p>
        </w:tc>
        <w:tc>
          <w:tcPr>
            <w:tcW w:w="1863" w:type="dxa"/>
            <w:vAlign w:val="center"/>
          </w:tcPr>
          <w:p>
            <w:pPr>
              <w:pStyle w:val="78"/>
              <w:rPr>
                <w:szCs w:val="21"/>
              </w:rPr>
            </w:pPr>
            <w:r>
              <w:rPr>
                <w:rFonts w:hint="eastAsia"/>
                <w:szCs w:val="21"/>
              </w:rPr>
              <w:t>+66.056kg</w:t>
            </w:r>
            <w:r>
              <w:rPr>
                <w:bCs/>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4" w:type="pct"/>
            <w:vMerge w:val="continue"/>
            <w:vAlign w:val="center"/>
          </w:tcPr>
          <w:p>
            <w:pPr>
              <w:pStyle w:val="78"/>
              <w:rPr>
                <w:szCs w:val="21"/>
              </w:rPr>
            </w:pPr>
          </w:p>
        </w:tc>
        <w:tc>
          <w:tcPr>
            <w:tcW w:w="630" w:type="pct"/>
            <w:vAlign w:val="center"/>
          </w:tcPr>
          <w:p>
            <w:pPr>
              <w:spacing w:before="0" w:beforeLines="0" w:line="240" w:lineRule="auto"/>
              <w:ind w:firstLine="0" w:firstLineChars="0"/>
              <w:jc w:val="center"/>
              <w:rPr>
                <w:szCs w:val="21"/>
              </w:rPr>
            </w:pPr>
            <w:r>
              <w:rPr>
                <w:rFonts w:hint="eastAsia"/>
                <w:bCs/>
                <w:color w:val="000000"/>
                <w:sz w:val="21"/>
                <w:szCs w:val="21"/>
              </w:rPr>
              <w:t>H</w:t>
            </w:r>
            <w:r>
              <w:rPr>
                <w:bCs/>
                <w:color w:val="000000"/>
                <w:sz w:val="21"/>
                <w:szCs w:val="21"/>
                <w:vertAlign w:val="subscript"/>
              </w:rPr>
              <w:t>2</w:t>
            </w:r>
            <w:r>
              <w:rPr>
                <w:bCs/>
                <w:color w:val="000000"/>
                <w:sz w:val="21"/>
                <w:szCs w:val="21"/>
              </w:rPr>
              <w:t>S</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8.634kg</w:t>
            </w:r>
            <w:r>
              <w:rPr>
                <w:bCs/>
                <w:szCs w:val="21"/>
              </w:rPr>
              <w:t>/a</w:t>
            </w:r>
          </w:p>
        </w:tc>
        <w:tc>
          <w:tcPr>
            <w:tcW w:w="544" w:type="pct"/>
            <w:vAlign w:val="center"/>
          </w:tcPr>
          <w:p>
            <w:pPr>
              <w:pStyle w:val="78"/>
              <w:rPr>
                <w:szCs w:val="21"/>
              </w:rPr>
            </w:pPr>
            <w:r>
              <w:rPr>
                <w:rFonts w:hint="eastAsia"/>
                <w:szCs w:val="21"/>
              </w:rPr>
              <w:t>0</w:t>
            </w:r>
          </w:p>
        </w:tc>
        <w:tc>
          <w:tcPr>
            <w:tcW w:w="1559" w:type="dxa"/>
            <w:vAlign w:val="center"/>
          </w:tcPr>
          <w:p>
            <w:pPr>
              <w:pStyle w:val="78"/>
              <w:rPr>
                <w:szCs w:val="21"/>
              </w:rPr>
            </w:pPr>
            <w:r>
              <w:rPr>
                <w:rFonts w:hint="eastAsia"/>
                <w:szCs w:val="21"/>
              </w:rPr>
              <w:t>8.634kg</w:t>
            </w:r>
            <w:r>
              <w:rPr>
                <w:bCs/>
                <w:szCs w:val="21"/>
              </w:rPr>
              <w:t>/a</w:t>
            </w:r>
          </w:p>
        </w:tc>
        <w:tc>
          <w:tcPr>
            <w:tcW w:w="1863" w:type="dxa"/>
            <w:vAlign w:val="center"/>
          </w:tcPr>
          <w:p>
            <w:pPr>
              <w:pStyle w:val="78"/>
              <w:rPr>
                <w:szCs w:val="21"/>
              </w:rPr>
            </w:pPr>
            <w:r>
              <w:rPr>
                <w:rFonts w:hint="eastAsia"/>
                <w:szCs w:val="21"/>
              </w:rPr>
              <w:t>+8.634</w:t>
            </w:r>
            <w:r>
              <w:rPr>
                <w:bCs/>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454" w:type="pct"/>
            <w:vMerge w:val="restart"/>
            <w:vAlign w:val="center"/>
          </w:tcPr>
          <w:p>
            <w:pPr>
              <w:pStyle w:val="78"/>
              <w:rPr>
                <w:szCs w:val="21"/>
              </w:rPr>
            </w:pPr>
            <w:r>
              <w:rPr>
                <w:szCs w:val="21"/>
              </w:rPr>
              <w:t>一般工业固体废物</w:t>
            </w:r>
          </w:p>
        </w:tc>
        <w:tc>
          <w:tcPr>
            <w:tcW w:w="630" w:type="pct"/>
            <w:vAlign w:val="center"/>
          </w:tcPr>
          <w:p>
            <w:pPr>
              <w:pStyle w:val="78"/>
              <w:rPr>
                <w:szCs w:val="21"/>
              </w:rPr>
            </w:pPr>
            <w:r>
              <w:rPr>
                <w:rFonts w:hint="eastAsia"/>
                <w:szCs w:val="21"/>
              </w:rPr>
              <w:t>三级化粪池污泥</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0.4</w:t>
            </w:r>
            <w:r>
              <w:rPr>
                <w:color w:val="000000"/>
                <w:szCs w:val="21"/>
              </w:rPr>
              <w:t>t/a</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0.4</w:t>
            </w:r>
            <w:r>
              <w:rPr>
                <w:color w:val="000000"/>
                <w:szCs w:val="21"/>
              </w:rPr>
              <w:t>t/a</w:t>
            </w:r>
          </w:p>
        </w:tc>
        <w:tc>
          <w:tcPr>
            <w:tcW w:w="650" w:type="pct"/>
            <w:vAlign w:val="center"/>
          </w:tcPr>
          <w:p>
            <w:pPr>
              <w:pStyle w:val="78"/>
              <w:rPr>
                <w:color w:val="000000"/>
                <w:szCs w:val="21"/>
              </w:rPr>
            </w:pPr>
            <w:r>
              <w:rPr>
                <w:rFonts w:hint="eastAsia"/>
                <w:color w:val="000000"/>
                <w:szCs w:val="21"/>
              </w:rPr>
              <w:t>+0.4</w:t>
            </w:r>
            <w:r>
              <w:rPr>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54" w:type="pct"/>
            <w:vMerge w:val="continue"/>
            <w:vAlign w:val="center"/>
          </w:tcPr>
          <w:p>
            <w:pPr>
              <w:pStyle w:val="78"/>
              <w:rPr>
                <w:szCs w:val="21"/>
              </w:rPr>
            </w:pPr>
          </w:p>
        </w:tc>
        <w:tc>
          <w:tcPr>
            <w:tcW w:w="630" w:type="pct"/>
            <w:vAlign w:val="center"/>
          </w:tcPr>
          <w:p>
            <w:pPr>
              <w:pStyle w:val="78"/>
              <w:rPr>
                <w:szCs w:val="21"/>
              </w:rPr>
            </w:pPr>
            <w:r>
              <w:rPr>
                <w:rFonts w:hint="eastAsia"/>
                <w:szCs w:val="21"/>
              </w:rPr>
              <w:t>污水处理污泥、</w:t>
            </w:r>
            <w:r>
              <w:rPr>
                <w:rFonts w:hint="eastAsia"/>
                <w:color w:val="000000"/>
                <w:szCs w:val="21"/>
              </w:rPr>
              <w:t>格栅渣及油脂</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color w:val="000000"/>
                <w:szCs w:val="21"/>
              </w:rPr>
              <w:t>77.38</w:t>
            </w:r>
            <w:r>
              <w:rPr>
                <w:color w:val="000000"/>
                <w:szCs w:val="21"/>
              </w:rPr>
              <w:t>t/a</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color w:val="000000"/>
                <w:szCs w:val="21"/>
              </w:rPr>
              <w:t>77.38</w:t>
            </w:r>
            <w:r>
              <w:rPr>
                <w:color w:val="000000"/>
                <w:szCs w:val="21"/>
              </w:rPr>
              <w:t>t/a</w:t>
            </w:r>
          </w:p>
        </w:tc>
        <w:tc>
          <w:tcPr>
            <w:tcW w:w="650" w:type="pct"/>
            <w:vAlign w:val="center"/>
          </w:tcPr>
          <w:p>
            <w:pPr>
              <w:pStyle w:val="78"/>
              <w:rPr>
                <w:szCs w:val="21"/>
              </w:rPr>
            </w:pPr>
            <w:r>
              <w:rPr>
                <w:rFonts w:hint="eastAsia"/>
                <w:color w:val="000000"/>
                <w:szCs w:val="21"/>
              </w:rPr>
              <w:t>+77.38</w:t>
            </w:r>
            <w:r>
              <w:rPr>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54" w:type="pct"/>
            <w:vMerge w:val="continue"/>
            <w:vAlign w:val="center"/>
          </w:tcPr>
          <w:p>
            <w:pPr>
              <w:pStyle w:val="78"/>
              <w:rPr>
                <w:szCs w:val="21"/>
              </w:rPr>
            </w:pPr>
          </w:p>
        </w:tc>
        <w:tc>
          <w:tcPr>
            <w:tcW w:w="630" w:type="pct"/>
            <w:vAlign w:val="center"/>
          </w:tcPr>
          <w:p>
            <w:pPr>
              <w:pStyle w:val="78"/>
              <w:rPr>
                <w:szCs w:val="21"/>
              </w:rPr>
            </w:pPr>
            <w:r>
              <w:rPr>
                <w:rFonts w:hint="eastAsia"/>
                <w:szCs w:val="21"/>
              </w:rPr>
              <w:t>粪便及胃容物</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13.12</w:t>
            </w:r>
            <w:r>
              <w:rPr>
                <w:color w:val="000000"/>
                <w:szCs w:val="21"/>
              </w:rPr>
              <w:t>t/a</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13.12</w:t>
            </w:r>
            <w:r>
              <w:rPr>
                <w:color w:val="000000"/>
                <w:szCs w:val="21"/>
              </w:rPr>
              <w:t>t/a</w:t>
            </w:r>
          </w:p>
        </w:tc>
        <w:tc>
          <w:tcPr>
            <w:tcW w:w="650" w:type="pct"/>
            <w:vAlign w:val="center"/>
          </w:tcPr>
          <w:p>
            <w:pPr>
              <w:pStyle w:val="78"/>
              <w:rPr>
                <w:color w:val="000000"/>
                <w:szCs w:val="21"/>
              </w:rPr>
            </w:pPr>
            <w:r>
              <w:rPr>
                <w:rFonts w:hint="eastAsia"/>
                <w:color w:val="000000"/>
                <w:szCs w:val="21"/>
              </w:rPr>
              <w:t>+13.12</w:t>
            </w:r>
            <w:r>
              <w:rPr>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54" w:type="pct"/>
            <w:vMerge w:val="continue"/>
            <w:vAlign w:val="center"/>
          </w:tcPr>
          <w:p>
            <w:pPr>
              <w:pStyle w:val="78"/>
              <w:rPr>
                <w:szCs w:val="21"/>
              </w:rPr>
            </w:pPr>
          </w:p>
        </w:tc>
        <w:tc>
          <w:tcPr>
            <w:tcW w:w="630" w:type="pct"/>
            <w:vAlign w:val="center"/>
          </w:tcPr>
          <w:p>
            <w:pPr>
              <w:pStyle w:val="78"/>
              <w:rPr>
                <w:szCs w:val="21"/>
              </w:rPr>
            </w:pPr>
            <w:r>
              <w:rPr>
                <w:rFonts w:hint="eastAsia"/>
                <w:szCs w:val="21"/>
              </w:rPr>
              <w:t>无害化处理后废渣</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8.08</w:t>
            </w:r>
            <w:r>
              <w:rPr>
                <w:color w:val="000000"/>
                <w:szCs w:val="21"/>
              </w:rPr>
              <w:t>t/a</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8.08</w:t>
            </w:r>
            <w:r>
              <w:rPr>
                <w:color w:val="000000"/>
                <w:szCs w:val="21"/>
              </w:rPr>
              <w:t>t/a</w:t>
            </w:r>
          </w:p>
        </w:tc>
        <w:tc>
          <w:tcPr>
            <w:tcW w:w="650" w:type="pct"/>
            <w:vAlign w:val="center"/>
          </w:tcPr>
          <w:p>
            <w:pPr>
              <w:pStyle w:val="78"/>
              <w:rPr>
                <w:color w:val="000000"/>
                <w:szCs w:val="21"/>
              </w:rPr>
            </w:pPr>
            <w:r>
              <w:rPr>
                <w:rFonts w:hint="eastAsia"/>
                <w:color w:val="000000"/>
                <w:szCs w:val="21"/>
              </w:rPr>
              <w:t>+8.08</w:t>
            </w:r>
            <w:r>
              <w:rPr>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54" w:type="pct"/>
            <w:vAlign w:val="center"/>
          </w:tcPr>
          <w:p>
            <w:pPr>
              <w:pStyle w:val="78"/>
              <w:rPr>
                <w:szCs w:val="21"/>
              </w:rPr>
            </w:pPr>
            <w:r>
              <w:rPr>
                <w:rFonts w:hint="eastAsia"/>
                <w:szCs w:val="21"/>
              </w:rPr>
              <w:t>危险废物</w:t>
            </w:r>
          </w:p>
        </w:tc>
        <w:tc>
          <w:tcPr>
            <w:tcW w:w="630" w:type="pct"/>
            <w:vAlign w:val="center"/>
          </w:tcPr>
          <w:p>
            <w:pPr>
              <w:pStyle w:val="78"/>
              <w:rPr>
                <w:szCs w:val="21"/>
              </w:rPr>
            </w:pPr>
            <w:r>
              <w:rPr>
                <w:rFonts w:hint="eastAsia"/>
                <w:szCs w:val="21"/>
              </w:rPr>
              <w:t>检疫废物</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0.07</w:t>
            </w:r>
            <w:r>
              <w:rPr>
                <w:color w:val="000000"/>
                <w:szCs w:val="21"/>
              </w:rPr>
              <w:t>t/a</w:t>
            </w:r>
          </w:p>
        </w:tc>
        <w:tc>
          <w:tcPr>
            <w:tcW w:w="544" w:type="pct"/>
            <w:vAlign w:val="center"/>
          </w:tcPr>
          <w:p>
            <w:pPr>
              <w:pStyle w:val="78"/>
              <w:rPr>
                <w:szCs w:val="21"/>
              </w:rPr>
            </w:pPr>
            <w:r>
              <w:rPr>
                <w:rFonts w:hint="eastAsia"/>
                <w:szCs w:val="21"/>
              </w:rPr>
              <w:t>0</w:t>
            </w:r>
          </w:p>
        </w:tc>
        <w:tc>
          <w:tcPr>
            <w:tcW w:w="544" w:type="pct"/>
            <w:vAlign w:val="center"/>
          </w:tcPr>
          <w:p>
            <w:pPr>
              <w:pStyle w:val="78"/>
              <w:rPr>
                <w:color w:val="000000"/>
                <w:szCs w:val="21"/>
              </w:rPr>
            </w:pPr>
            <w:r>
              <w:rPr>
                <w:rFonts w:hint="eastAsia"/>
                <w:color w:val="000000"/>
                <w:szCs w:val="21"/>
              </w:rPr>
              <w:t>0.07</w:t>
            </w:r>
            <w:r>
              <w:rPr>
                <w:color w:val="000000"/>
                <w:szCs w:val="21"/>
              </w:rPr>
              <w:t>t/a</w:t>
            </w:r>
          </w:p>
        </w:tc>
        <w:tc>
          <w:tcPr>
            <w:tcW w:w="650" w:type="pct"/>
            <w:vAlign w:val="center"/>
          </w:tcPr>
          <w:p>
            <w:pPr>
              <w:pStyle w:val="78"/>
              <w:rPr>
                <w:color w:val="000000"/>
                <w:szCs w:val="21"/>
              </w:rPr>
            </w:pPr>
            <w:r>
              <w:rPr>
                <w:rFonts w:hint="eastAsia"/>
                <w:color w:val="000000"/>
                <w:szCs w:val="21"/>
              </w:rPr>
              <w:t>+0.07</w:t>
            </w:r>
            <w:r>
              <w:rPr>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54" w:type="pct"/>
            <w:vAlign w:val="center"/>
          </w:tcPr>
          <w:p>
            <w:pPr>
              <w:pStyle w:val="78"/>
              <w:rPr>
                <w:szCs w:val="21"/>
              </w:rPr>
            </w:pPr>
            <w:r>
              <w:rPr>
                <w:rFonts w:hint="eastAsia"/>
                <w:szCs w:val="21"/>
              </w:rPr>
              <w:t>生活垃圾</w:t>
            </w:r>
          </w:p>
        </w:tc>
        <w:tc>
          <w:tcPr>
            <w:tcW w:w="630" w:type="pct"/>
            <w:vAlign w:val="center"/>
          </w:tcPr>
          <w:p>
            <w:pPr>
              <w:pStyle w:val="78"/>
              <w:rPr>
                <w:szCs w:val="21"/>
              </w:rPr>
            </w:pPr>
            <w:r>
              <w:rPr>
                <w:rFonts w:hint="eastAsia"/>
                <w:szCs w:val="21"/>
              </w:rPr>
              <w:t>生活垃圾</w:t>
            </w:r>
          </w:p>
        </w:tc>
        <w:tc>
          <w:tcPr>
            <w:tcW w:w="543"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bCs/>
                <w:szCs w:val="21"/>
              </w:rPr>
              <w:t>7</w:t>
            </w:r>
            <w:r>
              <w:rPr>
                <w:bCs/>
                <w:szCs w:val="21"/>
              </w:rPr>
              <w:t>t/a</w:t>
            </w:r>
          </w:p>
        </w:tc>
        <w:tc>
          <w:tcPr>
            <w:tcW w:w="544" w:type="pct"/>
            <w:vAlign w:val="center"/>
          </w:tcPr>
          <w:p>
            <w:pPr>
              <w:pStyle w:val="78"/>
              <w:rPr>
                <w:szCs w:val="21"/>
              </w:rPr>
            </w:pPr>
            <w:r>
              <w:rPr>
                <w:rFonts w:hint="eastAsia"/>
                <w:szCs w:val="21"/>
              </w:rPr>
              <w:t>0</w:t>
            </w:r>
          </w:p>
        </w:tc>
        <w:tc>
          <w:tcPr>
            <w:tcW w:w="544" w:type="pct"/>
            <w:vAlign w:val="center"/>
          </w:tcPr>
          <w:p>
            <w:pPr>
              <w:pStyle w:val="78"/>
              <w:rPr>
                <w:szCs w:val="21"/>
              </w:rPr>
            </w:pPr>
            <w:r>
              <w:rPr>
                <w:rFonts w:hint="eastAsia"/>
                <w:bCs/>
                <w:szCs w:val="21"/>
              </w:rPr>
              <w:t>7</w:t>
            </w:r>
            <w:r>
              <w:rPr>
                <w:bCs/>
                <w:szCs w:val="21"/>
              </w:rPr>
              <w:t>t/a</w:t>
            </w:r>
          </w:p>
        </w:tc>
        <w:tc>
          <w:tcPr>
            <w:tcW w:w="650" w:type="pct"/>
            <w:vAlign w:val="center"/>
          </w:tcPr>
          <w:p>
            <w:pPr>
              <w:pStyle w:val="78"/>
              <w:rPr>
                <w:szCs w:val="21"/>
              </w:rPr>
            </w:pPr>
            <w:r>
              <w:rPr>
                <w:bCs/>
                <w:szCs w:val="21"/>
              </w:rPr>
              <w:t>+</w:t>
            </w:r>
            <w:r>
              <w:rPr>
                <w:rFonts w:hint="eastAsia"/>
                <w:bCs/>
                <w:szCs w:val="21"/>
              </w:rPr>
              <w:t>7</w:t>
            </w:r>
            <w:r>
              <w:rPr>
                <w:bCs/>
                <w:szCs w:val="21"/>
              </w:rPr>
              <w:t>t/a</w:t>
            </w:r>
          </w:p>
        </w:tc>
      </w:tr>
    </w:tbl>
    <w:p>
      <w:pPr>
        <w:pStyle w:val="56"/>
        <w:spacing w:before="192" w:beforeLines="80" w:after="24"/>
        <w:ind w:firstLine="420"/>
        <w:jc w:val="left"/>
        <w:rPr>
          <w:rFonts w:ascii="Times New Roman"/>
          <w:snapToGrid w:val="0"/>
          <w:color w:val="000000"/>
          <w:spacing w:val="-6"/>
          <w:kern w:val="21"/>
          <w:sz w:val="21"/>
          <w:szCs w:val="18"/>
        </w:rPr>
      </w:pPr>
      <w:r>
        <w:rPr>
          <w:rFonts w:ascii="Times New Roman"/>
          <w:snapToGrid w:val="0"/>
          <w:color w:val="000000"/>
          <w:kern w:val="21"/>
          <w:sz w:val="21"/>
          <w:szCs w:val="18"/>
        </w:rPr>
        <w:t>注：</w:t>
      </w:r>
      <w:r>
        <w:rPr>
          <w:rFonts w:ascii="Times New Roman"/>
          <w:snapToGrid w:val="0"/>
          <w:color w:val="000000"/>
          <w:spacing w:val="-16"/>
          <w:kern w:val="21"/>
          <w:sz w:val="21"/>
          <w:szCs w:val="18"/>
        </w:rPr>
        <w:fldChar w:fldCharType="begin"/>
      </w:r>
      <w:r>
        <w:rPr>
          <w:rFonts w:ascii="Times New Roman"/>
          <w:snapToGrid w:val="0"/>
          <w:color w:val="000000"/>
          <w:spacing w:val="-16"/>
          <w:kern w:val="21"/>
          <w:sz w:val="21"/>
          <w:szCs w:val="18"/>
        </w:rPr>
        <w:instrText xml:space="preserve"> = 6 \* GB3 \* MERGEFORMAT </w:instrText>
      </w:r>
      <w:r>
        <w:rPr>
          <w:rFonts w:ascii="Times New Roman"/>
          <w:snapToGrid w:val="0"/>
          <w:color w:val="000000"/>
          <w:spacing w:val="-16"/>
          <w:kern w:val="21"/>
          <w:sz w:val="21"/>
          <w:szCs w:val="18"/>
        </w:rPr>
        <w:fldChar w:fldCharType="separate"/>
      </w:r>
      <w:r>
        <w:rPr>
          <w:rFonts w:hint="eastAsia" w:ascii="Times New Roman" w:cs="宋体"/>
          <w:sz w:val="21"/>
          <w:szCs w:val="18"/>
        </w:rPr>
        <w:t>⑥</w:t>
      </w:r>
      <w:r>
        <w:rPr>
          <w:rFonts w:ascii="Times New Roman"/>
          <w:snapToGrid w:val="0"/>
          <w:color w:val="000000"/>
          <w:spacing w:val="-16"/>
          <w:kern w:val="21"/>
          <w:sz w:val="21"/>
          <w:szCs w:val="18"/>
        </w:rPr>
        <w:fldChar w:fldCharType="end"/>
      </w:r>
      <w:r>
        <w:rPr>
          <w:rFonts w:ascii="Times New Roman"/>
          <w:snapToGrid w:val="0"/>
          <w:color w:val="000000"/>
          <w:spacing w:val="-16"/>
          <w:kern w:val="21"/>
          <w:sz w:val="21"/>
          <w:szCs w:val="18"/>
        </w:rPr>
        <w:t>=</w:t>
      </w:r>
      <w:r>
        <w:rPr>
          <w:rFonts w:ascii="Times New Roman"/>
          <w:snapToGrid w:val="0"/>
          <w:color w:val="000000"/>
          <w:spacing w:val="-6"/>
          <w:kern w:val="21"/>
          <w:sz w:val="21"/>
          <w:szCs w:val="18"/>
        </w:rPr>
        <w:fldChar w:fldCharType="begin"/>
      </w:r>
      <w:r>
        <w:rPr>
          <w:rFonts w:ascii="Times New Roman"/>
          <w:snapToGrid w:val="0"/>
          <w:color w:val="000000"/>
          <w:spacing w:val="-6"/>
          <w:kern w:val="21"/>
          <w:sz w:val="21"/>
          <w:szCs w:val="18"/>
        </w:rPr>
        <w:instrText xml:space="preserve"> = 1 \* GB3 \* MERGEFORMAT </w:instrText>
      </w:r>
      <w:r>
        <w:rPr>
          <w:rFonts w:ascii="Times New Roman"/>
          <w:snapToGrid w:val="0"/>
          <w:color w:val="000000"/>
          <w:spacing w:val="-6"/>
          <w:kern w:val="21"/>
          <w:sz w:val="21"/>
          <w:szCs w:val="18"/>
        </w:rPr>
        <w:fldChar w:fldCharType="separate"/>
      </w:r>
      <w:r>
        <w:rPr>
          <w:rFonts w:hint="eastAsia" w:ascii="Times New Roman" w:cs="宋体"/>
          <w:sz w:val="21"/>
          <w:szCs w:val="18"/>
        </w:rPr>
        <w:t>①</w:t>
      </w:r>
      <w:r>
        <w:rPr>
          <w:rFonts w:ascii="Times New Roman"/>
          <w:snapToGrid w:val="0"/>
          <w:color w:val="000000"/>
          <w:spacing w:val="-6"/>
          <w:kern w:val="21"/>
          <w:sz w:val="21"/>
          <w:szCs w:val="18"/>
        </w:rPr>
        <w:fldChar w:fldCharType="end"/>
      </w:r>
      <w:r>
        <w:rPr>
          <w:rFonts w:ascii="Times New Roman"/>
          <w:snapToGrid w:val="0"/>
          <w:color w:val="000000"/>
          <w:spacing w:val="-6"/>
          <w:kern w:val="21"/>
          <w:sz w:val="21"/>
          <w:szCs w:val="18"/>
        </w:rPr>
        <w:t>+</w:t>
      </w:r>
      <w:r>
        <w:rPr>
          <w:rFonts w:ascii="Times New Roman"/>
          <w:snapToGrid w:val="0"/>
          <w:color w:val="000000"/>
          <w:spacing w:val="-6"/>
          <w:kern w:val="21"/>
          <w:sz w:val="21"/>
          <w:szCs w:val="18"/>
        </w:rPr>
        <w:fldChar w:fldCharType="begin"/>
      </w:r>
      <w:r>
        <w:rPr>
          <w:rFonts w:ascii="Times New Roman"/>
          <w:snapToGrid w:val="0"/>
          <w:color w:val="000000"/>
          <w:spacing w:val="-6"/>
          <w:kern w:val="21"/>
          <w:sz w:val="21"/>
          <w:szCs w:val="18"/>
        </w:rPr>
        <w:instrText xml:space="preserve"> = 3 \* GB3 \* MERGEFORMAT </w:instrText>
      </w:r>
      <w:r>
        <w:rPr>
          <w:rFonts w:ascii="Times New Roman"/>
          <w:snapToGrid w:val="0"/>
          <w:color w:val="000000"/>
          <w:spacing w:val="-6"/>
          <w:kern w:val="21"/>
          <w:sz w:val="21"/>
          <w:szCs w:val="18"/>
        </w:rPr>
        <w:fldChar w:fldCharType="separate"/>
      </w:r>
      <w:r>
        <w:rPr>
          <w:rFonts w:hint="eastAsia" w:ascii="Times New Roman" w:cs="宋体"/>
          <w:sz w:val="21"/>
          <w:szCs w:val="18"/>
        </w:rPr>
        <w:t>③</w:t>
      </w:r>
      <w:r>
        <w:rPr>
          <w:rFonts w:ascii="Times New Roman"/>
          <w:snapToGrid w:val="0"/>
          <w:color w:val="000000"/>
          <w:spacing w:val="-6"/>
          <w:kern w:val="21"/>
          <w:sz w:val="21"/>
          <w:szCs w:val="18"/>
        </w:rPr>
        <w:fldChar w:fldCharType="end"/>
      </w:r>
      <w:r>
        <w:rPr>
          <w:rFonts w:ascii="Times New Roman"/>
          <w:snapToGrid w:val="0"/>
          <w:color w:val="000000"/>
          <w:spacing w:val="-6"/>
          <w:kern w:val="21"/>
          <w:sz w:val="21"/>
          <w:szCs w:val="18"/>
        </w:rPr>
        <w:t>+</w:t>
      </w:r>
      <w:r>
        <w:rPr>
          <w:rFonts w:ascii="Times New Roman"/>
          <w:snapToGrid w:val="0"/>
          <w:color w:val="000000"/>
          <w:spacing w:val="-6"/>
          <w:kern w:val="21"/>
          <w:sz w:val="21"/>
          <w:szCs w:val="18"/>
        </w:rPr>
        <w:fldChar w:fldCharType="begin"/>
      </w:r>
      <w:r>
        <w:rPr>
          <w:rFonts w:ascii="Times New Roman"/>
          <w:snapToGrid w:val="0"/>
          <w:color w:val="000000"/>
          <w:spacing w:val="-6"/>
          <w:kern w:val="21"/>
          <w:sz w:val="21"/>
          <w:szCs w:val="18"/>
        </w:rPr>
        <w:instrText xml:space="preserve"> = 4 \* GB3 \* MERGEFORMAT </w:instrText>
      </w:r>
      <w:r>
        <w:rPr>
          <w:rFonts w:ascii="Times New Roman"/>
          <w:snapToGrid w:val="0"/>
          <w:color w:val="000000"/>
          <w:spacing w:val="-6"/>
          <w:kern w:val="21"/>
          <w:sz w:val="21"/>
          <w:szCs w:val="18"/>
        </w:rPr>
        <w:fldChar w:fldCharType="separate"/>
      </w:r>
      <w:r>
        <w:rPr>
          <w:rFonts w:hint="eastAsia" w:ascii="Times New Roman" w:cs="宋体"/>
          <w:sz w:val="21"/>
          <w:szCs w:val="18"/>
        </w:rPr>
        <w:t>④</w:t>
      </w:r>
      <w:r>
        <w:rPr>
          <w:rFonts w:ascii="Times New Roman"/>
          <w:snapToGrid w:val="0"/>
          <w:color w:val="000000"/>
          <w:spacing w:val="-6"/>
          <w:kern w:val="21"/>
          <w:sz w:val="21"/>
          <w:szCs w:val="18"/>
        </w:rPr>
        <w:fldChar w:fldCharType="end"/>
      </w:r>
      <w:r>
        <w:rPr>
          <w:rFonts w:ascii="Times New Roman"/>
          <w:snapToGrid w:val="0"/>
          <w:color w:val="000000"/>
          <w:spacing w:val="-6"/>
          <w:kern w:val="21"/>
          <w:sz w:val="21"/>
          <w:szCs w:val="18"/>
        </w:rPr>
        <w:t>-</w:t>
      </w:r>
      <w:r>
        <w:rPr>
          <w:rFonts w:ascii="Times New Roman"/>
          <w:snapToGrid w:val="0"/>
          <w:color w:val="000000"/>
          <w:spacing w:val="-16"/>
          <w:kern w:val="21"/>
          <w:sz w:val="21"/>
          <w:szCs w:val="18"/>
        </w:rPr>
        <w:fldChar w:fldCharType="begin"/>
      </w:r>
      <w:r>
        <w:rPr>
          <w:rFonts w:ascii="Times New Roman"/>
          <w:snapToGrid w:val="0"/>
          <w:color w:val="000000"/>
          <w:spacing w:val="-16"/>
          <w:kern w:val="21"/>
          <w:sz w:val="21"/>
          <w:szCs w:val="18"/>
        </w:rPr>
        <w:instrText xml:space="preserve"> = 5 \* GB3 \* MERGEFORMAT </w:instrText>
      </w:r>
      <w:r>
        <w:rPr>
          <w:rFonts w:ascii="Times New Roman"/>
          <w:snapToGrid w:val="0"/>
          <w:color w:val="000000"/>
          <w:spacing w:val="-16"/>
          <w:kern w:val="21"/>
          <w:sz w:val="21"/>
          <w:szCs w:val="18"/>
        </w:rPr>
        <w:fldChar w:fldCharType="separate"/>
      </w:r>
      <w:r>
        <w:rPr>
          <w:rFonts w:hint="eastAsia" w:ascii="Times New Roman" w:cs="宋体"/>
          <w:sz w:val="21"/>
          <w:szCs w:val="18"/>
        </w:rPr>
        <w:t>⑤</w:t>
      </w:r>
      <w:r>
        <w:rPr>
          <w:rFonts w:ascii="Times New Roman"/>
          <w:snapToGrid w:val="0"/>
          <w:color w:val="000000"/>
          <w:spacing w:val="-16"/>
          <w:kern w:val="21"/>
          <w:sz w:val="21"/>
          <w:szCs w:val="18"/>
        </w:rPr>
        <w:fldChar w:fldCharType="end"/>
      </w:r>
      <w:r>
        <w:rPr>
          <w:rFonts w:ascii="Times New Roman"/>
          <w:snapToGrid w:val="0"/>
          <w:color w:val="000000"/>
          <w:spacing w:val="-16"/>
          <w:kern w:val="21"/>
          <w:sz w:val="21"/>
          <w:szCs w:val="18"/>
        </w:rPr>
        <w:t>；</w:t>
      </w:r>
      <w:r>
        <w:rPr>
          <w:rFonts w:ascii="Times New Roman"/>
          <w:snapToGrid w:val="0"/>
          <w:color w:val="000000"/>
          <w:spacing w:val="-6"/>
          <w:kern w:val="21"/>
          <w:sz w:val="21"/>
          <w:szCs w:val="18"/>
        </w:rPr>
        <w:fldChar w:fldCharType="begin"/>
      </w:r>
      <w:r>
        <w:rPr>
          <w:rFonts w:ascii="Times New Roman"/>
          <w:snapToGrid w:val="0"/>
          <w:color w:val="000000"/>
          <w:spacing w:val="-6"/>
          <w:kern w:val="21"/>
          <w:sz w:val="21"/>
          <w:szCs w:val="18"/>
        </w:rPr>
        <w:instrText xml:space="preserve"> = 7 \* GB3 \* MERGEFORMAT </w:instrText>
      </w:r>
      <w:r>
        <w:rPr>
          <w:rFonts w:ascii="Times New Roman"/>
          <w:snapToGrid w:val="0"/>
          <w:color w:val="000000"/>
          <w:spacing w:val="-6"/>
          <w:kern w:val="21"/>
          <w:sz w:val="21"/>
          <w:szCs w:val="18"/>
        </w:rPr>
        <w:fldChar w:fldCharType="separate"/>
      </w:r>
      <w:r>
        <w:rPr>
          <w:rFonts w:hint="eastAsia" w:ascii="Times New Roman" w:cs="宋体"/>
          <w:sz w:val="21"/>
          <w:szCs w:val="18"/>
        </w:rPr>
        <w:t>⑦</w:t>
      </w:r>
      <w:r>
        <w:rPr>
          <w:rFonts w:ascii="Times New Roman"/>
          <w:snapToGrid w:val="0"/>
          <w:color w:val="000000"/>
          <w:spacing w:val="-6"/>
          <w:kern w:val="21"/>
          <w:sz w:val="21"/>
          <w:szCs w:val="18"/>
        </w:rPr>
        <w:fldChar w:fldCharType="end"/>
      </w:r>
      <w:r>
        <w:rPr>
          <w:rFonts w:ascii="Times New Roman"/>
          <w:snapToGrid w:val="0"/>
          <w:color w:val="000000"/>
          <w:spacing w:val="-6"/>
          <w:kern w:val="21"/>
          <w:sz w:val="21"/>
          <w:szCs w:val="18"/>
        </w:rPr>
        <w:t>=</w:t>
      </w:r>
      <w:r>
        <w:rPr>
          <w:rFonts w:ascii="Times New Roman"/>
          <w:snapToGrid w:val="0"/>
          <w:color w:val="000000"/>
          <w:spacing w:val="-16"/>
          <w:kern w:val="21"/>
          <w:sz w:val="21"/>
          <w:szCs w:val="18"/>
        </w:rPr>
        <w:fldChar w:fldCharType="begin"/>
      </w:r>
      <w:r>
        <w:rPr>
          <w:rFonts w:ascii="Times New Roman"/>
          <w:snapToGrid w:val="0"/>
          <w:color w:val="000000"/>
          <w:spacing w:val="-16"/>
          <w:kern w:val="21"/>
          <w:sz w:val="21"/>
          <w:szCs w:val="18"/>
        </w:rPr>
        <w:instrText xml:space="preserve"> = 6 \* GB3 \* MERGEFORMAT </w:instrText>
      </w:r>
      <w:r>
        <w:rPr>
          <w:rFonts w:ascii="Times New Roman"/>
          <w:snapToGrid w:val="0"/>
          <w:color w:val="000000"/>
          <w:spacing w:val="-16"/>
          <w:kern w:val="21"/>
          <w:sz w:val="21"/>
          <w:szCs w:val="18"/>
        </w:rPr>
        <w:fldChar w:fldCharType="separate"/>
      </w:r>
      <w:r>
        <w:rPr>
          <w:rFonts w:hint="eastAsia" w:ascii="Times New Roman" w:cs="宋体"/>
          <w:sz w:val="21"/>
          <w:szCs w:val="18"/>
        </w:rPr>
        <w:t>⑥</w:t>
      </w:r>
      <w:r>
        <w:rPr>
          <w:rFonts w:ascii="Times New Roman"/>
          <w:snapToGrid w:val="0"/>
          <w:color w:val="000000"/>
          <w:spacing w:val="-16"/>
          <w:kern w:val="21"/>
          <w:sz w:val="21"/>
          <w:szCs w:val="18"/>
        </w:rPr>
        <w:fldChar w:fldCharType="end"/>
      </w:r>
      <w:r>
        <w:rPr>
          <w:rFonts w:ascii="Times New Roman"/>
          <w:snapToGrid w:val="0"/>
          <w:color w:val="000000"/>
          <w:spacing w:val="-16"/>
          <w:kern w:val="21"/>
          <w:sz w:val="21"/>
          <w:szCs w:val="18"/>
        </w:rPr>
        <w:t>-</w:t>
      </w:r>
      <w:r>
        <w:rPr>
          <w:rFonts w:ascii="Times New Roman"/>
          <w:snapToGrid w:val="0"/>
          <w:color w:val="000000"/>
          <w:spacing w:val="-6"/>
          <w:kern w:val="21"/>
          <w:sz w:val="21"/>
          <w:szCs w:val="18"/>
        </w:rPr>
        <w:fldChar w:fldCharType="begin"/>
      </w:r>
      <w:r>
        <w:rPr>
          <w:rFonts w:ascii="Times New Roman"/>
          <w:snapToGrid w:val="0"/>
          <w:color w:val="000000"/>
          <w:spacing w:val="-6"/>
          <w:kern w:val="21"/>
          <w:sz w:val="21"/>
          <w:szCs w:val="18"/>
        </w:rPr>
        <w:instrText xml:space="preserve"> = 1 \* GB3 \* MERGEFORMAT </w:instrText>
      </w:r>
      <w:r>
        <w:rPr>
          <w:rFonts w:ascii="Times New Roman"/>
          <w:snapToGrid w:val="0"/>
          <w:color w:val="000000"/>
          <w:spacing w:val="-6"/>
          <w:kern w:val="21"/>
          <w:sz w:val="21"/>
          <w:szCs w:val="18"/>
        </w:rPr>
        <w:fldChar w:fldCharType="separate"/>
      </w:r>
      <w:r>
        <w:rPr>
          <w:rFonts w:hint="eastAsia" w:ascii="Times New Roman" w:cs="宋体"/>
          <w:sz w:val="21"/>
          <w:szCs w:val="18"/>
        </w:rPr>
        <w:t>①</w:t>
      </w:r>
      <w:r>
        <w:rPr>
          <w:rFonts w:ascii="Times New Roman"/>
          <w:snapToGrid w:val="0"/>
          <w:color w:val="000000"/>
          <w:spacing w:val="-6"/>
          <w:kern w:val="21"/>
          <w:sz w:val="21"/>
          <w:szCs w:val="18"/>
        </w:rPr>
        <w:fldChar w:fldCharType="end"/>
      </w:r>
    </w:p>
    <w:p>
      <w:pPr>
        <w:pStyle w:val="56"/>
        <w:spacing w:before="192" w:beforeLines="80" w:after="24"/>
        <w:ind w:firstLine="198" w:firstLineChars="87"/>
        <w:jc w:val="left"/>
        <w:rPr>
          <w:rFonts w:ascii="Times New Roman"/>
          <w:snapToGrid w:val="0"/>
          <w:color w:val="000000"/>
          <w:spacing w:val="-6"/>
          <w:kern w:val="21"/>
          <w:szCs w:val="21"/>
        </w:rPr>
        <w:sectPr>
          <w:footerReference r:id="rId13" w:type="default"/>
          <w:pgSz w:w="16838" w:h="11906" w:orient="landscape"/>
          <w:pgMar w:top="1701" w:right="1531" w:bottom="1701" w:left="1531" w:header="851" w:footer="851" w:gutter="0"/>
          <w:cols w:space="720" w:num="1"/>
          <w:docGrid w:linePitch="312" w:charSpace="0"/>
        </w:sectPr>
      </w:pPr>
    </w:p>
    <w:p>
      <w:pPr>
        <w:adjustRightInd w:val="0"/>
        <w:snapToGrid w:val="0"/>
        <w:spacing w:before="192" w:beforeLines="80" w:after="24" w:afterLines="10" w:line="259" w:lineRule="auto"/>
        <w:ind w:firstLine="0" w:firstLineChars="0"/>
        <w:jc w:val="left"/>
        <w:outlineLvl w:val="0"/>
        <w:rPr>
          <w:color w:val="000000"/>
          <w:sz w:val="30"/>
          <w:szCs w:val="30"/>
        </w:rPr>
      </w:pPr>
      <w:bookmarkStart w:id="30" w:name="_Hlk72565957"/>
      <w:r>
        <w:rPr>
          <w:color w:val="000000"/>
          <w:sz w:val="30"/>
          <w:szCs w:val="30"/>
        </w:rPr>
        <w:t>附件1：项目备案证</w:t>
      </w:r>
    </w:p>
    <w:p>
      <w:pPr>
        <w:adjustRightInd w:val="0"/>
        <w:snapToGrid w:val="0"/>
        <w:spacing w:before="192" w:beforeLines="80" w:after="24" w:afterLines="10" w:line="259" w:lineRule="auto"/>
        <w:ind w:firstLine="0" w:firstLineChars="0"/>
        <w:jc w:val="center"/>
        <w:rPr>
          <w:color w:val="000000"/>
          <w:sz w:val="30"/>
          <w:szCs w:val="30"/>
        </w:rPr>
      </w:pPr>
      <w:r>
        <w:rPr>
          <w:color w:val="000000"/>
          <w:sz w:val="30"/>
          <w:szCs w:val="30"/>
        </w:rPr>
        <w:drawing>
          <wp:inline distT="0" distB="0" distL="0" distR="0">
            <wp:extent cx="6854190" cy="4825365"/>
            <wp:effectExtent l="0" t="0" r="381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866183" cy="4834321"/>
                    </a:xfrm>
                    <a:prstGeom prst="rect">
                      <a:avLst/>
                    </a:prstGeom>
                    <a:noFill/>
                    <a:ln>
                      <a:noFill/>
                    </a:ln>
                  </pic:spPr>
                </pic:pic>
              </a:graphicData>
            </a:graphic>
          </wp:inline>
        </w:drawing>
      </w:r>
    </w:p>
    <w:p>
      <w:pPr>
        <w:adjustRightInd w:val="0"/>
        <w:snapToGrid w:val="0"/>
        <w:spacing w:before="192" w:beforeLines="80" w:after="24" w:afterLines="10" w:line="259" w:lineRule="auto"/>
        <w:ind w:firstLine="0" w:firstLineChars="0"/>
        <w:jc w:val="left"/>
        <w:outlineLvl w:val="0"/>
        <w:rPr>
          <w:color w:val="000000"/>
          <w:sz w:val="30"/>
          <w:szCs w:val="30"/>
        </w:rPr>
      </w:pPr>
      <w:r>
        <w:rPr>
          <w:color w:val="000000"/>
          <w:sz w:val="30"/>
          <w:szCs w:val="30"/>
        </w:rPr>
        <w:t>附件2：</w:t>
      </w:r>
      <w:r>
        <w:rPr>
          <w:rFonts w:hint="eastAsia"/>
          <w:color w:val="000000"/>
          <w:sz w:val="30"/>
          <w:szCs w:val="30"/>
        </w:rPr>
        <w:t>营业执照</w:t>
      </w:r>
    </w:p>
    <w:p>
      <w:pPr>
        <w:spacing w:before="120"/>
        <w:ind w:firstLine="0" w:firstLineChars="0"/>
        <w:jc w:val="center"/>
        <w:rPr>
          <w:color w:val="000000"/>
          <w:sz w:val="30"/>
          <w:szCs w:val="30"/>
        </w:rPr>
      </w:pPr>
      <w:r>
        <w:rPr>
          <w:color w:val="000000"/>
          <w:sz w:val="30"/>
          <w:szCs w:val="30"/>
        </w:rPr>
        <w:drawing>
          <wp:inline distT="0" distB="0" distL="0" distR="0">
            <wp:extent cx="7059930" cy="497395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073447" cy="4983713"/>
                    </a:xfrm>
                    <a:prstGeom prst="rect">
                      <a:avLst/>
                    </a:prstGeom>
                    <a:noFill/>
                    <a:ln>
                      <a:noFill/>
                    </a:ln>
                  </pic:spPr>
                </pic:pic>
              </a:graphicData>
            </a:graphic>
          </wp:inline>
        </w:drawing>
      </w:r>
    </w:p>
    <w:p>
      <w:pPr>
        <w:spacing w:before="120"/>
        <w:ind w:firstLine="420"/>
        <w:rPr>
          <w:sz w:val="21"/>
        </w:rPr>
        <w:sectPr>
          <w:footerReference r:id="rId14" w:type="default"/>
          <w:pgSz w:w="16838" w:h="11906" w:orient="landscape"/>
          <w:pgMar w:top="1531" w:right="1701" w:bottom="1531" w:left="1701" w:header="851" w:footer="851" w:gutter="0"/>
          <w:cols w:space="720" w:num="1"/>
          <w:docGrid w:linePitch="312" w:charSpace="0"/>
        </w:sectPr>
      </w:pPr>
    </w:p>
    <w:p>
      <w:pPr>
        <w:spacing w:before="120" w:beforeLines="0" w:line="240" w:lineRule="auto"/>
        <w:ind w:firstLine="0" w:firstLineChars="0"/>
        <w:outlineLvl w:val="0"/>
        <w:rPr>
          <w:color w:val="000000"/>
          <w:sz w:val="30"/>
          <w:szCs w:val="30"/>
        </w:rPr>
      </w:pPr>
      <w:r>
        <w:rPr>
          <w:color w:val="000000"/>
          <w:sz w:val="30"/>
          <w:szCs w:val="30"/>
        </w:rPr>
        <w:t>附件3：</w:t>
      </w:r>
      <w:r>
        <w:rPr>
          <w:rFonts w:hint="eastAsia"/>
          <w:color w:val="000000"/>
          <w:sz w:val="30"/>
          <w:szCs w:val="30"/>
        </w:rPr>
        <w:t>消纳合同</w:t>
      </w:r>
    </w:p>
    <w:p>
      <w:pPr>
        <w:tabs>
          <w:tab w:val="left" w:pos="1425"/>
        </w:tabs>
        <w:spacing w:before="120"/>
        <w:ind w:firstLine="0" w:firstLineChars="0"/>
        <w:jc w:val="center"/>
      </w:pPr>
      <w:r>
        <w:drawing>
          <wp:inline distT="0" distB="0" distL="0" distR="0">
            <wp:extent cx="5273675" cy="701103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3675" cy="7011035"/>
                    </a:xfrm>
                    <a:prstGeom prst="rect">
                      <a:avLst/>
                    </a:prstGeom>
                    <a:noFill/>
                  </pic:spPr>
                </pic:pic>
              </a:graphicData>
            </a:graphic>
          </wp:inline>
        </w:drawing>
      </w:r>
    </w:p>
    <w:p>
      <w:pPr>
        <w:tabs>
          <w:tab w:val="left" w:pos="1425"/>
        </w:tabs>
        <w:spacing w:before="120"/>
        <w:ind w:firstLine="0" w:firstLineChars="0"/>
        <w:jc w:val="center"/>
      </w:pPr>
    </w:p>
    <w:p>
      <w:pPr>
        <w:tabs>
          <w:tab w:val="left" w:pos="1425"/>
        </w:tabs>
        <w:spacing w:before="120"/>
        <w:ind w:firstLine="0" w:firstLineChars="0"/>
        <w:rPr>
          <w:sz w:val="21"/>
        </w:rPr>
      </w:pPr>
    </w:p>
    <w:p>
      <w:pPr>
        <w:tabs>
          <w:tab w:val="left" w:pos="1425"/>
        </w:tabs>
        <w:spacing w:before="120"/>
        <w:ind w:firstLine="0" w:firstLineChars="0"/>
        <w:rPr>
          <w:sz w:val="21"/>
        </w:rPr>
      </w:pPr>
    </w:p>
    <w:p>
      <w:pPr>
        <w:tabs>
          <w:tab w:val="left" w:pos="1425"/>
        </w:tabs>
        <w:spacing w:before="120"/>
        <w:ind w:firstLine="0" w:firstLineChars="0"/>
        <w:jc w:val="center"/>
        <w:rPr>
          <w:sz w:val="21"/>
        </w:rPr>
      </w:pPr>
      <w:r>
        <w:rPr>
          <w:sz w:val="21"/>
        </w:rPr>
        <w:drawing>
          <wp:inline distT="0" distB="0" distL="0" distR="0">
            <wp:extent cx="5273675" cy="671258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3675" cy="6712585"/>
                    </a:xfrm>
                    <a:prstGeom prst="rect">
                      <a:avLst/>
                    </a:prstGeom>
                    <a:noFill/>
                  </pic:spPr>
                </pic:pic>
              </a:graphicData>
            </a:graphic>
          </wp:inline>
        </w:drawing>
      </w:r>
    </w:p>
    <w:p>
      <w:pPr>
        <w:tabs>
          <w:tab w:val="left" w:pos="1425"/>
        </w:tabs>
        <w:spacing w:before="120"/>
        <w:ind w:firstLine="0" w:firstLineChars="0"/>
        <w:rPr>
          <w:sz w:val="21"/>
        </w:rPr>
      </w:pPr>
    </w:p>
    <w:p>
      <w:pPr>
        <w:tabs>
          <w:tab w:val="left" w:pos="1425"/>
        </w:tabs>
        <w:spacing w:before="120"/>
        <w:ind w:firstLine="0" w:firstLineChars="0"/>
        <w:rPr>
          <w:sz w:val="21"/>
        </w:rPr>
      </w:pPr>
    </w:p>
    <w:p>
      <w:pPr>
        <w:tabs>
          <w:tab w:val="left" w:pos="1425"/>
        </w:tabs>
        <w:spacing w:before="120"/>
        <w:ind w:firstLine="0" w:firstLineChars="0"/>
        <w:rPr>
          <w:sz w:val="21"/>
        </w:rPr>
      </w:pPr>
    </w:p>
    <w:p>
      <w:pPr>
        <w:tabs>
          <w:tab w:val="left" w:pos="1425"/>
        </w:tabs>
        <w:spacing w:before="120"/>
        <w:ind w:firstLine="0" w:firstLineChars="0"/>
        <w:rPr>
          <w:sz w:val="21"/>
        </w:rPr>
      </w:pPr>
    </w:p>
    <w:p>
      <w:pPr>
        <w:tabs>
          <w:tab w:val="left" w:pos="1425"/>
        </w:tabs>
        <w:spacing w:before="120"/>
        <w:ind w:firstLine="0" w:firstLineChars="0"/>
        <w:rPr>
          <w:sz w:val="21"/>
        </w:rPr>
      </w:pPr>
    </w:p>
    <w:p>
      <w:pPr>
        <w:spacing w:before="120" w:beforeLines="0" w:line="240" w:lineRule="auto"/>
        <w:ind w:firstLine="0" w:firstLineChars="0"/>
        <w:outlineLvl w:val="0"/>
        <w:rPr>
          <w:color w:val="000000"/>
          <w:sz w:val="30"/>
          <w:szCs w:val="30"/>
        </w:rPr>
      </w:pPr>
      <w:r>
        <w:rPr>
          <w:color w:val="000000"/>
          <w:sz w:val="30"/>
          <w:szCs w:val="30"/>
        </w:rPr>
        <w:t>附件4：</w:t>
      </w:r>
      <w:r>
        <w:rPr>
          <w:rFonts w:hint="eastAsia"/>
          <w:color w:val="000000"/>
          <w:sz w:val="30"/>
          <w:szCs w:val="30"/>
        </w:rPr>
        <w:t>原有项目环评登记表</w:t>
      </w:r>
    </w:p>
    <w:p>
      <w:pPr>
        <w:tabs>
          <w:tab w:val="left" w:pos="1425"/>
        </w:tabs>
        <w:spacing w:before="120"/>
        <w:ind w:firstLine="0" w:firstLineChars="0"/>
        <w:jc w:val="center"/>
        <w:rPr>
          <w:sz w:val="21"/>
        </w:rPr>
      </w:pPr>
      <w:r>
        <w:drawing>
          <wp:inline distT="0" distB="0" distL="0" distR="0">
            <wp:extent cx="5386705" cy="7639050"/>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87861" cy="7640114"/>
                    </a:xfrm>
                    <a:prstGeom prst="rect">
                      <a:avLst/>
                    </a:prstGeom>
                  </pic:spPr>
                </pic:pic>
              </a:graphicData>
            </a:graphic>
          </wp:inline>
        </w:drawing>
      </w:r>
    </w:p>
    <w:p>
      <w:pPr>
        <w:tabs>
          <w:tab w:val="left" w:pos="1425"/>
        </w:tabs>
        <w:spacing w:before="120"/>
        <w:ind w:firstLine="0" w:firstLineChars="0"/>
        <w:jc w:val="center"/>
        <w:rPr>
          <w:sz w:val="21"/>
        </w:rPr>
      </w:pPr>
    </w:p>
    <w:p>
      <w:pPr>
        <w:tabs>
          <w:tab w:val="left" w:pos="1425"/>
        </w:tabs>
        <w:spacing w:before="120"/>
        <w:ind w:firstLine="0" w:firstLineChars="0"/>
        <w:jc w:val="center"/>
        <w:rPr>
          <w:sz w:val="21"/>
        </w:rPr>
      </w:pPr>
      <w:r>
        <w:drawing>
          <wp:inline distT="0" distB="0" distL="0" distR="0">
            <wp:extent cx="5876290" cy="83331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106" cy="8339547"/>
                    </a:xfrm>
                    <a:prstGeom prst="rect">
                      <a:avLst/>
                    </a:prstGeom>
                  </pic:spPr>
                </pic:pic>
              </a:graphicData>
            </a:graphic>
          </wp:inline>
        </w:drawing>
      </w:r>
    </w:p>
    <w:p>
      <w:pPr>
        <w:spacing w:before="120" w:beforeLines="0" w:line="240" w:lineRule="auto"/>
        <w:ind w:firstLine="0" w:firstLineChars="0"/>
        <w:outlineLvl w:val="0"/>
        <w:rPr>
          <w:color w:val="000000"/>
          <w:sz w:val="30"/>
          <w:szCs w:val="30"/>
        </w:rPr>
        <w:sectPr>
          <w:footerReference r:id="rId15" w:type="default"/>
          <w:pgSz w:w="11906" w:h="16838"/>
          <w:pgMar w:top="1701" w:right="1531" w:bottom="1701" w:left="1531" w:header="851" w:footer="851" w:gutter="0"/>
          <w:cols w:space="720" w:num="1"/>
          <w:docGrid w:linePitch="326" w:charSpace="0"/>
        </w:sectPr>
      </w:pPr>
    </w:p>
    <w:p>
      <w:pPr>
        <w:spacing w:before="120" w:beforeLines="0" w:line="240" w:lineRule="auto"/>
        <w:ind w:firstLine="0" w:firstLineChars="0"/>
        <w:outlineLvl w:val="0"/>
        <w:rPr>
          <w:color w:val="000000"/>
          <w:sz w:val="30"/>
          <w:szCs w:val="30"/>
        </w:rPr>
      </w:pPr>
      <w:r>
        <w:rPr>
          <w:color w:val="000000"/>
          <w:sz w:val="30"/>
          <w:szCs w:val="30"/>
        </w:rPr>
        <w:t>附件5：</w:t>
      </w:r>
      <w:r>
        <w:rPr>
          <w:rFonts w:hint="eastAsia"/>
          <w:color w:val="000000"/>
          <w:sz w:val="30"/>
          <w:szCs w:val="30"/>
        </w:rPr>
        <w:t>项目用地证明</w:t>
      </w:r>
      <w:r>
        <w:rPr>
          <w:color w:val="000000"/>
          <w:sz w:val="30"/>
          <w:szCs w:val="30"/>
        </w:rPr>
        <w:t xml:space="preserve"> </w:t>
      </w:r>
    </w:p>
    <w:p>
      <w:pPr>
        <w:tabs>
          <w:tab w:val="left" w:pos="1425"/>
        </w:tabs>
        <w:spacing w:before="120"/>
        <w:ind w:firstLine="0" w:firstLineChars="0"/>
        <w:jc w:val="center"/>
        <w:rPr>
          <w:sz w:val="32"/>
        </w:rPr>
      </w:pPr>
      <w:r>
        <w:drawing>
          <wp:inline distT="0" distB="0" distL="0" distR="0">
            <wp:extent cx="4498340" cy="5217160"/>
            <wp:effectExtent l="135890" t="149860" r="133350" b="15240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rcRect l="3901" t="5990" r="6377" b="8184"/>
                    <a:stretch>
                      <a:fillRect/>
                    </a:stretch>
                  </pic:blipFill>
                  <pic:spPr>
                    <a:xfrm rot="16386018">
                      <a:off x="0" y="0"/>
                      <a:ext cx="4516841" cy="5238661"/>
                    </a:xfrm>
                    <a:prstGeom prst="rect">
                      <a:avLst/>
                    </a:prstGeom>
                    <a:ln>
                      <a:noFill/>
                    </a:ln>
                  </pic:spPr>
                </pic:pic>
              </a:graphicData>
            </a:graphic>
          </wp:inline>
        </w:drawing>
      </w:r>
      <w:bookmarkEnd w:id="30"/>
      <w:r>
        <w:rPr>
          <w:sz w:val="32"/>
        </w:rPr>
        <w:br w:type="page"/>
      </w:r>
    </w:p>
    <w:p>
      <w:pPr>
        <w:tabs>
          <w:tab w:val="left" w:pos="1425"/>
        </w:tabs>
        <w:spacing w:before="120"/>
        <w:ind w:firstLine="0" w:firstLineChars="0"/>
        <w:jc w:val="left"/>
        <w:rPr>
          <w:sz w:val="32"/>
        </w:rPr>
        <w:sectPr>
          <w:pgSz w:w="16838" w:h="11906" w:orient="landscape"/>
          <w:pgMar w:top="1531" w:right="1701" w:bottom="1531" w:left="1701" w:header="851" w:footer="851" w:gutter="0"/>
          <w:cols w:space="720" w:num="1"/>
          <w:docGrid w:linePitch="326" w:charSpace="0"/>
        </w:sectPr>
      </w:pPr>
    </w:p>
    <w:p>
      <w:pPr>
        <w:tabs>
          <w:tab w:val="left" w:pos="1425"/>
        </w:tabs>
        <w:spacing w:before="120"/>
        <w:ind w:firstLine="0" w:firstLineChars="0"/>
        <w:jc w:val="left"/>
        <w:rPr>
          <w:sz w:val="32"/>
        </w:rPr>
      </w:pPr>
      <w:r>
        <w:rPr>
          <w:sz w:val="32"/>
        </w:rPr>
        <w:t>附图</w:t>
      </w:r>
    </w:p>
    <w:p>
      <w:pPr>
        <w:adjustRightInd w:val="0"/>
        <w:snapToGrid w:val="0"/>
        <w:spacing w:before="120"/>
        <w:ind w:firstLine="0" w:firstLineChars="0"/>
        <w:jc w:val="center"/>
      </w:pPr>
      <w:r>
        <w:drawing>
          <wp:inline distT="0" distB="0" distL="114300" distR="114300">
            <wp:extent cx="3829685" cy="4237355"/>
            <wp:effectExtent l="0" t="0" r="0" b="0"/>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17"/>
                    <a:stretch>
                      <a:fillRect/>
                    </a:stretch>
                  </pic:blipFill>
                  <pic:spPr>
                    <a:xfrm>
                      <a:off x="0" y="0"/>
                      <a:ext cx="3836259" cy="4244546"/>
                    </a:xfrm>
                    <a:prstGeom prst="rect">
                      <a:avLst/>
                    </a:prstGeom>
                    <a:noFill/>
                    <a:ln>
                      <a:noFill/>
                    </a:ln>
                  </pic:spPr>
                </pic:pic>
              </a:graphicData>
            </a:graphic>
          </wp:inline>
        </w:drawing>
      </w:r>
    </w:p>
    <w:p>
      <w:pPr>
        <w:adjustRightInd w:val="0"/>
        <w:snapToGrid w:val="0"/>
        <w:spacing w:before="120"/>
        <w:ind w:firstLine="0" w:firstLineChars="0"/>
        <w:jc w:val="center"/>
        <w:rPr>
          <w:b/>
          <w:bCs/>
          <w:sz w:val="21"/>
          <w:szCs w:val="21"/>
        </w:rPr>
      </w:pPr>
      <w:r>
        <w:rPr>
          <w:rFonts w:hint="eastAsia"/>
          <w:sz w:val="21"/>
          <w:szCs w:val="21"/>
        </w:rPr>
        <w:t>附图</w:t>
      </w:r>
      <w:r>
        <w:rPr>
          <w:sz w:val="21"/>
          <w:szCs w:val="21"/>
        </w:rPr>
        <w:t>1</w:t>
      </w:r>
      <w:r>
        <w:rPr>
          <w:b/>
          <w:bCs/>
          <w:sz w:val="21"/>
          <w:szCs w:val="21"/>
        </w:rPr>
        <w:t xml:space="preserve"> </w:t>
      </w:r>
      <w:r>
        <w:rPr>
          <w:rFonts w:hint="eastAsia"/>
          <w:sz w:val="21"/>
          <w:szCs w:val="21"/>
        </w:rPr>
        <w:t>仁化县土地利用总体规划图</w:t>
      </w:r>
    </w:p>
    <w:p>
      <w:pPr>
        <w:spacing w:before="120"/>
        <w:ind w:firstLine="0" w:firstLineChars="0"/>
        <w:jc w:val="center"/>
      </w:pPr>
      <w:r>
        <w:rPr>
          <w:b/>
          <w:sz w:val="28"/>
        </w:rPr>
        <w:drawing>
          <wp:inline distT="0" distB="0" distL="0" distR="0">
            <wp:extent cx="4267835" cy="27432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93731" cy="2759681"/>
                    </a:xfrm>
                    <a:prstGeom prst="rect">
                      <a:avLst/>
                    </a:prstGeom>
                    <a:noFill/>
                  </pic:spPr>
                </pic:pic>
              </a:graphicData>
            </a:graphic>
          </wp:inline>
        </w:drawing>
      </w:r>
    </w:p>
    <w:p>
      <w:pPr>
        <w:tabs>
          <w:tab w:val="left" w:pos="435"/>
          <w:tab w:val="left" w:pos="3285"/>
          <w:tab w:val="center" w:pos="4422"/>
        </w:tabs>
        <w:spacing w:before="120"/>
        <w:ind w:firstLine="420"/>
        <w:jc w:val="center"/>
        <w:rPr>
          <w:sz w:val="21"/>
          <w:szCs w:val="21"/>
        </w:rPr>
      </w:pPr>
      <w:r>
        <w:rPr>
          <w:rFonts w:hint="eastAsia"/>
          <w:sz w:val="21"/>
          <w:szCs w:val="21"/>
        </w:rPr>
        <w:t>附图</w:t>
      </w:r>
      <w:r>
        <w:rPr>
          <w:sz w:val="21"/>
          <w:szCs w:val="21"/>
        </w:rPr>
        <w:t>2</w:t>
      </w:r>
      <w:r>
        <w:rPr>
          <w:rFonts w:hint="eastAsia"/>
          <w:sz w:val="21"/>
          <w:szCs w:val="21"/>
        </w:rPr>
        <w:t xml:space="preserve">  项目所在地环境管控单元区划图</w:t>
      </w:r>
    </w:p>
    <w:p>
      <w:pPr>
        <w:spacing w:before="0" w:beforeLines="0" w:line="240" w:lineRule="auto"/>
        <w:ind w:firstLine="0" w:firstLineChars="0"/>
        <w:jc w:val="center"/>
      </w:pPr>
      <w:r>
        <w:drawing>
          <wp:inline distT="0" distB="0" distL="0" distR="0">
            <wp:extent cx="5000625" cy="3502025"/>
            <wp:effectExtent l="0" t="0" r="0" b="317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15026" cy="3512254"/>
                    </a:xfrm>
                    <a:prstGeom prst="rect">
                      <a:avLst/>
                    </a:prstGeom>
                    <a:noFill/>
                    <a:ln>
                      <a:noFill/>
                    </a:ln>
                  </pic:spPr>
                </pic:pic>
              </a:graphicData>
            </a:graphic>
          </wp:inline>
        </w:drawing>
      </w:r>
    </w:p>
    <w:p>
      <w:pPr>
        <w:tabs>
          <w:tab w:val="left" w:pos="915"/>
        </w:tabs>
        <w:spacing w:before="0" w:beforeLines="0"/>
        <w:ind w:firstLine="210" w:firstLineChars="100"/>
        <w:jc w:val="center"/>
        <w:rPr>
          <w:sz w:val="21"/>
          <w:szCs w:val="21"/>
        </w:rPr>
      </w:pPr>
      <w:r>
        <w:rPr>
          <w:sz w:val="21"/>
          <w:szCs w:val="21"/>
        </w:rPr>
        <w:t xml:space="preserve">附图3  </w:t>
      </w:r>
      <w:r>
        <w:rPr>
          <w:rFonts w:hint="eastAsia"/>
          <w:sz w:val="21"/>
          <w:szCs w:val="21"/>
        </w:rPr>
        <w:t>项目所在地生态保护红线图</w:t>
      </w:r>
    </w:p>
    <w:p>
      <w:pPr>
        <w:tabs>
          <w:tab w:val="left" w:pos="915"/>
        </w:tabs>
        <w:spacing w:before="120"/>
        <w:ind w:firstLine="0" w:firstLineChars="0"/>
        <w:jc w:val="center"/>
        <w:rPr>
          <w:rFonts w:cs="等线"/>
          <w:sz w:val="21"/>
          <w:szCs w:val="21"/>
        </w:rPr>
      </w:pPr>
      <w:r>
        <mc:AlternateContent>
          <mc:Choice Requires="wps">
            <w:drawing>
              <wp:anchor distT="0" distB="0" distL="114300" distR="114300" simplePos="0" relativeHeight="251676672" behindDoc="0" locked="0" layoutInCell="1" allowOverlap="1">
                <wp:simplePos x="0" y="0"/>
                <wp:positionH relativeFrom="column">
                  <wp:posOffset>2147570</wp:posOffset>
                </wp:positionH>
                <wp:positionV relativeFrom="paragraph">
                  <wp:posOffset>1901190</wp:posOffset>
                </wp:positionV>
                <wp:extent cx="850900" cy="2667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850900" cy="266700"/>
                        </a:xfrm>
                        <a:prstGeom prst="rect">
                          <a:avLst/>
                        </a:prstGeom>
                        <a:noFill/>
                        <a:ln w="6350">
                          <a:noFill/>
                        </a:ln>
                      </wps:spPr>
                      <wps:txbx>
                        <w:txbxContent>
                          <w:p>
                            <w:pPr>
                              <w:spacing w:before="0" w:beforeLines="0" w:line="0" w:lineRule="atLeast"/>
                              <w:ind w:firstLine="0" w:firstLineChars="0"/>
                              <w:rPr>
                                <w:b/>
                                <w:color w:val="000000" w:themeColor="text1"/>
                                <w:sz w:val="21"/>
                                <w:szCs w:val="21"/>
                                <w14:textFill>
                                  <w14:solidFill>
                                    <w14:schemeClr w14:val="tx1"/>
                                  </w14:solidFill>
                                </w14:textFill>
                              </w:rPr>
                            </w:pPr>
                            <w:r>
                              <w:rPr>
                                <w:rFonts w:hint="eastAsia"/>
                                <w:b/>
                                <w:color w:val="000000" w:themeColor="text1"/>
                                <w:sz w:val="21"/>
                                <w:szCs w:val="21"/>
                                <w:highlight w:val="yellow"/>
                                <w14:textFill>
                                  <w14:solidFill>
                                    <w14:schemeClr w14:val="tx1"/>
                                  </w14:solidFill>
                                </w14:textFill>
                              </w:rPr>
                              <w:t>4623.647米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1pt;margin-top:149.7pt;height:21pt;width:67pt;z-index:251676672;mso-width-relative:page;mso-height-relative:page;" filled="f" stroked="f" coordsize="21600,21600" o:gfxdata="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pPPN2wAAAAsBAAAPAAAAAAAAAAEAIAAAACIAAABk&#10;cnMvZG93bnJldi54bWxQSwECFAAUAAAACACHTuJAzqwARDwCAABpBAAADgAAAAAAAAABACAAAAAq&#10;AQAAZHJzL2Uyb0RvYy54bWxQSwUGAAAAAAYABgBZAQAA2AUAAAAA&#10;">
                <v:fill on="f" focussize="0,0"/>
                <v:stroke on="f" weight="0.5pt"/>
                <v:imagedata o:title=""/>
                <o:lock v:ext="edit" aspectratio="f"/>
                <v:textbox>
                  <w:txbxContent>
                    <w:p>
                      <w:pPr>
                        <w:spacing w:before="0" w:beforeLines="0" w:line="0" w:lineRule="atLeast"/>
                        <w:ind w:firstLine="0" w:firstLineChars="0"/>
                        <w:rPr>
                          <w:b/>
                          <w:color w:val="000000" w:themeColor="text1"/>
                          <w:sz w:val="21"/>
                          <w:szCs w:val="21"/>
                          <w14:textFill>
                            <w14:solidFill>
                              <w14:schemeClr w14:val="tx1"/>
                            </w14:solidFill>
                          </w14:textFill>
                        </w:rPr>
                      </w:pPr>
                      <w:r>
                        <w:rPr>
                          <w:rFonts w:hint="eastAsia"/>
                          <w:b/>
                          <w:color w:val="000000" w:themeColor="text1"/>
                          <w:sz w:val="21"/>
                          <w:szCs w:val="21"/>
                          <w:highlight w:val="yellow"/>
                          <w14:textFill>
                            <w14:solidFill>
                              <w14:schemeClr w14:val="tx1"/>
                            </w14:solidFill>
                          </w14:textFill>
                        </w:rPr>
                        <w:t>4623.647米</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974725</wp:posOffset>
                </wp:positionH>
                <wp:positionV relativeFrom="paragraph">
                  <wp:posOffset>3580765</wp:posOffset>
                </wp:positionV>
                <wp:extent cx="137160" cy="105410"/>
                <wp:effectExtent l="23495" t="17145" r="29845" b="29845"/>
                <wp:wrapNone/>
                <wp:docPr id="124" name="五角星 124"/>
                <wp:cNvGraphicFramePr/>
                <a:graphic xmlns:a="http://schemas.openxmlformats.org/drawingml/2006/main">
                  <a:graphicData uri="http://schemas.microsoft.com/office/word/2010/wordprocessingShape">
                    <wps:wsp>
                      <wps:cNvSpPr/>
                      <wps:spPr>
                        <a:xfrm>
                          <a:off x="0" y="0"/>
                          <a:ext cx="137160" cy="10541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76.75pt;margin-top:281.95pt;height:8.3pt;width:10.8pt;z-index:251675648;v-text-anchor:middle;mso-width-relative:page;mso-height-relative:page;" fillcolor="#FF0000" filled="t" stroked="t" coordsize="137160,105410" o:gfxdata="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2CqFd2AAAAAsBAAAPAAAA&#10;AAAAAAEAIAAAACIAAABkcnMvZG93bnJldi54bWxQSwECFAAUAAAACACHTuJAG+mXCIcCAAAcBQAA&#10;DgAAAAAAAAABACAAAAAnAQAAZHJzL2Uyb0RvYy54bWxQSwUGAAAAAAYABgBZAQAAIAYAAAAA&#10;" path="m0,40262l52390,40263,68580,0,84769,40263,137159,40262,94774,65146,110964,105409,68580,80525,26195,105409,42385,65146xe">
                <v:path o:connectlocs="68580,0;0,40262;26195,105409;110964,105409;137159,40262" o:connectangles="247,164,82,82,0"/>
                <v:fill on="t" focussize="0,0"/>
                <v:stroke weight="1pt" color="#2F528F [3204]" miterlimit="8"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756920</wp:posOffset>
                </wp:positionH>
                <wp:positionV relativeFrom="paragraph">
                  <wp:posOffset>3052445</wp:posOffset>
                </wp:positionV>
                <wp:extent cx="609600" cy="276225"/>
                <wp:effectExtent l="6350" t="6350" r="12700" b="346075"/>
                <wp:wrapNone/>
                <wp:docPr id="119" name="矩形标注 119"/>
                <wp:cNvGraphicFramePr/>
                <a:graphic xmlns:a="http://schemas.openxmlformats.org/drawingml/2006/main">
                  <a:graphicData uri="http://schemas.microsoft.com/office/word/2010/wordprocessingShape">
                    <wps:wsp>
                      <wps:cNvSpPr/>
                      <wps:spPr>
                        <a:xfrm>
                          <a:off x="0" y="0"/>
                          <a:ext cx="609600" cy="276225"/>
                        </a:xfrm>
                        <a:prstGeom prst="wedgeRectCallout">
                          <a:avLst>
                            <a:gd name="adj1" fmla="val -4886"/>
                            <a:gd name="adj2" fmla="val 160101"/>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原项目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9.6pt;margin-top:240.35pt;height:21.75pt;width:48pt;z-index:251672576;v-text-anchor:middle;mso-width-relative:page;mso-height-relative:page;" fillcolor="#FFFFFF [3201]" filled="t" stroked="t" coordsize="21600,21600" o:gfxdata="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0hfTD2AAAAAsBAAAPAAAAAAAAAAEAIAAAACIAAABkcnMvZG93&#10;bnJldi54bWxQSwECFAAUAAAACACHTuJApFP5ZqsCAABmBQAADgAAAAAAAAABACAAAAAnAQAAZHJz&#10;L2Uyb0RvYy54bWxQSwUGAAAAAAYABgBZAQAARAYAAAAA&#10;" adj="9745,45382">
                <v:fill on="t" focussize="0,0"/>
                <v:stroke weight="1pt" color="#000000 [3200]" miterlimit="8" joinstyle="miter"/>
                <v:imagedata o:title=""/>
                <o:lock v:ext="edit" aspectratio="f"/>
                <v:textbo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原项目</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1031875</wp:posOffset>
                </wp:positionH>
                <wp:positionV relativeFrom="paragraph">
                  <wp:posOffset>962660</wp:posOffset>
                </wp:positionV>
                <wp:extent cx="2802890" cy="2670175"/>
                <wp:effectExtent l="6350" t="6985" r="10160" b="8890"/>
                <wp:wrapNone/>
                <wp:docPr id="121" name="直接连接符 121"/>
                <wp:cNvGraphicFramePr/>
                <a:graphic xmlns:a="http://schemas.openxmlformats.org/drawingml/2006/main">
                  <a:graphicData uri="http://schemas.microsoft.com/office/word/2010/wordprocessingShape">
                    <wps:wsp>
                      <wps:cNvCnPr/>
                      <wps:spPr>
                        <a:xfrm flipV="1">
                          <a:off x="0" y="0"/>
                          <a:ext cx="2802890" cy="26701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1.25pt;margin-top:75.8pt;height:210.25pt;width:220.7pt;z-index:251670528;mso-width-relative:page;mso-height-relative:page;" filled="f" stroked="t" coordsize="21600,21600" o:gfxdata="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zZFl9gAAAALAQAADwAAAAAAAAABACAAAAAiAAAAZHJzL2Rvd25yZXYueG1s&#10;UEsBAhQAFAAAAAgAh07iQAKbowH4AQAAxgMAAA4AAAAAAAAAAQAgAAAAJwEAAGRycy9lMm9Eb2Mu&#10;eG1sUEsFBgAAAAAGAAYAWQEAAJEFAAAAAA==&#10;">
                <v:fill on="f" focussize="0,0"/>
                <v:stroke weight="1.5pt" color="#ED7D31 [3205]" miterlimit="8" joinstyle="miter"/>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2873375</wp:posOffset>
                </wp:positionH>
                <wp:positionV relativeFrom="paragraph">
                  <wp:posOffset>636270</wp:posOffset>
                </wp:positionV>
                <wp:extent cx="647700" cy="285750"/>
                <wp:effectExtent l="6350" t="6350" r="317500" b="31750"/>
                <wp:wrapNone/>
                <wp:docPr id="120" name="矩形标注 120"/>
                <wp:cNvGraphicFramePr/>
                <a:graphic xmlns:a="http://schemas.openxmlformats.org/drawingml/2006/main">
                  <a:graphicData uri="http://schemas.microsoft.com/office/word/2010/wordprocessingShape">
                    <wps:wsp>
                      <wps:cNvSpPr/>
                      <wps:spPr>
                        <a:xfrm>
                          <a:off x="0" y="0"/>
                          <a:ext cx="647700" cy="285750"/>
                        </a:xfrm>
                        <a:prstGeom prst="wedgeRectCallout">
                          <a:avLst>
                            <a:gd name="adj1" fmla="val 89881"/>
                            <a:gd name="adj2" fmla="val 54657"/>
                          </a:avLst>
                        </a:prstGeom>
                      </wps:spPr>
                      <wps:style>
                        <a:lnRef idx="2">
                          <a:schemeClr val="dk1"/>
                        </a:lnRef>
                        <a:fillRef idx="1">
                          <a:schemeClr val="lt1"/>
                        </a:fillRef>
                        <a:effectRef idx="0">
                          <a:schemeClr val="dk1"/>
                        </a:effectRef>
                        <a:fontRef idx="minor">
                          <a:schemeClr val="dk1"/>
                        </a:fontRef>
                      </wps:style>
                      <wps:txb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本</w:t>
                            </w:r>
                            <w:r>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6.25pt;margin-top:50.1pt;height:22.5pt;width:51pt;z-index:251671552;v-text-anchor:middle;mso-width-relative:page;mso-height-relative:page;" fillcolor="#FFFFFF [3201]" filled="t" stroked="t" coordsize="21600,21600" o:gfxdata="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J18Pd2AAAAAsBAAAPAAAAAAAAAAEAIAAAACIAAABkcnMvZG93bnJl&#10;di54bWxQSwECFAAUAAAACACHTuJATan8qqgCAABlBQAADgAAAAAAAAABACAAAAAnAQAAZHJzL2Uy&#10;b0RvYy54bWxQSwUGAAAAAAYABgBZAQAAQQYAAAAA&#10;" adj="30214,22606">
                <v:fill on="t" focussize="0,0"/>
                <v:stroke weight="1pt" color="#000000 [3200]" miterlimit="8" joinstyle="miter"/>
                <v:imagedata o:title=""/>
                <o:lock v:ext="edit" aspectratio="f"/>
                <v:textbox>
                  <w:txbxContent>
                    <w:p>
                      <w:pPr>
                        <w:spacing w:before="0" w:beforeLines="0" w:line="0" w:lineRule="atLeast"/>
                        <w:ind w:firstLine="0" w:firstLineChars="0"/>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本</w:t>
                      </w:r>
                      <w:r>
                        <w:rPr>
                          <w:b/>
                          <w:bCs/>
                          <w:color w:val="000000" w:themeColor="text1"/>
                          <w:sz w:val="21"/>
                          <w14:shadow w14:blurRad="38100" w14:dist="19050" w14:dir="2700000" w14:sx="100000" w14:sy="100000" w14:kx="0" w14:ky="0" w14:algn="tl">
                            <w14:schemeClr w14:val="dk1">
                              <w14:alpha w14:val="60000"/>
                            </w14:schemeClr>
                          </w14:shadow>
                          <w14:textFill>
                            <w14:solidFill>
                              <w14:schemeClr w14:val="tx1"/>
                            </w14:solidFill>
                          </w14:textFill>
                        </w:rPr>
                        <w:t>项目</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3797935</wp:posOffset>
                </wp:positionH>
                <wp:positionV relativeFrom="paragraph">
                  <wp:posOffset>913765</wp:posOffset>
                </wp:positionV>
                <wp:extent cx="137160" cy="105410"/>
                <wp:effectExtent l="23495" t="17145" r="29845" b="29845"/>
                <wp:wrapNone/>
                <wp:docPr id="123" name="五角星 123"/>
                <wp:cNvGraphicFramePr/>
                <a:graphic xmlns:a="http://schemas.openxmlformats.org/drawingml/2006/main">
                  <a:graphicData uri="http://schemas.microsoft.com/office/word/2010/wordprocessingShape">
                    <wps:wsp>
                      <wps:cNvSpPr/>
                      <wps:spPr>
                        <a:xfrm>
                          <a:off x="0" y="0"/>
                          <a:ext cx="137160" cy="10541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9.05pt;margin-top:71.95pt;height:8.3pt;width:10.8pt;z-index:251673600;v-text-anchor:middle;mso-width-relative:page;mso-height-relative:page;" fillcolor="#FF0000" filled="t" stroked="t" coordsize="137160,105410" o:gfxdata="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bMNkAAAALAQAADwAA&#10;AAAAAAABACAAAAAiAAAAZHJzL2Rvd25yZXYueG1sUEsBAhQAFAAAAAgAh07iQMW5NdmHAgAAHAUA&#10;AA4AAAAAAAAAAQAgAAAAKAEAAGRycy9lMm9Eb2MueG1sUEsFBgAAAAAGAAYAWQEAACEGAAAAAA==&#10;" path="m0,40262l52390,40263,68580,0,84769,40263,137159,40262,94774,65146,110964,105409,68580,80525,26195,105409,42385,65146xe">
                <v:path o:connectlocs="68580,0;0,40262;26195,105409;110964,105409;137159,40262" o:connectangles="247,164,82,82,0"/>
                <v:fill on="t" focussize="0,0"/>
                <v:stroke weight="1pt" color="#2F528F [3204]" miterlimit="8" joinstyle="miter"/>
                <v:imagedata o:title=""/>
                <o:lock v:ext="edit" aspectratio="f"/>
              </v:shape>
            </w:pict>
          </mc:Fallback>
        </mc:AlternateContent>
      </w:r>
      <w:r>
        <w:rPr>
          <w:rFonts w:hint="eastAsia"/>
          <w:color w:val="000000"/>
          <w:kern w:val="2"/>
          <w:szCs w:val="20"/>
        </w:rPr>
        <w:drawing>
          <wp:anchor distT="0" distB="0" distL="114300" distR="114300" simplePos="0" relativeHeight="251674624" behindDoc="0" locked="0" layoutInCell="1" allowOverlap="1">
            <wp:simplePos x="0" y="0"/>
            <wp:positionH relativeFrom="column">
              <wp:posOffset>536575</wp:posOffset>
            </wp:positionH>
            <wp:positionV relativeFrom="paragraph">
              <wp:posOffset>63500</wp:posOffset>
            </wp:positionV>
            <wp:extent cx="527685" cy="548005"/>
            <wp:effectExtent l="0" t="0" r="5715" b="4445"/>
            <wp:wrapNone/>
            <wp:docPr id="122" name="图片 122" descr="58c58c510abe0fd54807a8e5590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58c58c510abe0fd54807a8e55903657"/>
                    <pic:cNvPicPr>
                      <a:picLocks noChangeAspect="1"/>
                    </pic:cNvPicPr>
                  </pic:nvPicPr>
                  <pic:blipFill>
                    <a:blip r:embed="rId20"/>
                    <a:stretch>
                      <a:fillRect/>
                    </a:stretch>
                  </pic:blipFill>
                  <pic:spPr>
                    <a:xfrm>
                      <a:off x="0" y="0"/>
                      <a:ext cx="527685" cy="548005"/>
                    </a:xfrm>
                    <a:prstGeom prst="rect">
                      <a:avLst/>
                    </a:prstGeom>
                  </pic:spPr>
                </pic:pic>
              </a:graphicData>
            </a:graphic>
          </wp:anchor>
        </w:drawing>
      </w:r>
      <w:r>
        <w:drawing>
          <wp:inline distT="0" distB="0" distL="0" distR="0">
            <wp:extent cx="4519295" cy="4209415"/>
            <wp:effectExtent l="0" t="0" r="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1"/>
                    <a:stretch>
                      <a:fillRect/>
                    </a:stretch>
                  </pic:blipFill>
                  <pic:spPr>
                    <a:xfrm>
                      <a:off x="0" y="0"/>
                      <a:ext cx="4555786" cy="4243510"/>
                    </a:xfrm>
                    <a:prstGeom prst="rect">
                      <a:avLst/>
                    </a:prstGeom>
                  </pic:spPr>
                </pic:pic>
              </a:graphicData>
            </a:graphic>
          </wp:inline>
        </w:drawing>
      </w:r>
    </w:p>
    <w:p>
      <w:pPr>
        <w:tabs>
          <w:tab w:val="left" w:pos="915"/>
        </w:tabs>
        <w:spacing w:before="120"/>
        <w:ind w:firstLine="0" w:firstLineChars="0"/>
        <w:jc w:val="center"/>
        <w:rPr>
          <w:sz w:val="21"/>
          <w:szCs w:val="21"/>
        </w:rPr>
      </w:pPr>
      <w:r>
        <w:rPr>
          <w:sz w:val="21"/>
          <w:szCs w:val="21"/>
        </w:rPr>
        <w:t>附图4  项目地理位置图</w:t>
      </w:r>
    </w:p>
    <w:p>
      <w:pPr>
        <w:adjustRightInd w:val="0"/>
        <w:snapToGrid w:val="0"/>
        <w:spacing w:before="0" w:beforeLines="0"/>
        <w:ind w:firstLine="0" w:firstLineChars="0"/>
        <w:jc w:val="center"/>
        <w:rPr>
          <w:color w:val="000000"/>
        </w:rPr>
      </w:pPr>
      <w:r>
        <w:rPr>
          <w:color w:val="000000"/>
        </w:rPr>
        <w:drawing>
          <wp:inline distT="0" distB="0" distL="0" distR="0">
            <wp:extent cx="4382135" cy="388683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47817" cy="3945019"/>
                    </a:xfrm>
                    <a:prstGeom prst="rect">
                      <a:avLst/>
                    </a:prstGeom>
                    <a:noFill/>
                    <a:ln>
                      <a:noFill/>
                    </a:ln>
                  </pic:spPr>
                </pic:pic>
              </a:graphicData>
            </a:graphic>
          </wp:inline>
        </w:drawing>
      </w:r>
    </w:p>
    <w:p>
      <w:pPr>
        <w:tabs>
          <w:tab w:val="left" w:pos="435"/>
          <w:tab w:val="left" w:pos="3285"/>
          <w:tab w:val="center" w:pos="4422"/>
        </w:tabs>
        <w:spacing w:before="120"/>
        <w:ind w:firstLine="420"/>
        <w:jc w:val="center"/>
        <w:rPr>
          <w:sz w:val="21"/>
          <w:szCs w:val="21"/>
        </w:rPr>
      </w:pPr>
      <w:r>
        <w:rPr>
          <w:rFonts w:hint="eastAsia"/>
          <w:sz w:val="21"/>
          <w:szCs w:val="21"/>
        </w:rPr>
        <w:t>附图</w:t>
      </w:r>
      <w:r>
        <w:rPr>
          <w:sz w:val="21"/>
          <w:szCs w:val="21"/>
        </w:rPr>
        <w:t>5</w:t>
      </w:r>
      <w:r>
        <w:rPr>
          <w:rFonts w:hint="eastAsia"/>
          <w:sz w:val="21"/>
          <w:szCs w:val="21"/>
        </w:rPr>
        <w:t xml:space="preserve"> </w:t>
      </w:r>
      <w:r>
        <w:rPr>
          <w:sz w:val="21"/>
          <w:szCs w:val="21"/>
        </w:rPr>
        <w:t xml:space="preserve"> </w:t>
      </w:r>
      <w:r>
        <w:rPr>
          <w:rFonts w:hint="eastAsia"/>
          <w:sz w:val="21"/>
          <w:szCs w:val="21"/>
        </w:rPr>
        <w:t>项目四至图</w:t>
      </w:r>
    </w:p>
    <w:p>
      <w:pPr>
        <w:tabs>
          <w:tab w:val="left" w:pos="435"/>
          <w:tab w:val="left" w:pos="3285"/>
          <w:tab w:val="center" w:pos="4422"/>
        </w:tabs>
        <w:spacing w:before="120"/>
        <w:ind w:firstLine="0" w:firstLineChars="0"/>
        <w:jc w:val="center"/>
        <w:rPr>
          <w:sz w:val="21"/>
          <w:szCs w:val="21"/>
        </w:rPr>
      </w:pPr>
      <w:r>
        <w:rPr>
          <w:rFonts w:hint="eastAsia"/>
          <w:sz w:val="21"/>
          <w:szCs w:val="21"/>
        </w:rPr>
        <w:drawing>
          <wp:inline distT="0" distB="0" distL="114300" distR="114300">
            <wp:extent cx="4077335" cy="3665220"/>
            <wp:effectExtent l="0" t="0" r="18415" b="11430"/>
            <wp:docPr id="23" name="图片 23" descr="0e69fee6c2d560b05d45931832dc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e69fee6c2d560b05d45931832dccc0"/>
                    <pic:cNvPicPr>
                      <a:picLocks noChangeAspect="1"/>
                    </pic:cNvPicPr>
                  </pic:nvPicPr>
                  <pic:blipFill>
                    <a:blip r:embed="rId29"/>
                    <a:stretch>
                      <a:fillRect/>
                    </a:stretch>
                  </pic:blipFill>
                  <pic:spPr>
                    <a:xfrm>
                      <a:off x="0" y="0"/>
                      <a:ext cx="4077335" cy="3665220"/>
                    </a:xfrm>
                    <a:prstGeom prst="rect">
                      <a:avLst/>
                    </a:prstGeom>
                  </pic:spPr>
                </pic:pic>
              </a:graphicData>
            </a:graphic>
          </wp:inline>
        </w:drawing>
      </w:r>
    </w:p>
    <w:p>
      <w:pPr>
        <w:tabs>
          <w:tab w:val="left" w:pos="435"/>
          <w:tab w:val="left" w:pos="3285"/>
          <w:tab w:val="center" w:pos="4422"/>
        </w:tabs>
        <w:spacing w:before="120"/>
        <w:ind w:firstLine="420"/>
        <w:jc w:val="center"/>
        <w:rPr>
          <w:sz w:val="21"/>
          <w:szCs w:val="21"/>
        </w:rPr>
      </w:pPr>
      <w:r>
        <w:rPr>
          <w:rFonts w:hint="eastAsia"/>
          <w:sz w:val="21"/>
          <w:szCs w:val="21"/>
        </w:rPr>
        <w:t>附图</w:t>
      </w:r>
      <w:r>
        <w:rPr>
          <w:sz w:val="21"/>
          <w:szCs w:val="21"/>
        </w:rPr>
        <w:t>6</w:t>
      </w:r>
      <w:r>
        <w:rPr>
          <w:rFonts w:hint="eastAsia"/>
          <w:sz w:val="21"/>
          <w:szCs w:val="21"/>
        </w:rPr>
        <w:t xml:space="preserve">  项目主要环境保护目标分布图</w:t>
      </w:r>
      <w:r>
        <w:rPr>
          <w:sz w:val="21"/>
          <w:szCs w:val="21"/>
        </w:rPr>
        <w:br w:type="page"/>
      </w:r>
    </w:p>
    <w:p>
      <w:pPr>
        <w:tabs>
          <w:tab w:val="left" w:pos="435"/>
          <w:tab w:val="left" w:pos="3285"/>
          <w:tab w:val="center" w:pos="4422"/>
        </w:tabs>
        <w:spacing w:before="120"/>
        <w:ind w:firstLine="420"/>
        <w:jc w:val="center"/>
        <w:rPr>
          <w:sz w:val="21"/>
          <w:szCs w:val="21"/>
        </w:rPr>
      </w:pPr>
    </w:p>
    <w:p>
      <w:pPr>
        <w:tabs>
          <w:tab w:val="left" w:pos="435"/>
          <w:tab w:val="left" w:pos="3285"/>
          <w:tab w:val="center" w:pos="4422"/>
        </w:tabs>
        <w:spacing w:before="120" w:line="240" w:lineRule="auto"/>
        <w:ind w:firstLine="0" w:firstLineChars="0"/>
        <w:jc w:val="center"/>
      </w:pPr>
      <w:r>
        <w:drawing>
          <wp:inline distT="0" distB="0" distL="0" distR="0">
            <wp:extent cx="5480050" cy="396684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80050" cy="3966845"/>
                    </a:xfrm>
                    <a:prstGeom prst="rect">
                      <a:avLst/>
                    </a:prstGeom>
                    <a:noFill/>
                    <a:ln>
                      <a:noFill/>
                    </a:ln>
                  </pic:spPr>
                </pic:pic>
              </a:graphicData>
            </a:graphic>
          </wp:inline>
        </w:drawing>
      </w:r>
    </w:p>
    <w:p>
      <w:pPr>
        <w:tabs>
          <w:tab w:val="left" w:pos="435"/>
          <w:tab w:val="left" w:pos="3285"/>
          <w:tab w:val="center" w:pos="4422"/>
        </w:tabs>
        <w:spacing w:before="120"/>
        <w:ind w:firstLine="0" w:firstLineChars="0"/>
        <w:jc w:val="center"/>
        <w:rPr>
          <w:sz w:val="21"/>
          <w:szCs w:val="21"/>
        </w:rPr>
      </w:pPr>
      <w:r>
        <w:rPr>
          <w:rFonts w:hint="eastAsia"/>
          <w:sz w:val="21"/>
          <w:szCs w:val="21"/>
        </w:rPr>
        <w:t>附图</w:t>
      </w:r>
      <w:r>
        <w:rPr>
          <w:sz w:val="21"/>
          <w:szCs w:val="21"/>
        </w:rPr>
        <w:t xml:space="preserve">7 </w:t>
      </w:r>
      <w:r>
        <w:rPr>
          <w:rFonts w:hint="eastAsia"/>
          <w:sz w:val="21"/>
          <w:szCs w:val="21"/>
        </w:rPr>
        <w:t xml:space="preserve"> 项目所在地水系图</w:t>
      </w:r>
    </w:p>
    <w:sectPr>
      <w:pgSz w:w="11906" w:h="16838"/>
      <w:pgMar w:top="1701" w:right="1531" w:bottom="1701" w:left="1531" w:header="851" w:footer="851"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MingLiU">
    <w:panose1 w:val="02020509000000000000"/>
    <w:charset w:val="88"/>
    <w:family w:val="modern"/>
    <w:pitch w:val="default"/>
    <w:sig w:usb0="A00002FF" w:usb1="28CFFCFA" w:usb2="00000016" w:usb3="00000000" w:csb0="00100001"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Segoe UI Emoji">
    <w:altName w:val="Segoe UI"/>
    <w:panose1 w:val="020B0502040204020203"/>
    <w:charset w:val="00"/>
    <w:family w:val="swiss"/>
    <w:pitch w:val="default"/>
    <w:sig w:usb0="00000000" w:usb1="00000000" w:usb2="00000000" w:usb3="00000000" w:csb0="00000001" w:csb1="00000000"/>
  </w:font>
  <w:font w:name="Segoe UI">
    <w:panose1 w:val="020B0502040204020203"/>
    <w:charset w:val="00"/>
    <w:family w:val="auto"/>
    <w:pitch w:val="default"/>
    <w:sig w:usb0="E10022FF" w:usb1="C000E47F" w:usb2="00000029" w:usb3="00000000" w:csb0="200001DF" w:csb1="2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spacing w:before="120"/>
      <w:ind w:firstLine="360"/>
      <w:rPr>
        <w:rStyle w:val="32"/>
      </w:rPr>
    </w:pPr>
    <w:r>
      <w:fldChar w:fldCharType="begin"/>
    </w:r>
    <w:r>
      <w:rPr>
        <w:rStyle w:val="32"/>
      </w:rPr>
      <w:instrText xml:space="preserve">PAGE  </w:instrText>
    </w:r>
    <w:r>
      <w:fldChar w:fldCharType="end"/>
    </w:r>
  </w:p>
  <w:p>
    <w:pPr>
      <w:pStyle w:val="15"/>
      <w:spacing w:before="1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67385" cy="306070"/>
              <wp:effectExtent l="2540" t="0" r="0" b="1905"/>
              <wp:wrapNone/>
              <wp:docPr id="6" name="Text Box 1"/>
              <wp:cNvGraphicFramePr/>
              <a:graphic xmlns:a="http://schemas.openxmlformats.org/drawingml/2006/main">
                <a:graphicData uri="http://schemas.microsoft.com/office/word/2010/wordprocessingShape">
                  <wps:wsp>
                    <wps:cNvSpPr txBox="1">
                      <a:spLocks noChangeArrowheads="1"/>
                    </wps:cNvSpPr>
                    <wps:spPr bwMode="auto">
                      <a:xfrm>
                        <a:off x="0" y="0"/>
                        <a:ext cx="667385" cy="306070"/>
                      </a:xfrm>
                      <a:prstGeom prst="rect">
                        <a:avLst/>
                      </a:prstGeom>
                      <a:noFill/>
                      <a:ln>
                        <a:noFill/>
                      </a:ln>
                    </wps:spPr>
                    <wps:txbx>
                      <w:txbxContent>
                        <w:p>
                          <w:pPr>
                            <w:pStyle w:val="15"/>
                            <w:spacing w:before="120"/>
                            <w:ind w:firstLine="420"/>
                          </w:pPr>
                          <w:r>
                            <w:rPr>
                              <w:sz w:val="21"/>
                              <w:szCs w:val="22"/>
                            </w:rPr>
                            <w:t xml:space="preserve">— </w:t>
                          </w:r>
                          <w:r>
                            <w:rPr>
                              <w:sz w:val="21"/>
                              <w:szCs w:val="22"/>
                            </w:rPr>
                            <w:fldChar w:fldCharType="begin"/>
                          </w:r>
                          <w:r>
                            <w:rPr>
                              <w:sz w:val="21"/>
                              <w:szCs w:val="22"/>
                            </w:rPr>
                            <w:instrText xml:space="preserve"> PAGE  \* MERGEFORMAT </w:instrText>
                          </w:r>
                          <w:r>
                            <w:rPr>
                              <w:sz w:val="21"/>
                              <w:szCs w:val="22"/>
                            </w:rPr>
                            <w:fldChar w:fldCharType="separate"/>
                          </w:r>
                          <w:r>
                            <w:rPr>
                              <w:sz w:val="21"/>
                              <w:szCs w:val="22"/>
                            </w:rPr>
                            <w:t>10</w:t>
                          </w:r>
                          <w:r>
                            <w:rPr>
                              <w:sz w:val="21"/>
                              <w:szCs w:val="22"/>
                            </w:rPr>
                            <w:fldChar w:fldCharType="end"/>
                          </w:r>
                          <w:r>
                            <w:rPr>
                              <w:sz w:val="21"/>
                              <w:szCs w:val="22"/>
                            </w:rPr>
                            <w:t xml:space="preserve"> —</w:t>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24.1pt;width:52.55pt;mso-position-horizontal:outside;mso-position-horizontal-relative:margin;mso-wrap-style:none;z-index:251660288;mso-width-relative:page;mso-height-relative:page;" filled="f" stroked="f" coordsize="21600,21600" o:gfxdata="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k23PLSAAAABAEAAA8AAAAAAAAAAQAgAAAAIgAAAGRycy9kb3ducmV2LnhtbFBLAQIU&#10;ABQAAAAIAIdO4kCb31s++QEAAAEEAAAOAAAAAAAAAAEAIAAAACEBAABkcnMvZTJvRG9jLnhtbFBL&#10;BQYAAAAABgAGAFkBAACMBQAAAAA=&#10;">
              <v:fill on="f" focussize="0,0"/>
              <v:stroke on="f"/>
              <v:imagedata o:title=""/>
              <o:lock v:ext="edit" aspectratio="f"/>
              <v:textbox inset="0mm,0mm,0mm,0mm" style="mso-fit-shape-to-text:t;">
                <w:txbxContent>
                  <w:p>
                    <w:pPr>
                      <w:pStyle w:val="15"/>
                      <w:spacing w:before="120"/>
                      <w:ind w:firstLine="420"/>
                    </w:pPr>
                    <w:r>
                      <w:rPr>
                        <w:sz w:val="21"/>
                        <w:szCs w:val="22"/>
                      </w:rPr>
                      <w:t xml:space="preserve">— </w:t>
                    </w:r>
                    <w:r>
                      <w:rPr>
                        <w:sz w:val="21"/>
                        <w:szCs w:val="22"/>
                      </w:rPr>
                      <w:fldChar w:fldCharType="begin"/>
                    </w:r>
                    <w:r>
                      <w:rPr>
                        <w:sz w:val="21"/>
                        <w:szCs w:val="22"/>
                      </w:rPr>
                      <w:instrText xml:space="preserve"> PAGE  \* MERGEFORMAT </w:instrText>
                    </w:r>
                    <w:r>
                      <w:rPr>
                        <w:sz w:val="21"/>
                        <w:szCs w:val="22"/>
                      </w:rPr>
                      <w:fldChar w:fldCharType="separate"/>
                    </w:r>
                    <w:r>
                      <w:rPr>
                        <w:sz w:val="21"/>
                        <w:szCs w:val="22"/>
                      </w:rPr>
                      <w:t>10</w:t>
                    </w:r>
                    <w:r>
                      <w:rPr>
                        <w:sz w:val="21"/>
                        <w:szCs w:val="22"/>
                      </w:rPr>
                      <w:fldChar w:fldCharType="end"/>
                    </w:r>
                    <w:r>
                      <w:rPr>
                        <w:sz w:val="21"/>
                        <w:szCs w:val="22"/>
                      </w:rPr>
                      <w:t xml:space="preserve"> —</w:t>
                    </w:r>
                  </w:p>
                </w:txbxContent>
              </v:textbox>
            </v:shape>
          </w:pict>
        </mc:Fallback>
      </mc:AlternateContent>
    </w:r>
  </w:p>
  <w:p>
    <w:pPr>
      <w:pStyle w:val="15"/>
      <w:spacing w:before="12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629285" cy="273050"/>
              <wp:effectExtent l="3175" t="381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9285" cy="273050"/>
                      </a:xfrm>
                      <a:prstGeom prst="rect">
                        <a:avLst/>
                      </a:prstGeom>
                      <a:noFill/>
                      <a:ln>
                        <a:noFill/>
                      </a:ln>
                    </wps:spPr>
                    <wps:txbx>
                      <w:txbxContent>
                        <w:p>
                          <w:pPr>
                            <w:pStyle w:val="15"/>
                            <w:spacing w:before="120"/>
                            <w:ind w:firstLine="360"/>
                          </w:pPr>
                          <w:r>
                            <w:t xml:space="preserve">— </w:t>
                          </w:r>
                          <w:r>
                            <w:fldChar w:fldCharType="begin"/>
                          </w:r>
                          <w:r>
                            <w:instrText xml:space="preserve"> PAGE  \* MERGEFORMAT </w:instrText>
                          </w:r>
                          <w:r>
                            <w:fldChar w:fldCharType="separate"/>
                          </w:r>
                          <w:r>
                            <w:t>36</w:t>
                          </w:r>
                          <w:r>
                            <w:fldChar w:fldCharType="end"/>
                          </w:r>
                          <w:r>
                            <w:t xml:space="preserve"> —</w:t>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21.5pt;width:49.55pt;mso-position-horizontal:outside;mso-position-horizontal-relative:margin;mso-wrap-style:none;z-index:251661312;mso-width-relative:page;mso-height-relative:page;" filled="f" stroked="f" coordsize="21600,21600" o:gfxdata="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sevfXRAAAAAwEAAA8AAAAAAAAAAQAgAAAAIgAAAGRycy9kb3ducmV2LnhtbFBLAQIU&#10;ABQAAAAIAIdO4kC5rF1q+gEAAAEEAAAOAAAAAAAAAAEAIAAAACABAABkcnMvZTJvRG9jLnhtbFBL&#10;BQYAAAAABgAGAFkBAACMBQAAAAA=&#10;">
              <v:fill on="f" focussize="0,0"/>
              <v:stroke on="f"/>
              <v:imagedata o:title=""/>
              <o:lock v:ext="edit" aspectratio="f"/>
              <v:textbox inset="0mm,0mm,0mm,0mm" style="mso-fit-shape-to-text:t;">
                <w:txbxContent>
                  <w:p>
                    <w:pPr>
                      <w:pStyle w:val="15"/>
                      <w:spacing w:before="120"/>
                      <w:ind w:firstLine="360"/>
                    </w:pPr>
                    <w:r>
                      <w:t xml:space="preserve">— </w:t>
                    </w:r>
                    <w:r>
                      <w:fldChar w:fldCharType="begin"/>
                    </w:r>
                    <w:r>
                      <w:instrText xml:space="preserve"> PAGE  \* MERGEFORMAT </w:instrText>
                    </w:r>
                    <w:r>
                      <w:fldChar w:fldCharType="separate"/>
                    </w:r>
                    <w:r>
                      <w:t>36</w:t>
                    </w:r>
                    <w:r>
                      <w:fldChar w:fldCharType="end"/>
                    </w:r>
                    <w:r>
                      <w:t xml:space="preserve"> —</w:t>
                    </w:r>
                  </w:p>
                </w:txbxContent>
              </v:textbox>
            </v:shape>
          </w:pict>
        </mc:Fallback>
      </mc:AlternateContent>
    </w:r>
  </w:p>
  <w:p>
    <w:pPr>
      <w:pStyle w:val="15"/>
      <w:spacing w:before="120"/>
      <w:ind w:right="360" w:rightChars="15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jc w:val="cente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629285" cy="273050"/>
              <wp:effectExtent l="2540" t="0" r="0" b="0"/>
              <wp:wrapNone/>
              <wp:docPr id="4" name="Text Box 3"/>
              <wp:cNvGraphicFramePr/>
              <a:graphic xmlns:a="http://schemas.openxmlformats.org/drawingml/2006/main">
                <a:graphicData uri="http://schemas.microsoft.com/office/word/2010/wordprocessingShape">
                  <wps:wsp>
                    <wps:cNvSpPr txBox="1">
                      <a:spLocks noChangeArrowheads="1"/>
                    </wps:cNvSpPr>
                    <wps:spPr bwMode="auto">
                      <a:xfrm>
                        <a:off x="0" y="0"/>
                        <a:ext cx="629285" cy="273050"/>
                      </a:xfrm>
                      <a:prstGeom prst="rect">
                        <a:avLst/>
                      </a:prstGeom>
                      <a:noFill/>
                      <a:ln>
                        <a:noFill/>
                      </a:ln>
                    </wps:spPr>
                    <wps:txbx>
                      <w:txbxContent>
                        <w:p>
                          <w:pPr>
                            <w:pStyle w:val="15"/>
                            <w:spacing w:before="120"/>
                            <w:ind w:firstLine="360"/>
                          </w:pPr>
                          <w:r>
                            <w:t xml:space="preserve">— </w:t>
                          </w:r>
                          <w:r>
                            <w:fldChar w:fldCharType="begin"/>
                          </w:r>
                          <w:r>
                            <w:instrText xml:space="preserve"> PAGE  \* MERGEFORMAT </w:instrText>
                          </w:r>
                          <w:r>
                            <w:fldChar w:fldCharType="separate"/>
                          </w:r>
                          <w:r>
                            <w:t>74</w:t>
                          </w:r>
                          <w:r>
                            <w:fldChar w:fldCharType="end"/>
                          </w:r>
                          <w:r>
                            <w:t xml:space="preserve"> —</w:t>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21.5pt;width:49.55pt;mso-position-horizontal:outside;mso-position-horizontal-relative:margin;mso-wrap-style:none;z-index:251662336;mso-width-relative:page;mso-height-relative:page;" filled="f" stroked="f" coordsize="21600,21600" o:gfxdata="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Hr310QAAAAMBAAAPAAAAAAAAAAEAIAAAACIAAABkcnMvZG93bnJldi54bWxQSwEC&#10;FAAUAAAACACHTuJAOh8WyvsBAAABBAAADgAAAAAAAAABACAAAAAgAQAAZHJzL2Uyb0RvYy54bWxQ&#10;SwUGAAAAAAYABgBZAQAAjQUAAAAA&#10;">
              <v:fill on="f" focussize="0,0"/>
              <v:stroke on="f"/>
              <v:imagedata o:title=""/>
              <o:lock v:ext="edit" aspectratio="f"/>
              <v:textbox inset="0mm,0mm,0mm,0mm" style="mso-fit-shape-to-text:t;">
                <w:txbxContent>
                  <w:p>
                    <w:pPr>
                      <w:pStyle w:val="15"/>
                      <w:spacing w:before="120"/>
                      <w:ind w:firstLine="360"/>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p>
    <w:pPr>
      <w:pStyle w:val="15"/>
      <w:spacing w:before="12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jc w:val="cente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629285" cy="273050"/>
              <wp:effectExtent l="0" t="0" r="1270" b="0"/>
              <wp:wrapNone/>
              <wp:docPr id="2" name="Text Box 5"/>
              <wp:cNvGraphicFramePr/>
              <a:graphic xmlns:a="http://schemas.openxmlformats.org/drawingml/2006/main">
                <a:graphicData uri="http://schemas.microsoft.com/office/word/2010/wordprocessingShape">
                  <wps:wsp>
                    <wps:cNvSpPr txBox="1">
                      <a:spLocks noChangeArrowheads="1"/>
                    </wps:cNvSpPr>
                    <wps:spPr bwMode="auto">
                      <a:xfrm>
                        <a:off x="0" y="0"/>
                        <a:ext cx="629285" cy="273050"/>
                      </a:xfrm>
                      <a:prstGeom prst="rect">
                        <a:avLst/>
                      </a:prstGeom>
                      <a:noFill/>
                      <a:ln>
                        <a:noFill/>
                      </a:ln>
                    </wps:spPr>
                    <wps:txbx>
                      <w:txbxContent>
                        <w:p>
                          <w:pPr>
                            <w:pStyle w:val="15"/>
                            <w:spacing w:before="120"/>
                            <w:ind w:firstLine="360"/>
                          </w:pPr>
                          <w:r>
                            <w:t xml:space="preserve">— </w:t>
                          </w:r>
                          <w:r>
                            <w:fldChar w:fldCharType="begin"/>
                          </w:r>
                          <w:r>
                            <w:instrText xml:space="preserve"> PAGE  \* MERGEFORMAT </w:instrText>
                          </w:r>
                          <w:r>
                            <w:fldChar w:fldCharType="separate"/>
                          </w:r>
                          <w:r>
                            <w:t>76</w:t>
                          </w:r>
                          <w:r>
                            <w:fldChar w:fldCharType="end"/>
                          </w:r>
                          <w:r>
                            <w:t xml:space="preserve"> —</w:t>
                          </w: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21.5pt;width:49.55pt;mso-position-horizontal:outside;mso-position-horizontal-relative:margin;mso-wrap-style:none;z-index:251663360;mso-width-relative:page;mso-height-relative:page;" filled="f" stroked="f" coordsize="21600,21600" o:gfxdata="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Hr310QAAAAMBAAAPAAAAAAAAAAEAIAAAACIAAABkcnMvZG93bnJldi54bWxQSwEC&#10;FAAUAAAACACHTuJAsrpNvfsBAAABBAAADgAAAAAAAAABACAAAAAgAQAAZHJzL2Uyb0RvYy54bWxQ&#10;SwUGAAAAAAYABgBZAQAAjQUAAAAA&#10;">
              <v:fill on="f" focussize="0,0"/>
              <v:stroke on="f"/>
              <v:imagedata o:title=""/>
              <o:lock v:ext="edit" aspectratio="f"/>
              <v:textbox inset="0mm,0mm,0mm,0mm" style="mso-fit-shape-to-text:t;">
                <w:txbxContent>
                  <w:p>
                    <w:pPr>
                      <w:pStyle w:val="15"/>
                      <w:spacing w:before="120"/>
                      <w:ind w:firstLine="360"/>
                    </w:pPr>
                    <w:r>
                      <w:t xml:space="preserve">— </w:t>
                    </w:r>
                    <w:r>
                      <w:fldChar w:fldCharType="begin"/>
                    </w:r>
                    <w:r>
                      <w:instrText xml:space="preserve"> PAGE  \* MERGEFORMAT </w:instrText>
                    </w:r>
                    <w:r>
                      <w:fldChar w:fldCharType="separate"/>
                    </w:r>
                    <w:r>
                      <w:t>76</w:t>
                    </w:r>
                    <w:r>
                      <w:fldChar w:fldCharType="end"/>
                    </w:r>
                    <w:r>
                      <w:t xml:space="preserve"> —</w:t>
                    </w:r>
                  </w:p>
                </w:txbxContent>
              </v:textbox>
            </v:shape>
          </w:pict>
        </mc:Fallback>
      </mc:AlternateContent>
    </w:r>
  </w:p>
  <w:p>
    <w:pPr>
      <w:pStyle w:val="15"/>
      <w:tabs>
        <w:tab w:val="left" w:pos="900"/>
      </w:tabs>
      <w:spacing w:before="120"/>
      <w:ind w:right="360" w:firstLine="360"/>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jc w:val="cente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629285" cy="273050"/>
              <wp:effectExtent l="635" t="0" r="0" b="0"/>
              <wp:wrapNone/>
              <wp:docPr id="1" name="Text Box 6"/>
              <wp:cNvGraphicFramePr/>
              <a:graphic xmlns:a="http://schemas.openxmlformats.org/drawingml/2006/main">
                <a:graphicData uri="http://schemas.microsoft.com/office/word/2010/wordprocessingShape">
                  <wps:wsp>
                    <wps:cNvSpPr txBox="1">
                      <a:spLocks noChangeArrowheads="1"/>
                    </wps:cNvSpPr>
                    <wps:spPr bwMode="auto">
                      <a:xfrm>
                        <a:off x="0" y="0"/>
                        <a:ext cx="629285" cy="273050"/>
                      </a:xfrm>
                      <a:prstGeom prst="rect">
                        <a:avLst/>
                      </a:prstGeom>
                      <a:noFill/>
                      <a:ln>
                        <a:noFill/>
                      </a:ln>
                    </wps:spPr>
                    <wps:txbx>
                      <w:txbxContent>
                        <w:p>
                          <w:pPr>
                            <w:pStyle w:val="15"/>
                            <w:spacing w:before="120"/>
                            <w:ind w:firstLine="360"/>
                          </w:pPr>
                          <w:r>
                            <w:t xml:space="preserve">— </w:t>
                          </w:r>
                          <w:r>
                            <w:fldChar w:fldCharType="begin"/>
                          </w:r>
                          <w:r>
                            <w:instrText xml:space="preserve"> PAGE  \* MERGEFORMAT </w:instrText>
                          </w:r>
                          <w:r>
                            <w:fldChar w:fldCharType="separate"/>
                          </w:r>
                          <w:r>
                            <w:t>86</w:t>
                          </w:r>
                          <w:r>
                            <w:fldChar w:fldCharType="end"/>
                          </w:r>
                          <w:r>
                            <w:t xml:space="preserve"> —</w:t>
                          </w:r>
                        </w:p>
                      </w:txbxContent>
                    </wps:txbx>
                    <wps:bodyPr rot="0" vert="horz" wrap="none" lIns="0" tIns="0" rIns="0" bIns="0" anchor="t" anchorCtr="0" upright="1">
                      <a:spAutoFit/>
                    </wps:bodyPr>
                  </wps:wsp>
                </a:graphicData>
              </a:graphic>
            </wp:anchor>
          </w:drawing>
        </mc:Choice>
        <mc:Fallback>
          <w:pict>
            <v:shape id="Text Box 6" o:spid="_x0000_s1026" o:spt="202" type="#_x0000_t202" style="position:absolute;left:0pt;margin-top:0pt;height:21.5pt;width:49.55pt;mso-position-horizontal:outside;mso-position-horizontal-relative:margin;mso-wrap-style:none;z-index:251664384;mso-width-relative:page;mso-height-relative:page;" filled="f" stroked="f" coordsize="21600,21600" o:gfxdata="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sevfXRAAAAAwEAAA8AAAAAAAAAAQAgAAAAIgAAAGRycy9kb3ducmV2LnhtbFBLAQIU&#10;ABQAAAAIAIdO4kB2aOCG+gEAAAEEAAAOAAAAAAAAAAEAIAAAACABAABkcnMvZTJvRG9jLnhtbFBL&#10;BQYAAAAABgAGAFkBAACMBQAAAAA=&#10;">
              <v:fill on="f" focussize="0,0"/>
              <v:stroke on="f"/>
              <v:imagedata o:title=""/>
              <o:lock v:ext="edit" aspectratio="f"/>
              <v:textbox inset="0mm,0mm,0mm,0mm" style="mso-fit-shape-to-text:t;">
                <w:txbxContent>
                  <w:p>
                    <w:pPr>
                      <w:pStyle w:val="15"/>
                      <w:spacing w:before="120"/>
                      <w:ind w:firstLine="360"/>
                    </w:pPr>
                    <w:r>
                      <w:t xml:space="preserve">— </w:t>
                    </w:r>
                    <w:r>
                      <w:fldChar w:fldCharType="begin"/>
                    </w:r>
                    <w:r>
                      <w:instrText xml:space="preserve"> PAGE  \* MERGEFORMAT </w:instrText>
                    </w:r>
                    <w:r>
                      <w:fldChar w:fldCharType="separate"/>
                    </w:r>
                    <w:r>
                      <w:t>86</w:t>
                    </w:r>
                    <w:r>
                      <w:fldChar w:fldCharType="end"/>
                    </w:r>
                    <w:r>
                      <w:t xml:space="preserve"> —</w:t>
                    </w:r>
                  </w:p>
                </w:txbxContent>
              </v:textbox>
            </v:shape>
          </w:pict>
        </mc:Fallback>
      </mc:AlternateContent>
    </w:r>
  </w:p>
  <w:p>
    <w:pPr>
      <w:pStyle w:val="15"/>
      <w:tabs>
        <w:tab w:val="left" w:pos="900"/>
      </w:tabs>
      <w:spacing w:before="120"/>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F308BF"/>
    <w:multiLevelType w:val="multilevel"/>
    <w:tmpl w:val="38F308BF"/>
    <w:lvl w:ilvl="0" w:tentative="0">
      <w:start w:val="1"/>
      <w:numFmt w:val="decimalEnclosedCircle"/>
      <w:lvlText w:val="%1"/>
      <w:lvlJc w:val="left"/>
      <w:pPr>
        <w:ind w:left="840" w:hanging="360"/>
      </w:pPr>
      <w:rPr>
        <w:rFonts w:hint="default" w:ascii="宋体" w:hAnsi="宋体" w:cs="宋体"/>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wNzQzZjQzOGE1ODgxZmFhMGE1M2Y4MGUyZjYxZDMifQ=="/>
  </w:docVars>
  <w:rsids>
    <w:rsidRoot w:val="00A14947"/>
    <w:rsid w:val="00000092"/>
    <w:rsid w:val="00000367"/>
    <w:rsid w:val="0000099A"/>
    <w:rsid w:val="00000C1C"/>
    <w:rsid w:val="00000C3C"/>
    <w:rsid w:val="00001163"/>
    <w:rsid w:val="000015F7"/>
    <w:rsid w:val="00001A94"/>
    <w:rsid w:val="00001C49"/>
    <w:rsid w:val="00001C89"/>
    <w:rsid w:val="00002075"/>
    <w:rsid w:val="00002C3B"/>
    <w:rsid w:val="00002F7C"/>
    <w:rsid w:val="000031E2"/>
    <w:rsid w:val="000033BE"/>
    <w:rsid w:val="000033E8"/>
    <w:rsid w:val="00003406"/>
    <w:rsid w:val="0000366F"/>
    <w:rsid w:val="000038CD"/>
    <w:rsid w:val="00003E20"/>
    <w:rsid w:val="00003FE6"/>
    <w:rsid w:val="000049BD"/>
    <w:rsid w:val="00004E5D"/>
    <w:rsid w:val="00005C1A"/>
    <w:rsid w:val="00005ED9"/>
    <w:rsid w:val="000060B3"/>
    <w:rsid w:val="00006281"/>
    <w:rsid w:val="0000659A"/>
    <w:rsid w:val="000065FD"/>
    <w:rsid w:val="000069DF"/>
    <w:rsid w:val="00006D1D"/>
    <w:rsid w:val="000079BF"/>
    <w:rsid w:val="00007AE3"/>
    <w:rsid w:val="00007C98"/>
    <w:rsid w:val="00010117"/>
    <w:rsid w:val="000104C5"/>
    <w:rsid w:val="0001076A"/>
    <w:rsid w:val="00011110"/>
    <w:rsid w:val="000116AA"/>
    <w:rsid w:val="000119DA"/>
    <w:rsid w:val="00011B93"/>
    <w:rsid w:val="00012184"/>
    <w:rsid w:val="0001243A"/>
    <w:rsid w:val="0001267B"/>
    <w:rsid w:val="00012C57"/>
    <w:rsid w:val="000133D8"/>
    <w:rsid w:val="0001348D"/>
    <w:rsid w:val="0001377B"/>
    <w:rsid w:val="00013B76"/>
    <w:rsid w:val="00013D42"/>
    <w:rsid w:val="00014254"/>
    <w:rsid w:val="0001430A"/>
    <w:rsid w:val="00014E9C"/>
    <w:rsid w:val="00014F74"/>
    <w:rsid w:val="00014FA9"/>
    <w:rsid w:val="00015974"/>
    <w:rsid w:val="00016094"/>
    <w:rsid w:val="000164B8"/>
    <w:rsid w:val="000164CA"/>
    <w:rsid w:val="00016ADA"/>
    <w:rsid w:val="00016C7F"/>
    <w:rsid w:val="000170A0"/>
    <w:rsid w:val="000170D7"/>
    <w:rsid w:val="000171F5"/>
    <w:rsid w:val="00017206"/>
    <w:rsid w:val="00017834"/>
    <w:rsid w:val="00017985"/>
    <w:rsid w:val="00017C36"/>
    <w:rsid w:val="00017CD8"/>
    <w:rsid w:val="00020462"/>
    <w:rsid w:val="00020615"/>
    <w:rsid w:val="00020948"/>
    <w:rsid w:val="00020DFB"/>
    <w:rsid w:val="00020E87"/>
    <w:rsid w:val="000217DD"/>
    <w:rsid w:val="00022BB6"/>
    <w:rsid w:val="00023308"/>
    <w:rsid w:val="0002343D"/>
    <w:rsid w:val="000237AC"/>
    <w:rsid w:val="000238AF"/>
    <w:rsid w:val="000238CE"/>
    <w:rsid w:val="00023C99"/>
    <w:rsid w:val="00023E99"/>
    <w:rsid w:val="0002415C"/>
    <w:rsid w:val="000250D0"/>
    <w:rsid w:val="00025121"/>
    <w:rsid w:val="00025778"/>
    <w:rsid w:val="0002578B"/>
    <w:rsid w:val="00026495"/>
    <w:rsid w:val="0002685D"/>
    <w:rsid w:val="00026C8F"/>
    <w:rsid w:val="00026FF1"/>
    <w:rsid w:val="00027FC1"/>
    <w:rsid w:val="0003000C"/>
    <w:rsid w:val="00030032"/>
    <w:rsid w:val="000302E4"/>
    <w:rsid w:val="00030E6C"/>
    <w:rsid w:val="00030ECA"/>
    <w:rsid w:val="00030F86"/>
    <w:rsid w:val="00031434"/>
    <w:rsid w:val="000316EC"/>
    <w:rsid w:val="00031D1A"/>
    <w:rsid w:val="00031EE2"/>
    <w:rsid w:val="00032CB4"/>
    <w:rsid w:val="000333BC"/>
    <w:rsid w:val="00033B7C"/>
    <w:rsid w:val="00033CA5"/>
    <w:rsid w:val="000341D8"/>
    <w:rsid w:val="0003466A"/>
    <w:rsid w:val="000347F3"/>
    <w:rsid w:val="00034803"/>
    <w:rsid w:val="00035296"/>
    <w:rsid w:val="0003539D"/>
    <w:rsid w:val="00035685"/>
    <w:rsid w:val="00035760"/>
    <w:rsid w:val="00035B1F"/>
    <w:rsid w:val="00035C33"/>
    <w:rsid w:val="00035F48"/>
    <w:rsid w:val="00036259"/>
    <w:rsid w:val="000364D0"/>
    <w:rsid w:val="000364DD"/>
    <w:rsid w:val="0003651C"/>
    <w:rsid w:val="000365FA"/>
    <w:rsid w:val="0003664B"/>
    <w:rsid w:val="000367BF"/>
    <w:rsid w:val="00036AE3"/>
    <w:rsid w:val="0003714D"/>
    <w:rsid w:val="00037496"/>
    <w:rsid w:val="00037587"/>
    <w:rsid w:val="00037DCE"/>
    <w:rsid w:val="00037DDF"/>
    <w:rsid w:val="000401C4"/>
    <w:rsid w:val="00040377"/>
    <w:rsid w:val="000403E6"/>
    <w:rsid w:val="000406BE"/>
    <w:rsid w:val="0004078A"/>
    <w:rsid w:val="00040870"/>
    <w:rsid w:val="000408C3"/>
    <w:rsid w:val="00040B6A"/>
    <w:rsid w:val="00041250"/>
    <w:rsid w:val="0004131B"/>
    <w:rsid w:val="00041343"/>
    <w:rsid w:val="00041379"/>
    <w:rsid w:val="00041473"/>
    <w:rsid w:val="000419E9"/>
    <w:rsid w:val="000420AF"/>
    <w:rsid w:val="000421CC"/>
    <w:rsid w:val="000424A5"/>
    <w:rsid w:val="00042708"/>
    <w:rsid w:val="00043607"/>
    <w:rsid w:val="0004364B"/>
    <w:rsid w:val="00043719"/>
    <w:rsid w:val="000437B7"/>
    <w:rsid w:val="00043C50"/>
    <w:rsid w:val="00043D65"/>
    <w:rsid w:val="000444D5"/>
    <w:rsid w:val="000446BA"/>
    <w:rsid w:val="00044E24"/>
    <w:rsid w:val="00044F3A"/>
    <w:rsid w:val="00045239"/>
    <w:rsid w:val="000457F7"/>
    <w:rsid w:val="00045969"/>
    <w:rsid w:val="000459CC"/>
    <w:rsid w:val="00045C63"/>
    <w:rsid w:val="00045CDB"/>
    <w:rsid w:val="00045CE2"/>
    <w:rsid w:val="00046D7F"/>
    <w:rsid w:val="00046F3C"/>
    <w:rsid w:val="00047E3A"/>
    <w:rsid w:val="000500FB"/>
    <w:rsid w:val="000504E7"/>
    <w:rsid w:val="00050BF2"/>
    <w:rsid w:val="00051110"/>
    <w:rsid w:val="00051188"/>
    <w:rsid w:val="000512A6"/>
    <w:rsid w:val="00051414"/>
    <w:rsid w:val="0005141C"/>
    <w:rsid w:val="00051B6F"/>
    <w:rsid w:val="00051C63"/>
    <w:rsid w:val="00051D6B"/>
    <w:rsid w:val="00051EF0"/>
    <w:rsid w:val="00051FA1"/>
    <w:rsid w:val="00052103"/>
    <w:rsid w:val="00052473"/>
    <w:rsid w:val="00052654"/>
    <w:rsid w:val="00052AD6"/>
    <w:rsid w:val="00053027"/>
    <w:rsid w:val="000531C7"/>
    <w:rsid w:val="00053260"/>
    <w:rsid w:val="00053404"/>
    <w:rsid w:val="00053945"/>
    <w:rsid w:val="00053B8D"/>
    <w:rsid w:val="00053F02"/>
    <w:rsid w:val="000546E5"/>
    <w:rsid w:val="000547B1"/>
    <w:rsid w:val="000547D2"/>
    <w:rsid w:val="000558C2"/>
    <w:rsid w:val="0005621B"/>
    <w:rsid w:val="0005667B"/>
    <w:rsid w:val="000569B7"/>
    <w:rsid w:val="00056EA9"/>
    <w:rsid w:val="00057032"/>
    <w:rsid w:val="00057752"/>
    <w:rsid w:val="000605C5"/>
    <w:rsid w:val="00060798"/>
    <w:rsid w:val="00060FCB"/>
    <w:rsid w:val="000614D9"/>
    <w:rsid w:val="00061693"/>
    <w:rsid w:val="000618AC"/>
    <w:rsid w:val="00061B1F"/>
    <w:rsid w:val="00061BB5"/>
    <w:rsid w:val="00061C76"/>
    <w:rsid w:val="00062333"/>
    <w:rsid w:val="00062381"/>
    <w:rsid w:val="0006273B"/>
    <w:rsid w:val="000629CB"/>
    <w:rsid w:val="00062B88"/>
    <w:rsid w:val="00062C31"/>
    <w:rsid w:val="00063CD6"/>
    <w:rsid w:val="0006463C"/>
    <w:rsid w:val="0006511C"/>
    <w:rsid w:val="000651D0"/>
    <w:rsid w:val="000662CA"/>
    <w:rsid w:val="0006652D"/>
    <w:rsid w:val="000667D1"/>
    <w:rsid w:val="0006682B"/>
    <w:rsid w:val="00066ABB"/>
    <w:rsid w:val="00066BE0"/>
    <w:rsid w:val="00066DFA"/>
    <w:rsid w:val="000674B9"/>
    <w:rsid w:val="0006783E"/>
    <w:rsid w:val="00067A1C"/>
    <w:rsid w:val="000701B2"/>
    <w:rsid w:val="00071072"/>
    <w:rsid w:val="000712B7"/>
    <w:rsid w:val="00071ACE"/>
    <w:rsid w:val="00072939"/>
    <w:rsid w:val="000730DC"/>
    <w:rsid w:val="000731F4"/>
    <w:rsid w:val="000733C4"/>
    <w:rsid w:val="000738C2"/>
    <w:rsid w:val="00073D62"/>
    <w:rsid w:val="00074144"/>
    <w:rsid w:val="00074783"/>
    <w:rsid w:val="00074AA2"/>
    <w:rsid w:val="00074D52"/>
    <w:rsid w:val="00075393"/>
    <w:rsid w:val="000753DC"/>
    <w:rsid w:val="00075A6F"/>
    <w:rsid w:val="00075C2B"/>
    <w:rsid w:val="000760F0"/>
    <w:rsid w:val="0007611E"/>
    <w:rsid w:val="00076208"/>
    <w:rsid w:val="00077AFD"/>
    <w:rsid w:val="0008027C"/>
    <w:rsid w:val="0008070B"/>
    <w:rsid w:val="00080D13"/>
    <w:rsid w:val="000810AC"/>
    <w:rsid w:val="000810BE"/>
    <w:rsid w:val="0008187F"/>
    <w:rsid w:val="00081A02"/>
    <w:rsid w:val="00081FE4"/>
    <w:rsid w:val="00082166"/>
    <w:rsid w:val="00082231"/>
    <w:rsid w:val="0008263F"/>
    <w:rsid w:val="00082B02"/>
    <w:rsid w:val="00082BA0"/>
    <w:rsid w:val="00082D2F"/>
    <w:rsid w:val="000837A2"/>
    <w:rsid w:val="0008419D"/>
    <w:rsid w:val="00084294"/>
    <w:rsid w:val="00084452"/>
    <w:rsid w:val="0008457F"/>
    <w:rsid w:val="0008478F"/>
    <w:rsid w:val="00084991"/>
    <w:rsid w:val="000849DB"/>
    <w:rsid w:val="00084F6E"/>
    <w:rsid w:val="00084FAB"/>
    <w:rsid w:val="00086235"/>
    <w:rsid w:val="00086E63"/>
    <w:rsid w:val="000873D0"/>
    <w:rsid w:val="000873F1"/>
    <w:rsid w:val="00087622"/>
    <w:rsid w:val="000879DF"/>
    <w:rsid w:val="00087A81"/>
    <w:rsid w:val="00090900"/>
    <w:rsid w:val="00090B6E"/>
    <w:rsid w:val="00090EC4"/>
    <w:rsid w:val="000910BA"/>
    <w:rsid w:val="00091150"/>
    <w:rsid w:val="000911B8"/>
    <w:rsid w:val="000912D3"/>
    <w:rsid w:val="0009143A"/>
    <w:rsid w:val="00092A72"/>
    <w:rsid w:val="00092D38"/>
    <w:rsid w:val="00092F7F"/>
    <w:rsid w:val="00093220"/>
    <w:rsid w:val="0009338D"/>
    <w:rsid w:val="0009377B"/>
    <w:rsid w:val="000938F1"/>
    <w:rsid w:val="000941FD"/>
    <w:rsid w:val="00094627"/>
    <w:rsid w:val="0009535E"/>
    <w:rsid w:val="000955A8"/>
    <w:rsid w:val="00095B45"/>
    <w:rsid w:val="00095B8D"/>
    <w:rsid w:val="00095CA9"/>
    <w:rsid w:val="00095D29"/>
    <w:rsid w:val="00096951"/>
    <w:rsid w:val="00096B9B"/>
    <w:rsid w:val="00096BC7"/>
    <w:rsid w:val="00096D88"/>
    <w:rsid w:val="00096E93"/>
    <w:rsid w:val="000972FC"/>
    <w:rsid w:val="000974BF"/>
    <w:rsid w:val="000978D8"/>
    <w:rsid w:val="00097A23"/>
    <w:rsid w:val="00097DF6"/>
    <w:rsid w:val="000A04EB"/>
    <w:rsid w:val="000A05FF"/>
    <w:rsid w:val="000A060F"/>
    <w:rsid w:val="000A0628"/>
    <w:rsid w:val="000A128F"/>
    <w:rsid w:val="000A20C9"/>
    <w:rsid w:val="000A20E3"/>
    <w:rsid w:val="000A2C98"/>
    <w:rsid w:val="000A2EBF"/>
    <w:rsid w:val="000A2F72"/>
    <w:rsid w:val="000A3BCD"/>
    <w:rsid w:val="000A4359"/>
    <w:rsid w:val="000A47B2"/>
    <w:rsid w:val="000A4A52"/>
    <w:rsid w:val="000A4DA1"/>
    <w:rsid w:val="000A5905"/>
    <w:rsid w:val="000A5A4A"/>
    <w:rsid w:val="000A5F98"/>
    <w:rsid w:val="000A60DE"/>
    <w:rsid w:val="000A64BB"/>
    <w:rsid w:val="000A6D0F"/>
    <w:rsid w:val="000A705B"/>
    <w:rsid w:val="000A73F3"/>
    <w:rsid w:val="000A7B3F"/>
    <w:rsid w:val="000B058F"/>
    <w:rsid w:val="000B0CF0"/>
    <w:rsid w:val="000B121B"/>
    <w:rsid w:val="000B1491"/>
    <w:rsid w:val="000B19E8"/>
    <w:rsid w:val="000B1ABC"/>
    <w:rsid w:val="000B2529"/>
    <w:rsid w:val="000B2AF9"/>
    <w:rsid w:val="000B2B1E"/>
    <w:rsid w:val="000B2FF1"/>
    <w:rsid w:val="000B302C"/>
    <w:rsid w:val="000B31F9"/>
    <w:rsid w:val="000B33F3"/>
    <w:rsid w:val="000B3C37"/>
    <w:rsid w:val="000B4263"/>
    <w:rsid w:val="000B4467"/>
    <w:rsid w:val="000B4A20"/>
    <w:rsid w:val="000B4DB9"/>
    <w:rsid w:val="000B4ED0"/>
    <w:rsid w:val="000B5123"/>
    <w:rsid w:val="000B5151"/>
    <w:rsid w:val="000B5546"/>
    <w:rsid w:val="000B59EE"/>
    <w:rsid w:val="000B5D29"/>
    <w:rsid w:val="000B66D4"/>
    <w:rsid w:val="000B684A"/>
    <w:rsid w:val="000B6A59"/>
    <w:rsid w:val="000B6AB4"/>
    <w:rsid w:val="000B6FCA"/>
    <w:rsid w:val="000B79C7"/>
    <w:rsid w:val="000B7D77"/>
    <w:rsid w:val="000C01C7"/>
    <w:rsid w:val="000C09AC"/>
    <w:rsid w:val="000C12D3"/>
    <w:rsid w:val="000C13D0"/>
    <w:rsid w:val="000C1937"/>
    <w:rsid w:val="000C1DB1"/>
    <w:rsid w:val="000C21BD"/>
    <w:rsid w:val="000C232D"/>
    <w:rsid w:val="000C2454"/>
    <w:rsid w:val="000C296F"/>
    <w:rsid w:val="000C29E2"/>
    <w:rsid w:val="000C30B8"/>
    <w:rsid w:val="000C3353"/>
    <w:rsid w:val="000C393F"/>
    <w:rsid w:val="000C3D17"/>
    <w:rsid w:val="000C4910"/>
    <w:rsid w:val="000C4C7B"/>
    <w:rsid w:val="000C4E2E"/>
    <w:rsid w:val="000C5174"/>
    <w:rsid w:val="000C532B"/>
    <w:rsid w:val="000C5356"/>
    <w:rsid w:val="000C53F7"/>
    <w:rsid w:val="000C54E5"/>
    <w:rsid w:val="000C5565"/>
    <w:rsid w:val="000C597A"/>
    <w:rsid w:val="000C598B"/>
    <w:rsid w:val="000C5BAD"/>
    <w:rsid w:val="000C5E9B"/>
    <w:rsid w:val="000C5F1A"/>
    <w:rsid w:val="000C5F8E"/>
    <w:rsid w:val="000C66FB"/>
    <w:rsid w:val="000C6EFD"/>
    <w:rsid w:val="000C7268"/>
    <w:rsid w:val="000C767F"/>
    <w:rsid w:val="000C76ED"/>
    <w:rsid w:val="000C792C"/>
    <w:rsid w:val="000C7CA7"/>
    <w:rsid w:val="000C7CD5"/>
    <w:rsid w:val="000D0C00"/>
    <w:rsid w:val="000D177B"/>
    <w:rsid w:val="000D1C7B"/>
    <w:rsid w:val="000D2566"/>
    <w:rsid w:val="000D2D2F"/>
    <w:rsid w:val="000D2E70"/>
    <w:rsid w:val="000D2EB3"/>
    <w:rsid w:val="000D30A7"/>
    <w:rsid w:val="000D3931"/>
    <w:rsid w:val="000D3E37"/>
    <w:rsid w:val="000D41AE"/>
    <w:rsid w:val="000D4682"/>
    <w:rsid w:val="000D4926"/>
    <w:rsid w:val="000D493D"/>
    <w:rsid w:val="000D4C2C"/>
    <w:rsid w:val="000D4C33"/>
    <w:rsid w:val="000D543F"/>
    <w:rsid w:val="000D54DC"/>
    <w:rsid w:val="000D5889"/>
    <w:rsid w:val="000D5A44"/>
    <w:rsid w:val="000D5C1F"/>
    <w:rsid w:val="000D6559"/>
    <w:rsid w:val="000D65DE"/>
    <w:rsid w:val="000D6902"/>
    <w:rsid w:val="000D6AD0"/>
    <w:rsid w:val="000D72DF"/>
    <w:rsid w:val="000D74BF"/>
    <w:rsid w:val="000D787C"/>
    <w:rsid w:val="000D7B94"/>
    <w:rsid w:val="000D7BF9"/>
    <w:rsid w:val="000E0A23"/>
    <w:rsid w:val="000E0B4C"/>
    <w:rsid w:val="000E1557"/>
    <w:rsid w:val="000E1615"/>
    <w:rsid w:val="000E1828"/>
    <w:rsid w:val="000E1ADA"/>
    <w:rsid w:val="000E1BC4"/>
    <w:rsid w:val="000E1F86"/>
    <w:rsid w:val="000E24AD"/>
    <w:rsid w:val="000E29D9"/>
    <w:rsid w:val="000E2EF3"/>
    <w:rsid w:val="000E33B7"/>
    <w:rsid w:val="000E36CA"/>
    <w:rsid w:val="000E377D"/>
    <w:rsid w:val="000E3ED2"/>
    <w:rsid w:val="000E4549"/>
    <w:rsid w:val="000E4E81"/>
    <w:rsid w:val="000E5226"/>
    <w:rsid w:val="000E5265"/>
    <w:rsid w:val="000E5582"/>
    <w:rsid w:val="000E55E5"/>
    <w:rsid w:val="000E588E"/>
    <w:rsid w:val="000E5E75"/>
    <w:rsid w:val="000E612A"/>
    <w:rsid w:val="000E6FBC"/>
    <w:rsid w:val="000E6FFA"/>
    <w:rsid w:val="000E7155"/>
    <w:rsid w:val="000E7229"/>
    <w:rsid w:val="000E7331"/>
    <w:rsid w:val="000E78BF"/>
    <w:rsid w:val="000E7E58"/>
    <w:rsid w:val="000F01A1"/>
    <w:rsid w:val="000F04D9"/>
    <w:rsid w:val="000F0C41"/>
    <w:rsid w:val="000F0DFD"/>
    <w:rsid w:val="000F109D"/>
    <w:rsid w:val="000F10F7"/>
    <w:rsid w:val="000F1280"/>
    <w:rsid w:val="000F15F4"/>
    <w:rsid w:val="000F17C7"/>
    <w:rsid w:val="000F1925"/>
    <w:rsid w:val="000F1D1C"/>
    <w:rsid w:val="000F2660"/>
    <w:rsid w:val="000F2733"/>
    <w:rsid w:val="000F36C1"/>
    <w:rsid w:val="000F378C"/>
    <w:rsid w:val="000F43F3"/>
    <w:rsid w:val="000F49AC"/>
    <w:rsid w:val="000F642C"/>
    <w:rsid w:val="000F67FC"/>
    <w:rsid w:val="000F6C71"/>
    <w:rsid w:val="000F6C9C"/>
    <w:rsid w:val="000F7362"/>
    <w:rsid w:val="000F771F"/>
    <w:rsid w:val="000F77EE"/>
    <w:rsid w:val="000F7CB2"/>
    <w:rsid w:val="000F7EB5"/>
    <w:rsid w:val="000F7FFE"/>
    <w:rsid w:val="001005DA"/>
    <w:rsid w:val="00100AFF"/>
    <w:rsid w:val="00100E04"/>
    <w:rsid w:val="0010155A"/>
    <w:rsid w:val="0010158E"/>
    <w:rsid w:val="0010171A"/>
    <w:rsid w:val="00101BF6"/>
    <w:rsid w:val="00102377"/>
    <w:rsid w:val="00102DEB"/>
    <w:rsid w:val="001031A0"/>
    <w:rsid w:val="00103642"/>
    <w:rsid w:val="00103CFC"/>
    <w:rsid w:val="00103F5F"/>
    <w:rsid w:val="0010414F"/>
    <w:rsid w:val="00104201"/>
    <w:rsid w:val="00104226"/>
    <w:rsid w:val="001045D4"/>
    <w:rsid w:val="0010470B"/>
    <w:rsid w:val="00104FD0"/>
    <w:rsid w:val="00105132"/>
    <w:rsid w:val="001051E3"/>
    <w:rsid w:val="00106175"/>
    <w:rsid w:val="0010640A"/>
    <w:rsid w:val="001101A9"/>
    <w:rsid w:val="001109A7"/>
    <w:rsid w:val="0011142F"/>
    <w:rsid w:val="00111B15"/>
    <w:rsid w:val="00111D37"/>
    <w:rsid w:val="00111E10"/>
    <w:rsid w:val="00112139"/>
    <w:rsid w:val="001121FF"/>
    <w:rsid w:val="0011289A"/>
    <w:rsid w:val="001129B0"/>
    <w:rsid w:val="00112CC4"/>
    <w:rsid w:val="00112E2F"/>
    <w:rsid w:val="00112F86"/>
    <w:rsid w:val="00113ACB"/>
    <w:rsid w:val="00113B03"/>
    <w:rsid w:val="00113B33"/>
    <w:rsid w:val="00113FCD"/>
    <w:rsid w:val="0011412C"/>
    <w:rsid w:val="00114634"/>
    <w:rsid w:val="001148AF"/>
    <w:rsid w:val="001155F1"/>
    <w:rsid w:val="00115B82"/>
    <w:rsid w:val="00115CFC"/>
    <w:rsid w:val="00115E53"/>
    <w:rsid w:val="0011633F"/>
    <w:rsid w:val="0011636C"/>
    <w:rsid w:val="0011663D"/>
    <w:rsid w:val="0011688B"/>
    <w:rsid w:val="00116C8B"/>
    <w:rsid w:val="001176F6"/>
    <w:rsid w:val="00117912"/>
    <w:rsid w:val="00117BCC"/>
    <w:rsid w:val="00117CB5"/>
    <w:rsid w:val="00117E80"/>
    <w:rsid w:val="00117F32"/>
    <w:rsid w:val="0012027D"/>
    <w:rsid w:val="001204B4"/>
    <w:rsid w:val="00121D1E"/>
    <w:rsid w:val="00122015"/>
    <w:rsid w:val="00122269"/>
    <w:rsid w:val="0012254F"/>
    <w:rsid w:val="00122750"/>
    <w:rsid w:val="00123004"/>
    <w:rsid w:val="001235AE"/>
    <w:rsid w:val="001238C0"/>
    <w:rsid w:val="00123CEF"/>
    <w:rsid w:val="00123E5F"/>
    <w:rsid w:val="00124217"/>
    <w:rsid w:val="001243F3"/>
    <w:rsid w:val="00124785"/>
    <w:rsid w:val="001248CE"/>
    <w:rsid w:val="00124A51"/>
    <w:rsid w:val="00124A84"/>
    <w:rsid w:val="00125798"/>
    <w:rsid w:val="0012585C"/>
    <w:rsid w:val="0012586E"/>
    <w:rsid w:val="0012622E"/>
    <w:rsid w:val="001267FB"/>
    <w:rsid w:val="00126AA4"/>
    <w:rsid w:val="00127855"/>
    <w:rsid w:val="001278B0"/>
    <w:rsid w:val="001307D7"/>
    <w:rsid w:val="00131D58"/>
    <w:rsid w:val="00131E46"/>
    <w:rsid w:val="00131F42"/>
    <w:rsid w:val="00132029"/>
    <w:rsid w:val="00132839"/>
    <w:rsid w:val="00132A32"/>
    <w:rsid w:val="00132B28"/>
    <w:rsid w:val="001334AD"/>
    <w:rsid w:val="0013357C"/>
    <w:rsid w:val="00133A3C"/>
    <w:rsid w:val="00133CC4"/>
    <w:rsid w:val="00133DE8"/>
    <w:rsid w:val="00133FBF"/>
    <w:rsid w:val="001340B0"/>
    <w:rsid w:val="001342FE"/>
    <w:rsid w:val="00134590"/>
    <w:rsid w:val="001352D0"/>
    <w:rsid w:val="00135636"/>
    <w:rsid w:val="001357F1"/>
    <w:rsid w:val="001361EF"/>
    <w:rsid w:val="001366EA"/>
    <w:rsid w:val="0014022D"/>
    <w:rsid w:val="00140528"/>
    <w:rsid w:val="001407D7"/>
    <w:rsid w:val="00140D09"/>
    <w:rsid w:val="00140FA8"/>
    <w:rsid w:val="0014156B"/>
    <w:rsid w:val="0014163F"/>
    <w:rsid w:val="00142160"/>
    <w:rsid w:val="00142B6C"/>
    <w:rsid w:val="00142C63"/>
    <w:rsid w:val="00142D85"/>
    <w:rsid w:val="00142E32"/>
    <w:rsid w:val="00142FEB"/>
    <w:rsid w:val="001430F3"/>
    <w:rsid w:val="001436CD"/>
    <w:rsid w:val="001436E1"/>
    <w:rsid w:val="00143A2D"/>
    <w:rsid w:val="00143E53"/>
    <w:rsid w:val="00143E66"/>
    <w:rsid w:val="00144435"/>
    <w:rsid w:val="00144441"/>
    <w:rsid w:val="001449B9"/>
    <w:rsid w:val="001449BC"/>
    <w:rsid w:val="001452B4"/>
    <w:rsid w:val="0014544A"/>
    <w:rsid w:val="00145A41"/>
    <w:rsid w:val="00145C59"/>
    <w:rsid w:val="0014607F"/>
    <w:rsid w:val="00147145"/>
    <w:rsid w:val="0014730A"/>
    <w:rsid w:val="001476DA"/>
    <w:rsid w:val="00147ACE"/>
    <w:rsid w:val="00147ED9"/>
    <w:rsid w:val="00150058"/>
    <w:rsid w:val="00150069"/>
    <w:rsid w:val="0015089D"/>
    <w:rsid w:val="00150AC6"/>
    <w:rsid w:val="00150E52"/>
    <w:rsid w:val="00150F59"/>
    <w:rsid w:val="001513DE"/>
    <w:rsid w:val="00151675"/>
    <w:rsid w:val="001518AE"/>
    <w:rsid w:val="0015197D"/>
    <w:rsid w:val="0015247B"/>
    <w:rsid w:val="001529FD"/>
    <w:rsid w:val="00152C2D"/>
    <w:rsid w:val="00152D2B"/>
    <w:rsid w:val="00153074"/>
    <w:rsid w:val="00153910"/>
    <w:rsid w:val="00153931"/>
    <w:rsid w:val="00153C84"/>
    <w:rsid w:val="00153EFD"/>
    <w:rsid w:val="001540F4"/>
    <w:rsid w:val="0015430B"/>
    <w:rsid w:val="0015434B"/>
    <w:rsid w:val="001548F9"/>
    <w:rsid w:val="0015496F"/>
    <w:rsid w:val="00154F9B"/>
    <w:rsid w:val="001550BA"/>
    <w:rsid w:val="00155231"/>
    <w:rsid w:val="00155493"/>
    <w:rsid w:val="0015594C"/>
    <w:rsid w:val="00155CD4"/>
    <w:rsid w:val="0015615B"/>
    <w:rsid w:val="00156432"/>
    <w:rsid w:val="00156544"/>
    <w:rsid w:val="00156C66"/>
    <w:rsid w:val="00156DFE"/>
    <w:rsid w:val="00156E41"/>
    <w:rsid w:val="001570BC"/>
    <w:rsid w:val="00157435"/>
    <w:rsid w:val="0015771C"/>
    <w:rsid w:val="001577FC"/>
    <w:rsid w:val="001603AA"/>
    <w:rsid w:val="0016062E"/>
    <w:rsid w:val="001608C1"/>
    <w:rsid w:val="001611D8"/>
    <w:rsid w:val="001612A3"/>
    <w:rsid w:val="00161697"/>
    <w:rsid w:val="00161B13"/>
    <w:rsid w:val="00161EE1"/>
    <w:rsid w:val="00162269"/>
    <w:rsid w:val="0016240E"/>
    <w:rsid w:val="00162CBD"/>
    <w:rsid w:val="00162DCC"/>
    <w:rsid w:val="001630D9"/>
    <w:rsid w:val="0016326B"/>
    <w:rsid w:val="00163555"/>
    <w:rsid w:val="00163EAA"/>
    <w:rsid w:val="00164A0F"/>
    <w:rsid w:val="00164AEF"/>
    <w:rsid w:val="00164F85"/>
    <w:rsid w:val="001651E0"/>
    <w:rsid w:val="0016543E"/>
    <w:rsid w:val="00165A88"/>
    <w:rsid w:val="00165BBD"/>
    <w:rsid w:val="00165D6D"/>
    <w:rsid w:val="00166281"/>
    <w:rsid w:val="0016651B"/>
    <w:rsid w:val="0016678D"/>
    <w:rsid w:val="00166833"/>
    <w:rsid w:val="0016703A"/>
    <w:rsid w:val="0016767A"/>
    <w:rsid w:val="00170C22"/>
    <w:rsid w:val="00170FE1"/>
    <w:rsid w:val="00171F4F"/>
    <w:rsid w:val="00172178"/>
    <w:rsid w:val="0017291F"/>
    <w:rsid w:val="00172A5E"/>
    <w:rsid w:val="00172A66"/>
    <w:rsid w:val="00172AB6"/>
    <w:rsid w:val="00172B45"/>
    <w:rsid w:val="00172BAA"/>
    <w:rsid w:val="0017318C"/>
    <w:rsid w:val="00173293"/>
    <w:rsid w:val="001733F9"/>
    <w:rsid w:val="00173405"/>
    <w:rsid w:val="0017355F"/>
    <w:rsid w:val="00173765"/>
    <w:rsid w:val="001737B3"/>
    <w:rsid w:val="00174002"/>
    <w:rsid w:val="001743A5"/>
    <w:rsid w:val="001746F5"/>
    <w:rsid w:val="0017504D"/>
    <w:rsid w:val="001755D9"/>
    <w:rsid w:val="00175675"/>
    <w:rsid w:val="00175924"/>
    <w:rsid w:val="00175A17"/>
    <w:rsid w:val="00175B69"/>
    <w:rsid w:val="00175EE2"/>
    <w:rsid w:val="0017671A"/>
    <w:rsid w:val="00176861"/>
    <w:rsid w:val="00176901"/>
    <w:rsid w:val="001769F7"/>
    <w:rsid w:val="00177079"/>
    <w:rsid w:val="0017707A"/>
    <w:rsid w:val="00177369"/>
    <w:rsid w:val="00177422"/>
    <w:rsid w:val="001775B4"/>
    <w:rsid w:val="00180A5A"/>
    <w:rsid w:val="001811C7"/>
    <w:rsid w:val="00181B64"/>
    <w:rsid w:val="00181F4A"/>
    <w:rsid w:val="00182C4B"/>
    <w:rsid w:val="00182D39"/>
    <w:rsid w:val="00182E72"/>
    <w:rsid w:val="0018324B"/>
    <w:rsid w:val="00183301"/>
    <w:rsid w:val="00183852"/>
    <w:rsid w:val="00183E50"/>
    <w:rsid w:val="0018418A"/>
    <w:rsid w:val="001841D2"/>
    <w:rsid w:val="00184350"/>
    <w:rsid w:val="00184590"/>
    <w:rsid w:val="00184AD9"/>
    <w:rsid w:val="00184F72"/>
    <w:rsid w:val="00185838"/>
    <w:rsid w:val="001862D9"/>
    <w:rsid w:val="001865D8"/>
    <w:rsid w:val="00186B08"/>
    <w:rsid w:val="001870CD"/>
    <w:rsid w:val="001870D1"/>
    <w:rsid w:val="00187265"/>
    <w:rsid w:val="0018754F"/>
    <w:rsid w:val="00187577"/>
    <w:rsid w:val="001875E8"/>
    <w:rsid w:val="00187728"/>
    <w:rsid w:val="0018781E"/>
    <w:rsid w:val="00187E9A"/>
    <w:rsid w:val="00187F4F"/>
    <w:rsid w:val="00190185"/>
    <w:rsid w:val="001908D8"/>
    <w:rsid w:val="00190E76"/>
    <w:rsid w:val="0019171E"/>
    <w:rsid w:val="0019205E"/>
    <w:rsid w:val="001920CB"/>
    <w:rsid w:val="0019262D"/>
    <w:rsid w:val="001928CE"/>
    <w:rsid w:val="00192D6C"/>
    <w:rsid w:val="00193369"/>
    <w:rsid w:val="001933B5"/>
    <w:rsid w:val="0019427E"/>
    <w:rsid w:val="00194936"/>
    <w:rsid w:val="00194EA8"/>
    <w:rsid w:val="0019581A"/>
    <w:rsid w:val="001963AC"/>
    <w:rsid w:val="001967BC"/>
    <w:rsid w:val="00196A82"/>
    <w:rsid w:val="00196DB5"/>
    <w:rsid w:val="001970EC"/>
    <w:rsid w:val="0019737F"/>
    <w:rsid w:val="00197B1C"/>
    <w:rsid w:val="001A0160"/>
    <w:rsid w:val="001A01C6"/>
    <w:rsid w:val="001A0555"/>
    <w:rsid w:val="001A0DBE"/>
    <w:rsid w:val="001A0F25"/>
    <w:rsid w:val="001A1297"/>
    <w:rsid w:val="001A1B23"/>
    <w:rsid w:val="001A1B35"/>
    <w:rsid w:val="001A1D73"/>
    <w:rsid w:val="001A218B"/>
    <w:rsid w:val="001A2340"/>
    <w:rsid w:val="001A2347"/>
    <w:rsid w:val="001A2607"/>
    <w:rsid w:val="001A286B"/>
    <w:rsid w:val="001A294E"/>
    <w:rsid w:val="001A2D3B"/>
    <w:rsid w:val="001A2DCB"/>
    <w:rsid w:val="001A37AF"/>
    <w:rsid w:val="001A46BE"/>
    <w:rsid w:val="001A480C"/>
    <w:rsid w:val="001A48A2"/>
    <w:rsid w:val="001A49C8"/>
    <w:rsid w:val="001A4CE9"/>
    <w:rsid w:val="001A4F9B"/>
    <w:rsid w:val="001A501D"/>
    <w:rsid w:val="001A50A7"/>
    <w:rsid w:val="001A51C5"/>
    <w:rsid w:val="001A559A"/>
    <w:rsid w:val="001A593C"/>
    <w:rsid w:val="001A5D70"/>
    <w:rsid w:val="001A647E"/>
    <w:rsid w:val="001A6687"/>
    <w:rsid w:val="001A6C4F"/>
    <w:rsid w:val="001A6F61"/>
    <w:rsid w:val="001A7B44"/>
    <w:rsid w:val="001A7C18"/>
    <w:rsid w:val="001B03FF"/>
    <w:rsid w:val="001B0AA2"/>
    <w:rsid w:val="001B0C29"/>
    <w:rsid w:val="001B0E7A"/>
    <w:rsid w:val="001B0FE8"/>
    <w:rsid w:val="001B12A3"/>
    <w:rsid w:val="001B178F"/>
    <w:rsid w:val="001B2182"/>
    <w:rsid w:val="001B272E"/>
    <w:rsid w:val="001B2A6A"/>
    <w:rsid w:val="001B2C46"/>
    <w:rsid w:val="001B2EB5"/>
    <w:rsid w:val="001B2FF4"/>
    <w:rsid w:val="001B3538"/>
    <w:rsid w:val="001B358A"/>
    <w:rsid w:val="001B3E7E"/>
    <w:rsid w:val="001B4042"/>
    <w:rsid w:val="001B44E2"/>
    <w:rsid w:val="001B4BBA"/>
    <w:rsid w:val="001B4D95"/>
    <w:rsid w:val="001B4EEE"/>
    <w:rsid w:val="001B5A9E"/>
    <w:rsid w:val="001B650B"/>
    <w:rsid w:val="001B6768"/>
    <w:rsid w:val="001B678D"/>
    <w:rsid w:val="001B6797"/>
    <w:rsid w:val="001B67D6"/>
    <w:rsid w:val="001B69ED"/>
    <w:rsid w:val="001B6A66"/>
    <w:rsid w:val="001B6C01"/>
    <w:rsid w:val="001B6C0F"/>
    <w:rsid w:val="001B6EAD"/>
    <w:rsid w:val="001B72B8"/>
    <w:rsid w:val="001B7580"/>
    <w:rsid w:val="001B7831"/>
    <w:rsid w:val="001B7851"/>
    <w:rsid w:val="001B7FD9"/>
    <w:rsid w:val="001C0489"/>
    <w:rsid w:val="001C07A5"/>
    <w:rsid w:val="001C091D"/>
    <w:rsid w:val="001C0A65"/>
    <w:rsid w:val="001C0CFA"/>
    <w:rsid w:val="001C0D0D"/>
    <w:rsid w:val="001C1B9F"/>
    <w:rsid w:val="001C1CD1"/>
    <w:rsid w:val="001C1D9D"/>
    <w:rsid w:val="001C2625"/>
    <w:rsid w:val="001C34D9"/>
    <w:rsid w:val="001C375D"/>
    <w:rsid w:val="001C3920"/>
    <w:rsid w:val="001C3A18"/>
    <w:rsid w:val="001C3E2B"/>
    <w:rsid w:val="001C40F2"/>
    <w:rsid w:val="001C41EF"/>
    <w:rsid w:val="001C4DFD"/>
    <w:rsid w:val="001C5062"/>
    <w:rsid w:val="001C5633"/>
    <w:rsid w:val="001C5998"/>
    <w:rsid w:val="001C5D4D"/>
    <w:rsid w:val="001C5D9C"/>
    <w:rsid w:val="001C5E5A"/>
    <w:rsid w:val="001C5ED7"/>
    <w:rsid w:val="001C6516"/>
    <w:rsid w:val="001C6952"/>
    <w:rsid w:val="001C69B3"/>
    <w:rsid w:val="001C6D9F"/>
    <w:rsid w:val="001C6F57"/>
    <w:rsid w:val="001C738F"/>
    <w:rsid w:val="001C7554"/>
    <w:rsid w:val="001C75B4"/>
    <w:rsid w:val="001C7A13"/>
    <w:rsid w:val="001C7D81"/>
    <w:rsid w:val="001D01B2"/>
    <w:rsid w:val="001D05D1"/>
    <w:rsid w:val="001D098F"/>
    <w:rsid w:val="001D0C3C"/>
    <w:rsid w:val="001D107D"/>
    <w:rsid w:val="001D124B"/>
    <w:rsid w:val="001D1B40"/>
    <w:rsid w:val="001D1BB8"/>
    <w:rsid w:val="001D1E0E"/>
    <w:rsid w:val="001D22AF"/>
    <w:rsid w:val="001D24AC"/>
    <w:rsid w:val="001D280C"/>
    <w:rsid w:val="001D28A7"/>
    <w:rsid w:val="001D295A"/>
    <w:rsid w:val="001D2B78"/>
    <w:rsid w:val="001D2D0A"/>
    <w:rsid w:val="001D2DE0"/>
    <w:rsid w:val="001D2F20"/>
    <w:rsid w:val="001D31F5"/>
    <w:rsid w:val="001D32BA"/>
    <w:rsid w:val="001D37FA"/>
    <w:rsid w:val="001D39A8"/>
    <w:rsid w:val="001D4149"/>
    <w:rsid w:val="001D44EF"/>
    <w:rsid w:val="001D4692"/>
    <w:rsid w:val="001D48C1"/>
    <w:rsid w:val="001D4929"/>
    <w:rsid w:val="001D4A1C"/>
    <w:rsid w:val="001D51BC"/>
    <w:rsid w:val="001D53BA"/>
    <w:rsid w:val="001D556C"/>
    <w:rsid w:val="001D5595"/>
    <w:rsid w:val="001D5C51"/>
    <w:rsid w:val="001D5E55"/>
    <w:rsid w:val="001D5F78"/>
    <w:rsid w:val="001D60EE"/>
    <w:rsid w:val="001D6761"/>
    <w:rsid w:val="001D6A08"/>
    <w:rsid w:val="001D6A1B"/>
    <w:rsid w:val="001D7222"/>
    <w:rsid w:val="001D76DF"/>
    <w:rsid w:val="001D7814"/>
    <w:rsid w:val="001D7827"/>
    <w:rsid w:val="001D7874"/>
    <w:rsid w:val="001D7A18"/>
    <w:rsid w:val="001D7F22"/>
    <w:rsid w:val="001E088C"/>
    <w:rsid w:val="001E0963"/>
    <w:rsid w:val="001E0ED7"/>
    <w:rsid w:val="001E1571"/>
    <w:rsid w:val="001E1760"/>
    <w:rsid w:val="001E1BD7"/>
    <w:rsid w:val="001E1E39"/>
    <w:rsid w:val="001E1EE3"/>
    <w:rsid w:val="001E2401"/>
    <w:rsid w:val="001E283C"/>
    <w:rsid w:val="001E2D86"/>
    <w:rsid w:val="001E2FDD"/>
    <w:rsid w:val="001E324B"/>
    <w:rsid w:val="001E372F"/>
    <w:rsid w:val="001E3941"/>
    <w:rsid w:val="001E3AD4"/>
    <w:rsid w:val="001E41FF"/>
    <w:rsid w:val="001E4275"/>
    <w:rsid w:val="001E485D"/>
    <w:rsid w:val="001E498E"/>
    <w:rsid w:val="001E6137"/>
    <w:rsid w:val="001E61CD"/>
    <w:rsid w:val="001E63DC"/>
    <w:rsid w:val="001E6C0A"/>
    <w:rsid w:val="001E6E65"/>
    <w:rsid w:val="001E70F1"/>
    <w:rsid w:val="001E7354"/>
    <w:rsid w:val="001E7853"/>
    <w:rsid w:val="001E7982"/>
    <w:rsid w:val="001F0309"/>
    <w:rsid w:val="001F0D2A"/>
    <w:rsid w:val="001F0F17"/>
    <w:rsid w:val="001F0F30"/>
    <w:rsid w:val="001F2899"/>
    <w:rsid w:val="001F3347"/>
    <w:rsid w:val="001F33B4"/>
    <w:rsid w:val="001F3539"/>
    <w:rsid w:val="001F3618"/>
    <w:rsid w:val="001F3A0E"/>
    <w:rsid w:val="001F3DB2"/>
    <w:rsid w:val="001F42EF"/>
    <w:rsid w:val="001F4326"/>
    <w:rsid w:val="001F4434"/>
    <w:rsid w:val="001F46A4"/>
    <w:rsid w:val="001F4C5C"/>
    <w:rsid w:val="001F50CA"/>
    <w:rsid w:val="001F523D"/>
    <w:rsid w:val="001F592C"/>
    <w:rsid w:val="001F5A0F"/>
    <w:rsid w:val="001F5D91"/>
    <w:rsid w:val="001F6004"/>
    <w:rsid w:val="001F69E4"/>
    <w:rsid w:val="001F6BAE"/>
    <w:rsid w:val="001F6CEE"/>
    <w:rsid w:val="001F6CF5"/>
    <w:rsid w:val="001F6F2E"/>
    <w:rsid w:val="001F7424"/>
    <w:rsid w:val="001F78E0"/>
    <w:rsid w:val="001F791B"/>
    <w:rsid w:val="002000E7"/>
    <w:rsid w:val="00200177"/>
    <w:rsid w:val="00200379"/>
    <w:rsid w:val="00200AE9"/>
    <w:rsid w:val="00200C68"/>
    <w:rsid w:val="00200F64"/>
    <w:rsid w:val="002012B2"/>
    <w:rsid w:val="002014AA"/>
    <w:rsid w:val="002016CF"/>
    <w:rsid w:val="00201A2D"/>
    <w:rsid w:val="00201C80"/>
    <w:rsid w:val="00201FAF"/>
    <w:rsid w:val="002025B4"/>
    <w:rsid w:val="002028C2"/>
    <w:rsid w:val="00202F45"/>
    <w:rsid w:val="002030BC"/>
    <w:rsid w:val="002030E0"/>
    <w:rsid w:val="0020335A"/>
    <w:rsid w:val="002035B5"/>
    <w:rsid w:val="00203927"/>
    <w:rsid w:val="00203A54"/>
    <w:rsid w:val="00203EDF"/>
    <w:rsid w:val="00204C9D"/>
    <w:rsid w:val="00204CD1"/>
    <w:rsid w:val="00204E04"/>
    <w:rsid w:val="00205DCC"/>
    <w:rsid w:val="00205E69"/>
    <w:rsid w:val="00206DE2"/>
    <w:rsid w:val="002070BA"/>
    <w:rsid w:val="002079E5"/>
    <w:rsid w:val="00207A8E"/>
    <w:rsid w:val="002101A3"/>
    <w:rsid w:val="00210884"/>
    <w:rsid w:val="00211964"/>
    <w:rsid w:val="00211D4C"/>
    <w:rsid w:val="00212121"/>
    <w:rsid w:val="002125B4"/>
    <w:rsid w:val="00212A6C"/>
    <w:rsid w:val="00212E87"/>
    <w:rsid w:val="002131E1"/>
    <w:rsid w:val="00213263"/>
    <w:rsid w:val="0021358B"/>
    <w:rsid w:val="002135B7"/>
    <w:rsid w:val="002136B0"/>
    <w:rsid w:val="00213777"/>
    <w:rsid w:val="00213D11"/>
    <w:rsid w:val="00214392"/>
    <w:rsid w:val="0021475B"/>
    <w:rsid w:val="00214E52"/>
    <w:rsid w:val="00214ECF"/>
    <w:rsid w:val="002155B8"/>
    <w:rsid w:val="0021575C"/>
    <w:rsid w:val="00216F07"/>
    <w:rsid w:val="00216FB3"/>
    <w:rsid w:val="00217B61"/>
    <w:rsid w:val="00217BAC"/>
    <w:rsid w:val="00217C88"/>
    <w:rsid w:val="00217EE5"/>
    <w:rsid w:val="002209C8"/>
    <w:rsid w:val="00220E56"/>
    <w:rsid w:val="0022146B"/>
    <w:rsid w:val="00222115"/>
    <w:rsid w:val="002221C2"/>
    <w:rsid w:val="00222539"/>
    <w:rsid w:val="00222A50"/>
    <w:rsid w:val="00222D83"/>
    <w:rsid w:val="00222EC3"/>
    <w:rsid w:val="00222F61"/>
    <w:rsid w:val="00223221"/>
    <w:rsid w:val="00223367"/>
    <w:rsid w:val="00223465"/>
    <w:rsid w:val="00223DED"/>
    <w:rsid w:val="00223E88"/>
    <w:rsid w:val="00223F3C"/>
    <w:rsid w:val="00224200"/>
    <w:rsid w:val="00224429"/>
    <w:rsid w:val="00224839"/>
    <w:rsid w:val="002249B2"/>
    <w:rsid w:val="0022506A"/>
    <w:rsid w:val="0022518B"/>
    <w:rsid w:val="0022578C"/>
    <w:rsid w:val="0022582F"/>
    <w:rsid w:val="00225A5A"/>
    <w:rsid w:val="00226156"/>
    <w:rsid w:val="00226493"/>
    <w:rsid w:val="00226574"/>
    <w:rsid w:val="00226A35"/>
    <w:rsid w:val="00226BA4"/>
    <w:rsid w:val="00226CEA"/>
    <w:rsid w:val="00227404"/>
    <w:rsid w:val="002278EC"/>
    <w:rsid w:val="002279AD"/>
    <w:rsid w:val="00227D98"/>
    <w:rsid w:val="00227E7F"/>
    <w:rsid w:val="002300AD"/>
    <w:rsid w:val="002308AF"/>
    <w:rsid w:val="00231980"/>
    <w:rsid w:val="00231ABF"/>
    <w:rsid w:val="00231E13"/>
    <w:rsid w:val="00232262"/>
    <w:rsid w:val="0023235E"/>
    <w:rsid w:val="0023249F"/>
    <w:rsid w:val="00232505"/>
    <w:rsid w:val="0023280E"/>
    <w:rsid w:val="00232AD7"/>
    <w:rsid w:val="00232D9F"/>
    <w:rsid w:val="00232E9C"/>
    <w:rsid w:val="002332BF"/>
    <w:rsid w:val="002332D6"/>
    <w:rsid w:val="00233760"/>
    <w:rsid w:val="002342E2"/>
    <w:rsid w:val="0023477D"/>
    <w:rsid w:val="0023482B"/>
    <w:rsid w:val="0023496A"/>
    <w:rsid w:val="00234E6D"/>
    <w:rsid w:val="00235055"/>
    <w:rsid w:val="00235401"/>
    <w:rsid w:val="0023540F"/>
    <w:rsid w:val="00235DB5"/>
    <w:rsid w:val="00235EC1"/>
    <w:rsid w:val="00236096"/>
    <w:rsid w:val="002364B7"/>
    <w:rsid w:val="0023665D"/>
    <w:rsid w:val="00236971"/>
    <w:rsid w:val="00236A0E"/>
    <w:rsid w:val="00236FF7"/>
    <w:rsid w:val="00237018"/>
    <w:rsid w:val="002370E0"/>
    <w:rsid w:val="0023747F"/>
    <w:rsid w:val="0023779F"/>
    <w:rsid w:val="002377D1"/>
    <w:rsid w:val="002379EB"/>
    <w:rsid w:val="00237ED8"/>
    <w:rsid w:val="00237F73"/>
    <w:rsid w:val="0024040A"/>
    <w:rsid w:val="00240704"/>
    <w:rsid w:val="00240872"/>
    <w:rsid w:val="00240BD6"/>
    <w:rsid w:val="00240EF2"/>
    <w:rsid w:val="00240F2A"/>
    <w:rsid w:val="00241148"/>
    <w:rsid w:val="0024125D"/>
    <w:rsid w:val="0024176D"/>
    <w:rsid w:val="00241BAE"/>
    <w:rsid w:val="00241C40"/>
    <w:rsid w:val="002421DC"/>
    <w:rsid w:val="002422AE"/>
    <w:rsid w:val="002425A0"/>
    <w:rsid w:val="0024294C"/>
    <w:rsid w:val="00244294"/>
    <w:rsid w:val="0024435E"/>
    <w:rsid w:val="00244375"/>
    <w:rsid w:val="00244454"/>
    <w:rsid w:val="00244968"/>
    <w:rsid w:val="0024587D"/>
    <w:rsid w:val="00245FB7"/>
    <w:rsid w:val="002466C2"/>
    <w:rsid w:val="0024672A"/>
    <w:rsid w:val="00246FF6"/>
    <w:rsid w:val="00247E7A"/>
    <w:rsid w:val="00247FC3"/>
    <w:rsid w:val="002506AE"/>
    <w:rsid w:val="002506BC"/>
    <w:rsid w:val="00250B81"/>
    <w:rsid w:val="00250EBB"/>
    <w:rsid w:val="00250F04"/>
    <w:rsid w:val="00251BCB"/>
    <w:rsid w:val="00252242"/>
    <w:rsid w:val="002524E8"/>
    <w:rsid w:val="0025268E"/>
    <w:rsid w:val="002526D0"/>
    <w:rsid w:val="00252A19"/>
    <w:rsid w:val="00252B69"/>
    <w:rsid w:val="00252C99"/>
    <w:rsid w:val="00253008"/>
    <w:rsid w:val="00253180"/>
    <w:rsid w:val="002537A3"/>
    <w:rsid w:val="00253856"/>
    <w:rsid w:val="00253990"/>
    <w:rsid w:val="00254345"/>
    <w:rsid w:val="0025466F"/>
    <w:rsid w:val="00254795"/>
    <w:rsid w:val="00254798"/>
    <w:rsid w:val="00254A40"/>
    <w:rsid w:val="00254B74"/>
    <w:rsid w:val="00254CFC"/>
    <w:rsid w:val="00254F3C"/>
    <w:rsid w:val="00255099"/>
    <w:rsid w:val="00255708"/>
    <w:rsid w:val="00255A37"/>
    <w:rsid w:val="00255CD3"/>
    <w:rsid w:val="00257C10"/>
    <w:rsid w:val="00257E9C"/>
    <w:rsid w:val="0026035D"/>
    <w:rsid w:val="00260E8F"/>
    <w:rsid w:val="0026125F"/>
    <w:rsid w:val="00261B50"/>
    <w:rsid w:val="00261EB1"/>
    <w:rsid w:val="00262264"/>
    <w:rsid w:val="00262A6C"/>
    <w:rsid w:val="00262AF9"/>
    <w:rsid w:val="00262C79"/>
    <w:rsid w:val="002630C1"/>
    <w:rsid w:val="0026377E"/>
    <w:rsid w:val="00263C3A"/>
    <w:rsid w:val="00263CD1"/>
    <w:rsid w:val="0026437D"/>
    <w:rsid w:val="00264557"/>
    <w:rsid w:val="00264A74"/>
    <w:rsid w:val="00265058"/>
    <w:rsid w:val="0026511A"/>
    <w:rsid w:val="0026531E"/>
    <w:rsid w:val="00265E9F"/>
    <w:rsid w:val="0026637B"/>
    <w:rsid w:val="002667DE"/>
    <w:rsid w:val="0026697B"/>
    <w:rsid w:val="00266D60"/>
    <w:rsid w:val="0026755B"/>
    <w:rsid w:val="00267649"/>
    <w:rsid w:val="0026778F"/>
    <w:rsid w:val="00270157"/>
    <w:rsid w:val="002702C0"/>
    <w:rsid w:val="00270311"/>
    <w:rsid w:val="00270437"/>
    <w:rsid w:val="00270C20"/>
    <w:rsid w:val="00270D26"/>
    <w:rsid w:val="00271092"/>
    <w:rsid w:val="00271740"/>
    <w:rsid w:val="00271B03"/>
    <w:rsid w:val="00271BA1"/>
    <w:rsid w:val="00271D0E"/>
    <w:rsid w:val="00272335"/>
    <w:rsid w:val="002728CF"/>
    <w:rsid w:val="00272971"/>
    <w:rsid w:val="00272F94"/>
    <w:rsid w:val="00273635"/>
    <w:rsid w:val="00274038"/>
    <w:rsid w:val="0027424C"/>
    <w:rsid w:val="00274332"/>
    <w:rsid w:val="002743E6"/>
    <w:rsid w:val="0027443A"/>
    <w:rsid w:val="00274992"/>
    <w:rsid w:val="00274A59"/>
    <w:rsid w:val="00275480"/>
    <w:rsid w:val="00275539"/>
    <w:rsid w:val="002757A5"/>
    <w:rsid w:val="00275CBE"/>
    <w:rsid w:val="00275D4A"/>
    <w:rsid w:val="002763FE"/>
    <w:rsid w:val="00276620"/>
    <w:rsid w:val="00276CB5"/>
    <w:rsid w:val="00276E6A"/>
    <w:rsid w:val="0027720B"/>
    <w:rsid w:val="002774D7"/>
    <w:rsid w:val="002775D0"/>
    <w:rsid w:val="002778A7"/>
    <w:rsid w:val="0028027A"/>
    <w:rsid w:val="002805AB"/>
    <w:rsid w:val="00280937"/>
    <w:rsid w:val="00280A03"/>
    <w:rsid w:val="00280C19"/>
    <w:rsid w:val="00280CD2"/>
    <w:rsid w:val="0028202B"/>
    <w:rsid w:val="00282396"/>
    <w:rsid w:val="00282A48"/>
    <w:rsid w:val="00282B13"/>
    <w:rsid w:val="0028359F"/>
    <w:rsid w:val="002835AB"/>
    <w:rsid w:val="00283A83"/>
    <w:rsid w:val="00283BB2"/>
    <w:rsid w:val="00283C03"/>
    <w:rsid w:val="00284204"/>
    <w:rsid w:val="00284285"/>
    <w:rsid w:val="00284375"/>
    <w:rsid w:val="002843BE"/>
    <w:rsid w:val="002849BC"/>
    <w:rsid w:val="00284A79"/>
    <w:rsid w:val="00285C9F"/>
    <w:rsid w:val="00286000"/>
    <w:rsid w:val="002865E8"/>
    <w:rsid w:val="00286809"/>
    <w:rsid w:val="002868D8"/>
    <w:rsid w:val="00287662"/>
    <w:rsid w:val="002879CC"/>
    <w:rsid w:val="00287BBE"/>
    <w:rsid w:val="00287CF9"/>
    <w:rsid w:val="00287EA3"/>
    <w:rsid w:val="00290916"/>
    <w:rsid w:val="00290E4C"/>
    <w:rsid w:val="00290FB9"/>
    <w:rsid w:val="002915A0"/>
    <w:rsid w:val="00291773"/>
    <w:rsid w:val="00291845"/>
    <w:rsid w:val="00292427"/>
    <w:rsid w:val="00292710"/>
    <w:rsid w:val="00292906"/>
    <w:rsid w:val="002931DA"/>
    <w:rsid w:val="0029325F"/>
    <w:rsid w:val="0029327D"/>
    <w:rsid w:val="00293317"/>
    <w:rsid w:val="002934BC"/>
    <w:rsid w:val="00293E05"/>
    <w:rsid w:val="0029454B"/>
    <w:rsid w:val="00294826"/>
    <w:rsid w:val="002948FD"/>
    <w:rsid w:val="0029527D"/>
    <w:rsid w:val="002954D5"/>
    <w:rsid w:val="0029558C"/>
    <w:rsid w:val="002955E7"/>
    <w:rsid w:val="00295818"/>
    <w:rsid w:val="00295863"/>
    <w:rsid w:val="0029633E"/>
    <w:rsid w:val="0029643A"/>
    <w:rsid w:val="002964CC"/>
    <w:rsid w:val="00296CB3"/>
    <w:rsid w:val="00296D71"/>
    <w:rsid w:val="00297830"/>
    <w:rsid w:val="002979D3"/>
    <w:rsid w:val="00297B3A"/>
    <w:rsid w:val="00297B5C"/>
    <w:rsid w:val="00297BDC"/>
    <w:rsid w:val="002A08C4"/>
    <w:rsid w:val="002A09DD"/>
    <w:rsid w:val="002A0DB4"/>
    <w:rsid w:val="002A1046"/>
    <w:rsid w:val="002A1390"/>
    <w:rsid w:val="002A168C"/>
    <w:rsid w:val="002A17DF"/>
    <w:rsid w:val="002A2789"/>
    <w:rsid w:val="002A2BD8"/>
    <w:rsid w:val="002A2F83"/>
    <w:rsid w:val="002A2FB6"/>
    <w:rsid w:val="002A3616"/>
    <w:rsid w:val="002A3C83"/>
    <w:rsid w:val="002A3DC7"/>
    <w:rsid w:val="002A481C"/>
    <w:rsid w:val="002A4ED1"/>
    <w:rsid w:val="002A4FD6"/>
    <w:rsid w:val="002A565E"/>
    <w:rsid w:val="002A57B3"/>
    <w:rsid w:val="002A5CC9"/>
    <w:rsid w:val="002A6130"/>
    <w:rsid w:val="002A6BB8"/>
    <w:rsid w:val="002A6BEE"/>
    <w:rsid w:val="002A6F68"/>
    <w:rsid w:val="002A7C9B"/>
    <w:rsid w:val="002B048D"/>
    <w:rsid w:val="002B08DD"/>
    <w:rsid w:val="002B0940"/>
    <w:rsid w:val="002B0BCF"/>
    <w:rsid w:val="002B146C"/>
    <w:rsid w:val="002B1480"/>
    <w:rsid w:val="002B1758"/>
    <w:rsid w:val="002B1B79"/>
    <w:rsid w:val="002B21D5"/>
    <w:rsid w:val="002B22CA"/>
    <w:rsid w:val="002B2745"/>
    <w:rsid w:val="002B2759"/>
    <w:rsid w:val="002B2CD9"/>
    <w:rsid w:val="002B2DFE"/>
    <w:rsid w:val="002B33E8"/>
    <w:rsid w:val="002B3863"/>
    <w:rsid w:val="002B3ACF"/>
    <w:rsid w:val="002B3E4C"/>
    <w:rsid w:val="002B481F"/>
    <w:rsid w:val="002B49E2"/>
    <w:rsid w:val="002B504F"/>
    <w:rsid w:val="002B51EC"/>
    <w:rsid w:val="002B622A"/>
    <w:rsid w:val="002B65C4"/>
    <w:rsid w:val="002B68CF"/>
    <w:rsid w:val="002B6C60"/>
    <w:rsid w:val="002B6C84"/>
    <w:rsid w:val="002B746E"/>
    <w:rsid w:val="002B7AF4"/>
    <w:rsid w:val="002B7B00"/>
    <w:rsid w:val="002B7B23"/>
    <w:rsid w:val="002B7B99"/>
    <w:rsid w:val="002B7C44"/>
    <w:rsid w:val="002B7D39"/>
    <w:rsid w:val="002B7F31"/>
    <w:rsid w:val="002C0421"/>
    <w:rsid w:val="002C05B7"/>
    <w:rsid w:val="002C085A"/>
    <w:rsid w:val="002C0A9D"/>
    <w:rsid w:val="002C0CE3"/>
    <w:rsid w:val="002C0EA9"/>
    <w:rsid w:val="002C11E8"/>
    <w:rsid w:val="002C20F9"/>
    <w:rsid w:val="002C287F"/>
    <w:rsid w:val="002C2B17"/>
    <w:rsid w:val="002C2D89"/>
    <w:rsid w:val="002C2DFB"/>
    <w:rsid w:val="002C2E94"/>
    <w:rsid w:val="002C3981"/>
    <w:rsid w:val="002C3A8F"/>
    <w:rsid w:val="002C403E"/>
    <w:rsid w:val="002C4369"/>
    <w:rsid w:val="002C4777"/>
    <w:rsid w:val="002C4786"/>
    <w:rsid w:val="002C484E"/>
    <w:rsid w:val="002C49ED"/>
    <w:rsid w:val="002C4A83"/>
    <w:rsid w:val="002C4BF2"/>
    <w:rsid w:val="002C4D79"/>
    <w:rsid w:val="002C5423"/>
    <w:rsid w:val="002C5424"/>
    <w:rsid w:val="002C6930"/>
    <w:rsid w:val="002C69F6"/>
    <w:rsid w:val="002C6BB1"/>
    <w:rsid w:val="002C6F1C"/>
    <w:rsid w:val="002C708B"/>
    <w:rsid w:val="002C7832"/>
    <w:rsid w:val="002C7BB4"/>
    <w:rsid w:val="002C7BCC"/>
    <w:rsid w:val="002C7D12"/>
    <w:rsid w:val="002D032D"/>
    <w:rsid w:val="002D066B"/>
    <w:rsid w:val="002D09F2"/>
    <w:rsid w:val="002D0E8D"/>
    <w:rsid w:val="002D13C9"/>
    <w:rsid w:val="002D1BC0"/>
    <w:rsid w:val="002D20F6"/>
    <w:rsid w:val="002D2236"/>
    <w:rsid w:val="002D2813"/>
    <w:rsid w:val="002D2C2C"/>
    <w:rsid w:val="002D2E68"/>
    <w:rsid w:val="002D3508"/>
    <w:rsid w:val="002D3DD0"/>
    <w:rsid w:val="002D3FBD"/>
    <w:rsid w:val="002D4181"/>
    <w:rsid w:val="002D4677"/>
    <w:rsid w:val="002D47AB"/>
    <w:rsid w:val="002D4A45"/>
    <w:rsid w:val="002D5155"/>
    <w:rsid w:val="002D52D3"/>
    <w:rsid w:val="002D5A13"/>
    <w:rsid w:val="002D5A49"/>
    <w:rsid w:val="002D5F79"/>
    <w:rsid w:val="002D608A"/>
    <w:rsid w:val="002D67E6"/>
    <w:rsid w:val="002D67F2"/>
    <w:rsid w:val="002D69C3"/>
    <w:rsid w:val="002D6A3F"/>
    <w:rsid w:val="002D6B29"/>
    <w:rsid w:val="002D716E"/>
    <w:rsid w:val="002D7867"/>
    <w:rsid w:val="002E070F"/>
    <w:rsid w:val="002E0D39"/>
    <w:rsid w:val="002E156A"/>
    <w:rsid w:val="002E1869"/>
    <w:rsid w:val="002E1DC1"/>
    <w:rsid w:val="002E1E0E"/>
    <w:rsid w:val="002E1E75"/>
    <w:rsid w:val="002E1F3A"/>
    <w:rsid w:val="002E21F9"/>
    <w:rsid w:val="002E22DA"/>
    <w:rsid w:val="002E22DF"/>
    <w:rsid w:val="002E24A1"/>
    <w:rsid w:val="002E25AA"/>
    <w:rsid w:val="002E2680"/>
    <w:rsid w:val="002E298A"/>
    <w:rsid w:val="002E29FF"/>
    <w:rsid w:val="002E2F2A"/>
    <w:rsid w:val="002E3AA5"/>
    <w:rsid w:val="002E3C02"/>
    <w:rsid w:val="002E40CA"/>
    <w:rsid w:val="002E40DB"/>
    <w:rsid w:val="002E42ED"/>
    <w:rsid w:val="002E476F"/>
    <w:rsid w:val="002E4DF0"/>
    <w:rsid w:val="002E502C"/>
    <w:rsid w:val="002E5AA4"/>
    <w:rsid w:val="002E5B3D"/>
    <w:rsid w:val="002E602A"/>
    <w:rsid w:val="002E62DF"/>
    <w:rsid w:val="002E66FB"/>
    <w:rsid w:val="002E6D81"/>
    <w:rsid w:val="002E6DC4"/>
    <w:rsid w:val="002E6E7A"/>
    <w:rsid w:val="002E70B0"/>
    <w:rsid w:val="002E7DB9"/>
    <w:rsid w:val="002F06B3"/>
    <w:rsid w:val="002F0A14"/>
    <w:rsid w:val="002F1116"/>
    <w:rsid w:val="002F158E"/>
    <w:rsid w:val="002F1CEA"/>
    <w:rsid w:val="002F253D"/>
    <w:rsid w:val="002F2998"/>
    <w:rsid w:val="002F2C1F"/>
    <w:rsid w:val="002F2CF5"/>
    <w:rsid w:val="002F2D2C"/>
    <w:rsid w:val="002F3810"/>
    <w:rsid w:val="002F3E0F"/>
    <w:rsid w:val="002F3F1B"/>
    <w:rsid w:val="002F4356"/>
    <w:rsid w:val="002F46FE"/>
    <w:rsid w:val="002F4935"/>
    <w:rsid w:val="002F5257"/>
    <w:rsid w:val="002F6452"/>
    <w:rsid w:val="002F6631"/>
    <w:rsid w:val="002F66D3"/>
    <w:rsid w:val="002F7BAB"/>
    <w:rsid w:val="002F7D74"/>
    <w:rsid w:val="0030013B"/>
    <w:rsid w:val="003001F5"/>
    <w:rsid w:val="003007E0"/>
    <w:rsid w:val="00300907"/>
    <w:rsid w:val="0030135E"/>
    <w:rsid w:val="00301978"/>
    <w:rsid w:val="00301C95"/>
    <w:rsid w:val="00301D45"/>
    <w:rsid w:val="00302D3C"/>
    <w:rsid w:val="0030332C"/>
    <w:rsid w:val="0030341A"/>
    <w:rsid w:val="00303450"/>
    <w:rsid w:val="0030353E"/>
    <w:rsid w:val="003036BC"/>
    <w:rsid w:val="003043B7"/>
    <w:rsid w:val="0030467F"/>
    <w:rsid w:val="003047BF"/>
    <w:rsid w:val="0030488A"/>
    <w:rsid w:val="003048E6"/>
    <w:rsid w:val="003051C2"/>
    <w:rsid w:val="00305328"/>
    <w:rsid w:val="00305498"/>
    <w:rsid w:val="0030579F"/>
    <w:rsid w:val="003057BE"/>
    <w:rsid w:val="00305A3A"/>
    <w:rsid w:val="00305ADC"/>
    <w:rsid w:val="00305B41"/>
    <w:rsid w:val="00305B4C"/>
    <w:rsid w:val="00305CA4"/>
    <w:rsid w:val="00305DEF"/>
    <w:rsid w:val="0030609E"/>
    <w:rsid w:val="00306A8C"/>
    <w:rsid w:val="00306E98"/>
    <w:rsid w:val="00306EA3"/>
    <w:rsid w:val="003072F3"/>
    <w:rsid w:val="00307B97"/>
    <w:rsid w:val="00307C04"/>
    <w:rsid w:val="00307F6A"/>
    <w:rsid w:val="003100A1"/>
    <w:rsid w:val="0031020A"/>
    <w:rsid w:val="003107EC"/>
    <w:rsid w:val="00310A1D"/>
    <w:rsid w:val="00310A49"/>
    <w:rsid w:val="00310A6F"/>
    <w:rsid w:val="00310CE5"/>
    <w:rsid w:val="003114C1"/>
    <w:rsid w:val="00311838"/>
    <w:rsid w:val="00312296"/>
    <w:rsid w:val="00312C9F"/>
    <w:rsid w:val="003142A9"/>
    <w:rsid w:val="0031486E"/>
    <w:rsid w:val="00314F0E"/>
    <w:rsid w:val="003155FD"/>
    <w:rsid w:val="0031653B"/>
    <w:rsid w:val="003169EC"/>
    <w:rsid w:val="00316B4A"/>
    <w:rsid w:val="00316BF6"/>
    <w:rsid w:val="00316EFA"/>
    <w:rsid w:val="003172CA"/>
    <w:rsid w:val="003173D0"/>
    <w:rsid w:val="00317779"/>
    <w:rsid w:val="00320CC0"/>
    <w:rsid w:val="00320CE4"/>
    <w:rsid w:val="00320FC4"/>
    <w:rsid w:val="00321A1E"/>
    <w:rsid w:val="00321A78"/>
    <w:rsid w:val="00321D8E"/>
    <w:rsid w:val="003221E6"/>
    <w:rsid w:val="00322D5D"/>
    <w:rsid w:val="00322D97"/>
    <w:rsid w:val="00322E03"/>
    <w:rsid w:val="00322F39"/>
    <w:rsid w:val="003232BE"/>
    <w:rsid w:val="00323436"/>
    <w:rsid w:val="00323C29"/>
    <w:rsid w:val="00323D85"/>
    <w:rsid w:val="00324276"/>
    <w:rsid w:val="003243C5"/>
    <w:rsid w:val="003246D1"/>
    <w:rsid w:val="00324709"/>
    <w:rsid w:val="00324C0E"/>
    <w:rsid w:val="00325551"/>
    <w:rsid w:val="00325928"/>
    <w:rsid w:val="003264FB"/>
    <w:rsid w:val="00326797"/>
    <w:rsid w:val="00326FC1"/>
    <w:rsid w:val="00327564"/>
    <w:rsid w:val="0032766C"/>
    <w:rsid w:val="0032795C"/>
    <w:rsid w:val="00327B9E"/>
    <w:rsid w:val="00327D19"/>
    <w:rsid w:val="00327ECE"/>
    <w:rsid w:val="0033010B"/>
    <w:rsid w:val="00331314"/>
    <w:rsid w:val="003315C0"/>
    <w:rsid w:val="003317EE"/>
    <w:rsid w:val="00331AB5"/>
    <w:rsid w:val="0033207E"/>
    <w:rsid w:val="00332816"/>
    <w:rsid w:val="00332863"/>
    <w:rsid w:val="00332A8D"/>
    <w:rsid w:val="00332F01"/>
    <w:rsid w:val="00333137"/>
    <w:rsid w:val="00333215"/>
    <w:rsid w:val="0033367D"/>
    <w:rsid w:val="00333D53"/>
    <w:rsid w:val="00333EB0"/>
    <w:rsid w:val="00334030"/>
    <w:rsid w:val="003346E1"/>
    <w:rsid w:val="00335550"/>
    <w:rsid w:val="003357D1"/>
    <w:rsid w:val="0033684D"/>
    <w:rsid w:val="00336A11"/>
    <w:rsid w:val="00336C6A"/>
    <w:rsid w:val="003377BA"/>
    <w:rsid w:val="00337906"/>
    <w:rsid w:val="00337B42"/>
    <w:rsid w:val="00337C37"/>
    <w:rsid w:val="00337D0C"/>
    <w:rsid w:val="003404AE"/>
    <w:rsid w:val="00340CB4"/>
    <w:rsid w:val="00340FC9"/>
    <w:rsid w:val="00341331"/>
    <w:rsid w:val="00341B42"/>
    <w:rsid w:val="00342356"/>
    <w:rsid w:val="00342594"/>
    <w:rsid w:val="00342D16"/>
    <w:rsid w:val="00342FCB"/>
    <w:rsid w:val="0034348F"/>
    <w:rsid w:val="003445B7"/>
    <w:rsid w:val="00344987"/>
    <w:rsid w:val="00344EC7"/>
    <w:rsid w:val="00344F5D"/>
    <w:rsid w:val="00345318"/>
    <w:rsid w:val="00345EDA"/>
    <w:rsid w:val="00346A69"/>
    <w:rsid w:val="00346B08"/>
    <w:rsid w:val="00346D4D"/>
    <w:rsid w:val="00347F93"/>
    <w:rsid w:val="0035091A"/>
    <w:rsid w:val="00350F23"/>
    <w:rsid w:val="0035115E"/>
    <w:rsid w:val="00351584"/>
    <w:rsid w:val="00351605"/>
    <w:rsid w:val="00351B78"/>
    <w:rsid w:val="00351D98"/>
    <w:rsid w:val="003522C5"/>
    <w:rsid w:val="0035249D"/>
    <w:rsid w:val="0035285F"/>
    <w:rsid w:val="003533ED"/>
    <w:rsid w:val="00353685"/>
    <w:rsid w:val="00353687"/>
    <w:rsid w:val="00353858"/>
    <w:rsid w:val="003539A4"/>
    <w:rsid w:val="00353A6C"/>
    <w:rsid w:val="00353EE7"/>
    <w:rsid w:val="0035433F"/>
    <w:rsid w:val="00354486"/>
    <w:rsid w:val="003548F3"/>
    <w:rsid w:val="0035494D"/>
    <w:rsid w:val="00354A8B"/>
    <w:rsid w:val="00354BB5"/>
    <w:rsid w:val="00354D70"/>
    <w:rsid w:val="00355055"/>
    <w:rsid w:val="003554E5"/>
    <w:rsid w:val="003555A2"/>
    <w:rsid w:val="00355D51"/>
    <w:rsid w:val="00356295"/>
    <w:rsid w:val="00356331"/>
    <w:rsid w:val="00356641"/>
    <w:rsid w:val="00356653"/>
    <w:rsid w:val="00356678"/>
    <w:rsid w:val="003567C1"/>
    <w:rsid w:val="00357000"/>
    <w:rsid w:val="00357176"/>
    <w:rsid w:val="003572B6"/>
    <w:rsid w:val="003573B5"/>
    <w:rsid w:val="0035743F"/>
    <w:rsid w:val="003576F2"/>
    <w:rsid w:val="0035787B"/>
    <w:rsid w:val="00357BE2"/>
    <w:rsid w:val="00357FCA"/>
    <w:rsid w:val="003604B4"/>
    <w:rsid w:val="00360586"/>
    <w:rsid w:val="0036061E"/>
    <w:rsid w:val="00360D4C"/>
    <w:rsid w:val="0036170C"/>
    <w:rsid w:val="00361C66"/>
    <w:rsid w:val="00361CF7"/>
    <w:rsid w:val="00361F8C"/>
    <w:rsid w:val="00361FC8"/>
    <w:rsid w:val="00361FF2"/>
    <w:rsid w:val="003620D8"/>
    <w:rsid w:val="003622EC"/>
    <w:rsid w:val="00362337"/>
    <w:rsid w:val="003625FB"/>
    <w:rsid w:val="00362DFB"/>
    <w:rsid w:val="0036382D"/>
    <w:rsid w:val="0036399E"/>
    <w:rsid w:val="00363AAC"/>
    <w:rsid w:val="00363B1C"/>
    <w:rsid w:val="00363B3F"/>
    <w:rsid w:val="00363CDC"/>
    <w:rsid w:val="0036410D"/>
    <w:rsid w:val="003643A0"/>
    <w:rsid w:val="003644FE"/>
    <w:rsid w:val="00364C94"/>
    <w:rsid w:val="0036593A"/>
    <w:rsid w:val="003659EE"/>
    <w:rsid w:val="00365FF3"/>
    <w:rsid w:val="00366116"/>
    <w:rsid w:val="00366462"/>
    <w:rsid w:val="003664E3"/>
    <w:rsid w:val="0036655D"/>
    <w:rsid w:val="00366580"/>
    <w:rsid w:val="00366D92"/>
    <w:rsid w:val="00366E0F"/>
    <w:rsid w:val="00366E59"/>
    <w:rsid w:val="00366EFA"/>
    <w:rsid w:val="00366EFE"/>
    <w:rsid w:val="00367795"/>
    <w:rsid w:val="003677D6"/>
    <w:rsid w:val="00367B4E"/>
    <w:rsid w:val="00370C17"/>
    <w:rsid w:val="003716FA"/>
    <w:rsid w:val="0037203A"/>
    <w:rsid w:val="003721A2"/>
    <w:rsid w:val="00372C10"/>
    <w:rsid w:val="003738EA"/>
    <w:rsid w:val="003739C7"/>
    <w:rsid w:val="0037422A"/>
    <w:rsid w:val="003742E2"/>
    <w:rsid w:val="003743D0"/>
    <w:rsid w:val="0037480D"/>
    <w:rsid w:val="003753F8"/>
    <w:rsid w:val="00375476"/>
    <w:rsid w:val="0037558B"/>
    <w:rsid w:val="003756B4"/>
    <w:rsid w:val="0037589D"/>
    <w:rsid w:val="00375B16"/>
    <w:rsid w:val="00375E03"/>
    <w:rsid w:val="00375E83"/>
    <w:rsid w:val="00375EB2"/>
    <w:rsid w:val="003763C6"/>
    <w:rsid w:val="0037646B"/>
    <w:rsid w:val="00376A34"/>
    <w:rsid w:val="00376B73"/>
    <w:rsid w:val="00376CFD"/>
    <w:rsid w:val="00376F74"/>
    <w:rsid w:val="00376F9D"/>
    <w:rsid w:val="0037725B"/>
    <w:rsid w:val="00377DE8"/>
    <w:rsid w:val="00380E15"/>
    <w:rsid w:val="00380EEB"/>
    <w:rsid w:val="00380F36"/>
    <w:rsid w:val="00381A72"/>
    <w:rsid w:val="00381D1B"/>
    <w:rsid w:val="00382160"/>
    <w:rsid w:val="0038239D"/>
    <w:rsid w:val="0038243E"/>
    <w:rsid w:val="003828D4"/>
    <w:rsid w:val="00382986"/>
    <w:rsid w:val="003829CC"/>
    <w:rsid w:val="00382E77"/>
    <w:rsid w:val="00382EBE"/>
    <w:rsid w:val="003835D8"/>
    <w:rsid w:val="00383658"/>
    <w:rsid w:val="00383842"/>
    <w:rsid w:val="00383BDD"/>
    <w:rsid w:val="00383CD4"/>
    <w:rsid w:val="00384014"/>
    <w:rsid w:val="00384676"/>
    <w:rsid w:val="003852F1"/>
    <w:rsid w:val="003855F6"/>
    <w:rsid w:val="00385763"/>
    <w:rsid w:val="00385D2D"/>
    <w:rsid w:val="003863AA"/>
    <w:rsid w:val="00386456"/>
    <w:rsid w:val="00386867"/>
    <w:rsid w:val="0038692C"/>
    <w:rsid w:val="00386A40"/>
    <w:rsid w:val="00386CF2"/>
    <w:rsid w:val="00386D6C"/>
    <w:rsid w:val="003873A5"/>
    <w:rsid w:val="003877E1"/>
    <w:rsid w:val="00387917"/>
    <w:rsid w:val="00387C21"/>
    <w:rsid w:val="00387D0E"/>
    <w:rsid w:val="00387DB7"/>
    <w:rsid w:val="00390418"/>
    <w:rsid w:val="003906F8"/>
    <w:rsid w:val="00390857"/>
    <w:rsid w:val="003910C8"/>
    <w:rsid w:val="003911D1"/>
    <w:rsid w:val="0039208E"/>
    <w:rsid w:val="00392AE9"/>
    <w:rsid w:val="00392CCA"/>
    <w:rsid w:val="00392DE6"/>
    <w:rsid w:val="00392EA6"/>
    <w:rsid w:val="00393763"/>
    <w:rsid w:val="0039404A"/>
    <w:rsid w:val="0039428D"/>
    <w:rsid w:val="0039429D"/>
    <w:rsid w:val="003948CA"/>
    <w:rsid w:val="00394CC3"/>
    <w:rsid w:val="00394FBD"/>
    <w:rsid w:val="00394FDC"/>
    <w:rsid w:val="003954AE"/>
    <w:rsid w:val="00395585"/>
    <w:rsid w:val="0039574B"/>
    <w:rsid w:val="00395D92"/>
    <w:rsid w:val="00396433"/>
    <w:rsid w:val="00396809"/>
    <w:rsid w:val="003968A9"/>
    <w:rsid w:val="00396938"/>
    <w:rsid w:val="00396DE8"/>
    <w:rsid w:val="003977F2"/>
    <w:rsid w:val="003978A0"/>
    <w:rsid w:val="00397E4A"/>
    <w:rsid w:val="00397ED0"/>
    <w:rsid w:val="003A13D6"/>
    <w:rsid w:val="003A1ACB"/>
    <w:rsid w:val="003A1B10"/>
    <w:rsid w:val="003A1D4A"/>
    <w:rsid w:val="003A2AF8"/>
    <w:rsid w:val="003A2B5C"/>
    <w:rsid w:val="003A2D64"/>
    <w:rsid w:val="003A2E61"/>
    <w:rsid w:val="003A4A5E"/>
    <w:rsid w:val="003A4BF3"/>
    <w:rsid w:val="003A4DFC"/>
    <w:rsid w:val="003A55AC"/>
    <w:rsid w:val="003A5D2A"/>
    <w:rsid w:val="003A5E01"/>
    <w:rsid w:val="003A5F2B"/>
    <w:rsid w:val="003A6124"/>
    <w:rsid w:val="003A653F"/>
    <w:rsid w:val="003A68C7"/>
    <w:rsid w:val="003A6911"/>
    <w:rsid w:val="003A6957"/>
    <w:rsid w:val="003A6A43"/>
    <w:rsid w:val="003A6AEA"/>
    <w:rsid w:val="003A77C6"/>
    <w:rsid w:val="003A7D98"/>
    <w:rsid w:val="003B008C"/>
    <w:rsid w:val="003B045F"/>
    <w:rsid w:val="003B05F5"/>
    <w:rsid w:val="003B06A3"/>
    <w:rsid w:val="003B0BD2"/>
    <w:rsid w:val="003B0CDA"/>
    <w:rsid w:val="003B0DE9"/>
    <w:rsid w:val="003B0ECB"/>
    <w:rsid w:val="003B1016"/>
    <w:rsid w:val="003B10C1"/>
    <w:rsid w:val="003B11F1"/>
    <w:rsid w:val="003B1DD1"/>
    <w:rsid w:val="003B2247"/>
    <w:rsid w:val="003B237D"/>
    <w:rsid w:val="003B2445"/>
    <w:rsid w:val="003B29AE"/>
    <w:rsid w:val="003B29EF"/>
    <w:rsid w:val="003B300C"/>
    <w:rsid w:val="003B32B7"/>
    <w:rsid w:val="003B391D"/>
    <w:rsid w:val="003B3DEE"/>
    <w:rsid w:val="003B40B9"/>
    <w:rsid w:val="003B420D"/>
    <w:rsid w:val="003B443C"/>
    <w:rsid w:val="003B494A"/>
    <w:rsid w:val="003B5307"/>
    <w:rsid w:val="003B5372"/>
    <w:rsid w:val="003B5ABF"/>
    <w:rsid w:val="003B5CBE"/>
    <w:rsid w:val="003B5D7F"/>
    <w:rsid w:val="003B6441"/>
    <w:rsid w:val="003B6706"/>
    <w:rsid w:val="003B6B13"/>
    <w:rsid w:val="003B6B34"/>
    <w:rsid w:val="003B6C38"/>
    <w:rsid w:val="003B7771"/>
    <w:rsid w:val="003B7918"/>
    <w:rsid w:val="003C0779"/>
    <w:rsid w:val="003C0889"/>
    <w:rsid w:val="003C0B9E"/>
    <w:rsid w:val="003C1597"/>
    <w:rsid w:val="003C16A6"/>
    <w:rsid w:val="003C2272"/>
    <w:rsid w:val="003C27E9"/>
    <w:rsid w:val="003C2B16"/>
    <w:rsid w:val="003C3105"/>
    <w:rsid w:val="003C3AE1"/>
    <w:rsid w:val="003C3E77"/>
    <w:rsid w:val="003C3EE1"/>
    <w:rsid w:val="003C41EB"/>
    <w:rsid w:val="003C4216"/>
    <w:rsid w:val="003C4790"/>
    <w:rsid w:val="003C4E9C"/>
    <w:rsid w:val="003C5375"/>
    <w:rsid w:val="003C611E"/>
    <w:rsid w:val="003C63D7"/>
    <w:rsid w:val="003C6535"/>
    <w:rsid w:val="003C67A7"/>
    <w:rsid w:val="003C6A2A"/>
    <w:rsid w:val="003C6C16"/>
    <w:rsid w:val="003C6F37"/>
    <w:rsid w:val="003C748A"/>
    <w:rsid w:val="003C7A42"/>
    <w:rsid w:val="003D04AD"/>
    <w:rsid w:val="003D04CD"/>
    <w:rsid w:val="003D08A9"/>
    <w:rsid w:val="003D0E75"/>
    <w:rsid w:val="003D287A"/>
    <w:rsid w:val="003D2AD2"/>
    <w:rsid w:val="003D2E07"/>
    <w:rsid w:val="003D2E76"/>
    <w:rsid w:val="003D36B4"/>
    <w:rsid w:val="003D36B9"/>
    <w:rsid w:val="003D3E68"/>
    <w:rsid w:val="003D3FD1"/>
    <w:rsid w:val="003D4948"/>
    <w:rsid w:val="003D4EF3"/>
    <w:rsid w:val="003D52A5"/>
    <w:rsid w:val="003D542F"/>
    <w:rsid w:val="003D5488"/>
    <w:rsid w:val="003D5502"/>
    <w:rsid w:val="003D594A"/>
    <w:rsid w:val="003D5BD6"/>
    <w:rsid w:val="003D5CD5"/>
    <w:rsid w:val="003D5E90"/>
    <w:rsid w:val="003D6017"/>
    <w:rsid w:val="003D63AF"/>
    <w:rsid w:val="003D6642"/>
    <w:rsid w:val="003D6B1C"/>
    <w:rsid w:val="003D7735"/>
    <w:rsid w:val="003D777F"/>
    <w:rsid w:val="003D781A"/>
    <w:rsid w:val="003D78E3"/>
    <w:rsid w:val="003D791B"/>
    <w:rsid w:val="003D792E"/>
    <w:rsid w:val="003D794D"/>
    <w:rsid w:val="003D7A37"/>
    <w:rsid w:val="003D7EFC"/>
    <w:rsid w:val="003E0466"/>
    <w:rsid w:val="003E04A4"/>
    <w:rsid w:val="003E06FF"/>
    <w:rsid w:val="003E0A46"/>
    <w:rsid w:val="003E0C88"/>
    <w:rsid w:val="003E0D59"/>
    <w:rsid w:val="003E12CD"/>
    <w:rsid w:val="003E1B59"/>
    <w:rsid w:val="003E1D2B"/>
    <w:rsid w:val="003E1EAC"/>
    <w:rsid w:val="003E1FF1"/>
    <w:rsid w:val="003E2EA2"/>
    <w:rsid w:val="003E3058"/>
    <w:rsid w:val="003E334E"/>
    <w:rsid w:val="003E33D6"/>
    <w:rsid w:val="003E33FA"/>
    <w:rsid w:val="003E395F"/>
    <w:rsid w:val="003E39F0"/>
    <w:rsid w:val="003E3B78"/>
    <w:rsid w:val="003E3C23"/>
    <w:rsid w:val="003E3C7C"/>
    <w:rsid w:val="003E4794"/>
    <w:rsid w:val="003E4A1E"/>
    <w:rsid w:val="003E4C4C"/>
    <w:rsid w:val="003E5943"/>
    <w:rsid w:val="003E5B6E"/>
    <w:rsid w:val="003E5E57"/>
    <w:rsid w:val="003E5F71"/>
    <w:rsid w:val="003E61F4"/>
    <w:rsid w:val="003E65F8"/>
    <w:rsid w:val="003E67FE"/>
    <w:rsid w:val="003E6CC4"/>
    <w:rsid w:val="003E721B"/>
    <w:rsid w:val="003E7449"/>
    <w:rsid w:val="003E76A9"/>
    <w:rsid w:val="003E7768"/>
    <w:rsid w:val="003E77F5"/>
    <w:rsid w:val="003F02A1"/>
    <w:rsid w:val="003F03D9"/>
    <w:rsid w:val="003F0809"/>
    <w:rsid w:val="003F08CE"/>
    <w:rsid w:val="003F0935"/>
    <w:rsid w:val="003F09B9"/>
    <w:rsid w:val="003F0B1A"/>
    <w:rsid w:val="003F0B76"/>
    <w:rsid w:val="003F1804"/>
    <w:rsid w:val="003F1AD1"/>
    <w:rsid w:val="003F1B85"/>
    <w:rsid w:val="003F1D50"/>
    <w:rsid w:val="003F2182"/>
    <w:rsid w:val="003F21BE"/>
    <w:rsid w:val="003F25F1"/>
    <w:rsid w:val="003F2710"/>
    <w:rsid w:val="003F277D"/>
    <w:rsid w:val="003F298F"/>
    <w:rsid w:val="003F31E2"/>
    <w:rsid w:val="003F34B1"/>
    <w:rsid w:val="003F4193"/>
    <w:rsid w:val="003F43C9"/>
    <w:rsid w:val="003F44E8"/>
    <w:rsid w:val="003F458E"/>
    <w:rsid w:val="003F46CA"/>
    <w:rsid w:val="003F46F2"/>
    <w:rsid w:val="003F482D"/>
    <w:rsid w:val="003F48E2"/>
    <w:rsid w:val="003F4BFD"/>
    <w:rsid w:val="003F5331"/>
    <w:rsid w:val="003F5443"/>
    <w:rsid w:val="003F573B"/>
    <w:rsid w:val="003F581E"/>
    <w:rsid w:val="003F5A05"/>
    <w:rsid w:val="003F5C1E"/>
    <w:rsid w:val="003F6A8C"/>
    <w:rsid w:val="003F6AD7"/>
    <w:rsid w:val="003F71C3"/>
    <w:rsid w:val="003F7395"/>
    <w:rsid w:val="003F755C"/>
    <w:rsid w:val="003F7758"/>
    <w:rsid w:val="003F7898"/>
    <w:rsid w:val="003F79FC"/>
    <w:rsid w:val="003F7CFA"/>
    <w:rsid w:val="0040016B"/>
    <w:rsid w:val="0040040E"/>
    <w:rsid w:val="004004EB"/>
    <w:rsid w:val="00400733"/>
    <w:rsid w:val="00400F39"/>
    <w:rsid w:val="004011E8"/>
    <w:rsid w:val="0040126A"/>
    <w:rsid w:val="00401625"/>
    <w:rsid w:val="004021CD"/>
    <w:rsid w:val="004025EF"/>
    <w:rsid w:val="004028F6"/>
    <w:rsid w:val="0040293B"/>
    <w:rsid w:val="004029D7"/>
    <w:rsid w:val="00403559"/>
    <w:rsid w:val="00403981"/>
    <w:rsid w:val="00403F93"/>
    <w:rsid w:val="004040FE"/>
    <w:rsid w:val="00404F42"/>
    <w:rsid w:val="00405F10"/>
    <w:rsid w:val="0040657E"/>
    <w:rsid w:val="004066AB"/>
    <w:rsid w:val="004067CE"/>
    <w:rsid w:val="004069E5"/>
    <w:rsid w:val="00406A8B"/>
    <w:rsid w:val="00406F01"/>
    <w:rsid w:val="0040718B"/>
    <w:rsid w:val="004071F0"/>
    <w:rsid w:val="004073B9"/>
    <w:rsid w:val="00407610"/>
    <w:rsid w:val="004078A1"/>
    <w:rsid w:val="004078B8"/>
    <w:rsid w:val="004078F2"/>
    <w:rsid w:val="00407BCB"/>
    <w:rsid w:val="00410456"/>
    <w:rsid w:val="00410824"/>
    <w:rsid w:val="00410B27"/>
    <w:rsid w:val="004120D1"/>
    <w:rsid w:val="00412284"/>
    <w:rsid w:val="00412542"/>
    <w:rsid w:val="00412648"/>
    <w:rsid w:val="0041264B"/>
    <w:rsid w:val="00412B11"/>
    <w:rsid w:val="0041317A"/>
    <w:rsid w:val="0041323E"/>
    <w:rsid w:val="004133FE"/>
    <w:rsid w:val="0041385D"/>
    <w:rsid w:val="0041479F"/>
    <w:rsid w:val="00415A71"/>
    <w:rsid w:val="00415D4D"/>
    <w:rsid w:val="00415D64"/>
    <w:rsid w:val="00415FDB"/>
    <w:rsid w:val="00416186"/>
    <w:rsid w:val="00416706"/>
    <w:rsid w:val="00416893"/>
    <w:rsid w:val="004168BB"/>
    <w:rsid w:val="00416D50"/>
    <w:rsid w:val="00416FD5"/>
    <w:rsid w:val="00417128"/>
    <w:rsid w:val="004173D1"/>
    <w:rsid w:val="00417772"/>
    <w:rsid w:val="0041790B"/>
    <w:rsid w:val="00417B26"/>
    <w:rsid w:val="00417EE7"/>
    <w:rsid w:val="00417FFC"/>
    <w:rsid w:val="00420457"/>
    <w:rsid w:val="00420E6A"/>
    <w:rsid w:val="00421F90"/>
    <w:rsid w:val="0042204C"/>
    <w:rsid w:val="004220AF"/>
    <w:rsid w:val="004223C4"/>
    <w:rsid w:val="00422F0D"/>
    <w:rsid w:val="00422FDE"/>
    <w:rsid w:val="004233AB"/>
    <w:rsid w:val="00423675"/>
    <w:rsid w:val="00423D76"/>
    <w:rsid w:val="00423E86"/>
    <w:rsid w:val="004244D3"/>
    <w:rsid w:val="00424EA1"/>
    <w:rsid w:val="00425428"/>
    <w:rsid w:val="00425635"/>
    <w:rsid w:val="0042573B"/>
    <w:rsid w:val="004259E9"/>
    <w:rsid w:val="00425A9E"/>
    <w:rsid w:val="0042617A"/>
    <w:rsid w:val="004261BA"/>
    <w:rsid w:val="004261D9"/>
    <w:rsid w:val="00426244"/>
    <w:rsid w:val="00426386"/>
    <w:rsid w:val="00426CD4"/>
    <w:rsid w:val="00426D6B"/>
    <w:rsid w:val="00426F3F"/>
    <w:rsid w:val="004272F1"/>
    <w:rsid w:val="004274F1"/>
    <w:rsid w:val="00430850"/>
    <w:rsid w:val="00430924"/>
    <w:rsid w:val="0043113B"/>
    <w:rsid w:val="004317A4"/>
    <w:rsid w:val="00431E6C"/>
    <w:rsid w:val="00431EF6"/>
    <w:rsid w:val="00432371"/>
    <w:rsid w:val="0043272F"/>
    <w:rsid w:val="00432DBB"/>
    <w:rsid w:val="004331E6"/>
    <w:rsid w:val="004333EB"/>
    <w:rsid w:val="00433B5A"/>
    <w:rsid w:val="00433CE7"/>
    <w:rsid w:val="00433E31"/>
    <w:rsid w:val="004341EF"/>
    <w:rsid w:val="0043440B"/>
    <w:rsid w:val="00434D87"/>
    <w:rsid w:val="00434DC4"/>
    <w:rsid w:val="00434F69"/>
    <w:rsid w:val="004352B0"/>
    <w:rsid w:val="0043537B"/>
    <w:rsid w:val="00435CF9"/>
    <w:rsid w:val="00435FD6"/>
    <w:rsid w:val="00436129"/>
    <w:rsid w:val="004363CA"/>
    <w:rsid w:val="004365DB"/>
    <w:rsid w:val="00436835"/>
    <w:rsid w:val="00436A9C"/>
    <w:rsid w:val="00436E0F"/>
    <w:rsid w:val="004371D4"/>
    <w:rsid w:val="00437AD1"/>
    <w:rsid w:val="00437C55"/>
    <w:rsid w:val="00437DC7"/>
    <w:rsid w:val="0044067A"/>
    <w:rsid w:val="00441408"/>
    <w:rsid w:val="004416C2"/>
    <w:rsid w:val="00441AFB"/>
    <w:rsid w:val="00441B7A"/>
    <w:rsid w:val="00441DCD"/>
    <w:rsid w:val="00441E55"/>
    <w:rsid w:val="0044207F"/>
    <w:rsid w:val="00442497"/>
    <w:rsid w:val="00442530"/>
    <w:rsid w:val="00442904"/>
    <w:rsid w:val="0044389A"/>
    <w:rsid w:val="00443A7D"/>
    <w:rsid w:val="004441E1"/>
    <w:rsid w:val="00444842"/>
    <w:rsid w:val="00444967"/>
    <w:rsid w:val="00444969"/>
    <w:rsid w:val="00444BCC"/>
    <w:rsid w:val="00445D98"/>
    <w:rsid w:val="00446359"/>
    <w:rsid w:val="00446A16"/>
    <w:rsid w:val="00446C75"/>
    <w:rsid w:val="00446FAC"/>
    <w:rsid w:val="0044712D"/>
    <w:rsid w:val="00447350"/>
    <w:rsid w:val="00447885"/>
    <w:rsid w:val="00447B56"/>
    <w:rsid w:val="00447B58"/>
    <w:rsid w:val="004505A6"/>
    <w:rsid w:val="00450DAA"/>
    <w:rsid w:val="00450DFA"/>
    <w:rsid w:val="004511BF"/>
    <w:rsid w:val="0045122B"/>
    <w:rsid w:val="00452189"/>
    <w:rsid w:val="00452394"/>
    <w:rsid w:val="004524C3"/>
    <w:rsid w:val="00452738"/>
    <w:rsid w:val="00452987"/>
    <w:rsid w:val="00452ADD"/>
    <w:rsid w:val="0045305D"/>
    <w:rsid w:val="00453348"/>
    <w:rsid w:val="00453A85"/>
    <w:rsid w:val="00453F1C"/>
    <w:rsid w:val="00454765"/>
    <w:rsid w:val="00454B6F"/>
    <w:rsid w:val="004555E1"/>
    <w:rsid w:val="004558F2"/>
    <w:rsid w:val="00455C82"/>
    <w:rsid w:val="00455F05"/>
    <w:rsid w:val="00456091"/>
    <w:rsid w:val="0045625C"/>
    <w:rsid w:val="00456DCC"/>
    <w:rsid w:val="00456E61"/>
    <w:rsid w:val="00457078"/>
    <w:rsid w:val="004573C3"/>
    <w:rsid w:val="00457A30"/>
    <w:rsid w:val="00457E2E"/>
    <w:rsid w:val="00457E3C"/>
    <w:rsid w:val="00457F14"/>
    <w:rsid w:val="00460468"/>
    <w:rsid w:val="00461200"/>
    <w:rsid w:val="004613F9"/>
    <w:rsid w:val="004615B5"/>
    <w:rsid w:val="00461883"/>
    <w:rsid w:val="00462265"/>
    <w:rsid w:val="00462993"/>
    <w:rsid w:val="00462C91"/>
    <w:rsid w:val="00463B6B"/>
    <w:rsid w:val="00463DF2"/>
    <w:rsid w:val="00463EB2"/>
    <w:rsid w:val="0046405A"/>
    <w:rsid w:val="004640FF"/>
    <w:rsid w:val="00464666"/>
    <w:rsid w:val="00464A39"/>
    <w:rsid w:val="00464B40"/>
    <w:rsid w:val="00464BA5"/>
    <w:rsid w:val="00464C1F"/>
    <w:rsid w:val="00464D06"/>
    <w:rsid w:val="00464DEA"/>
    <w:rsid w:val="00464F48"/>
    <w:rsid w:val="00465034"/>
    <w:rsid w:val="004654C3"/>
    <w:rsid w:val="00465785"/>
    <w:rsid w:val="00465B0A"/>
    <w:rsid w:val="00465DC1"/>
    <w:rsid w:val="00466321"/>
    <w:rsid w:val="0046658A"/>
    <w:rsid w:val="0046686E"/>
    <w:rsid w:val="004670AB"/>
    <w:rsid w:val="00467480"/>
    <w:rsid w:val="00467504"/>
    <w:rsid w:val="00467EF0"/>
    <w:rsid w:val="004701B9"/>
    <w:rsid w:val="00470205"/>
    <w:rsid w:val="00470287"/>
    <w:rsid w:val="00470606"/>
    <w:rsid w:val="004706D2"/>
    <w:rsid w:val="00470958"/>
    <w:rsid w:val="00470D48"/>
    <w:rsid w:val="00470E47"/>
    <w:rsid w:val="00471157"/>
    <w:rsid w:val="0047125F"/>
    <w:rsid w:val="00471406"/>
    <w:rsid w:val="00471657"/>
    <w:rsid w:val="0047214A"/>
    <w:rsid w:val="00472725"/>
    <w:rsid w:val="00472E26"/>
    <w:rsid w:val="00472F02"/>
    <w:rsid w:val="0047367F"/>
    <w:rsid w:val="00473BB1"/>
    <w:rsid w:val="00473E7E"/>
    <w:rsid w:val="00473EBC"/>
    <w:rsid w:val="004743C1"/>
    <w:rsid w:val="00474C6C"/>
    <w:rsid w:val="00475755"/>
    <w:rsid w:val="004757C7"/>
    <w:rsid w:val="00475B35"/>
    <w:rsid w:val="00475B86"/>
    <w:rsid w:val="00475C08"/>
    <w:rsid w:val="004761F0"/>
    <w:rsid w:val="00476431"/>
    <w:rsid w:val="0047656E"/>
    <w:rsid w:val="004767F1"/>
    <w:rsid w:val="00477217"/>
    <w:rsid w:val="00477312"/>
    <w:rsid w:val="00477464"/>
    <w:rsid w:val="004776C7"/>
    <w:rsid w:val="00477BE7"/>
    <w:rsid w:val="0048059C"/>
    <w:rsid w:val="0048085D"/>
    <w:rsid w:val="004808E6"/>
    <w:rsid w:val="004808E9"/>
    <w:rsid w:val="004810AE"/>
    <w:rsid w:val="00481115"/>
    <w:rsid w:val="0048118D"/>
    <w:rsid w:val="00481239"/>
    <w:rsid w:val="004812E1"/>
    <w:rsid w:val="00481B76"/>
    <w:rsid w:val="004820A0"/>
    <w:rsid w:val="0048262B"/>
    <w:rsid w:val="004826B6"/>
    <w:rsid w:val="00482F67"/>
    <w:rsid w:val="004835C1"/>
    <w:rsid w:val="00483AE0"/>
    <w:rsid w:val="00484026"/>
    <w:rsid w:val="00484497"/>
    <w:rsid w:val="004844BA"/>
    <w:rsid w:val="00484949"/>
    <w:rsid w:val="00484B9B"/>
    <w:rsid w:val="00484D39"/>
    <w:rsid w:val="00485204"/>
    <w:rsid w:val="0048521D"/>
    <w:rsid w:val="004855F6"/>
    <w:rsid w:val="00485D4F"/>
    <w:rsid w:val="0048650D"/>
    <w:rsid w:val="0048661E"/>
    <w:rsid w:val="00486A29"/>
    <w:rsid w:val="00486FED"/>
    <w:rsid w:val="004872C4"/>
    <w:rsid w:val="00487FCC"/>
    <w:rsid w:val="004916BB"/>
    <w:rsid w:val="004917A9"/>
    <w:rsid w:val="00491B52"/>
    <w:rsid w:val="00491CBC"/>
    <w:rsid w:val="00491F05"/>
    <w:rsid w:val="0049236C"/>
    <w:rsid w:val="004923AB"/>
    <w:rsid w:val="0049266B"/>
    <w:rsid w:val="0049287B"/>
    <w:rsid w:val="00493456"/>
    <w:rsid w:val="004934DF"/>
    <w:rsid w:val="00493BFA"/>
    <w:rsid w:val="00494547"/>
    <w:rsid w:val="00494670"/>
    <w:rsid w:val="0049474C"/>
    <w:rsid w:val="0049483E"/>
    <w:rsid w:val="00495BC3"/>
    <w:rsid w:val="00495DA0"/>
    <w:rsid w:val="00495E34"/>
    <w:rsid w:val="00496034"/>
    <w:rsid w:val="004961E5"/>
    <w:rsid w:val="00496D78"/>
    <w:rsid w:val="00496E43"/>
    <w:rsid w:val="00497BB5"/>
    <w:rsid w:val="00497C83"/>
    <w:rsid w:val="004A00C8"/>
    <w:rsid w:val="004A0284"/>
    <w:rsid w:val="004A05A3"/>
    <w:rsid w:val="004A0A2B"/>
    <w:rsid w:val="004A0F51"/>
    <w:rsid w:val="004A12CA"/>
    <w:rsid w:val="004A1AD2"/>
    <w:rsid w:val="004A1CB0"/>
    <w:rsid w:val="004A2D72"/>
    <w:rsid w:val="004A2EED"/>
    <w:rsid w:val="004A314B"/>
    <w:rsid w:val="004A35AC"/>
    <w:rsid w:val="004A3823"/>
    <w:rsid w:val="004A3C46"/>
    <w:rsid w:val="004A440B"/>
    <w:rsid w:val="004A4E1D"/>
    <w:rsid w:val="004A4ED1"/>
    <w:rsid w:val="004A5169"/>
    <w:rsid w:val="004A56CC"/>
    <w:rsid w:val="004A68D9"/>
    <w:rsid w:val="004A6A1B"/>
    <w:rsid w:val="004A6B43"/>
    <w:rsid w:val="004A6E6D"/>
    <w:rsid w:val="004A733A"/>
    <w:rsid w:val="004A7545"/>
    <w:rsid w:val="004A7A2C"/>
    <w:rsid w:val="004B0540"/>
    <w:rsid w:val="004B072D"/>
    <w:rsid w:val="004B096E"/>
    <w:rsid w:val="004B147F"/>
    <w:rsid w:val="004B1FD9"/>
    <w:rsid w:val="004B239E"/>
    <w:rsid w:val="004B2D2C"/>
    <w:rsid w:val="004B3359"/>
    <w:rsid w:val="004B4257"/>
    <w:rsid w:val="004B47A7"/>
    <w:rsid w:val="004B5251"/>
    <w:rsid w:val="004B5B5B"/>
    <w:rsid w:val="004B5EDF"/>
    <w:rsid w:val="004B6174"/>
    <w:rsid w:val="004B6592"/>
    <w:rsid w:val="004B6682"/>
    <w:rsid w:val="004B6936"/>
    <w:rsid w:val="004B6CCF"/>
    <w:rsid w:val="004B6E0A"/>
    <w:rsid w:val="004B7925"/>
    <w:rsid w:val="004C0468"/>
    <w:rsid w:val="004C0A09"/>
    <w:rsid w:val="004C0C13"/>
    <w:rsid w:val="004C1202"/>
    <w:rsid w:val="004C12E3"/>
    <w:rsid w:val="004C12F1"/>
    <w:rsid w:val="004C1474"/>
    <w:rsid w:val="004C1818"/>
    <w:rsid w:val="004C1B0F"/>
    <w:rsid w:val="004C1B1B"/>
    <w:rsid w:val="004C1C6C"/>
    <w:rsid w:val="004C1E45"/>
    <w:rsid w:val="004C3215"/>
    <w:rsid w:val="004C36F4"/>
    <w:rsid w:val="004C385D"/>
    <w:rsid w:val="004C438F"/>
    <w:rsid w:val="004C44D9"/>
    <w:rsid w:val="004C4C61"/>
    <w:rsid w:val="004C4D66"/>
    <w:rsid w:val="004C4E12"/>
    <w:rsid w:val="004C4E76"/>
    <w:rsid w:val="004C4E8E"/>
    <w:rsid w:val="004C4EFE"/>
    <w:rsid w:val="004C4F59"/>
    <w:rsid w:val="004C57E1"/>
    <w:rsid w:val="004C580B"/>
    <w:rsid w:val="004C58DC"/>
    <w:rsid w:val="004C5A23"/>
    <w:rsid w:val="004C5A52"/>
    <w:rsid w:val="004C5C80"/>
    <w:rsid w:val="004C5E23"/>
    <w:rsid w:val="004C68D9"/>
    <w:rsid w:val="004C6A4C"/>
    <w:rsid w:val="004C6D55"/>
    <w:rsid w:val="004C6E7B"/>
    <w:rsid w:val="004C7BC8"/>
    <w:rsid w:val="004C7D34"/>
    <w:rsid w:val="004D06AC"/>
    <w:rsid w:val="004D070A"/>
    <w:rsid w:val="004D0732"/>
    <w:rsid w:val="004D085B"/>
    <w:rsid w:val="004D0944"/>
    <w:rsid w:val="004D0F9D"/>
    <w:rsid w:val="004D2034"/>
    <w:rsid w:val="004D2459"/>
    <w:rsid w:val="004D303B"/>
    <w:rsid w:val="004D3685"/>
    <w:rsid w:val="004D389E"/>
    <w:rsid w:val="004D3A6C"/>
    <w:rsid w:val="004D3B42"/>
    <w:rsid w:val="004D3FAB"/>
    <w:rsid w:val="004D4063"/>
    <w:rsid w:val="004D4683"/>
    <w:rsid w:val="004D4D0E"/>
    <w:rsid w:val="004D4ECB"/>
    <w:rsid w:val="004D5523"/>
    <w:rsid w:val="004D5C0B"/>
    <w:rsid w:val="004D5F35"/>
    <w:rsid w:val="004D5F47"/>
    <w:rsid w:val="004D66C3"/>
    <w:rsid w:val="004D6E22"/>
    <w:rsid w:val="004D7137"/>
    <w:rsid w:val="004D7238"/>
    <w:rsid w:val="004D7487"/>
    <w:rsid w:val="004D78E7"/>
    <w:rsid w:val="004E00BA"/>
    <w:rsid w:val="004E06B7"/>
    <w:rsid w:val="004E0ECB"/>
    <w:rsid w:val="004E114E"/>
    <w:rsid w:val="004E1199"/>
    <w:rsid w:val="004E18F7"/>
    <w:rsid w:val="004E1DC2"/>
    <w:rsid w:val="004E2595"/>
    <w:rsid w:val="004E2953"/>
    <w:rsid w:val="004E2C3B"/>
    <w:rsid w:val="004E2FBF"/>
    <w:rsid w:val="004E36C1"/>
    <w:rsid w:val="004E37A4"/>
    <w:rsid w:val="004E3D25"/>
    <w:rsid w:val="004E43DF"/>
    <w:rsid w:val="004E4A0C"/>
    <w:rsid w:val="004E4BAB"/>
    <w:rsid w:val="004E5308"/>
    <w:rsid w:val="004E5389"/>
    <w:rsid w:val="004E55A6"/>
    <w:rsid w:val="004E5896"/>
    <w:rsid w:val="004E5A4D"/>
    <w:rsid w:val="004E5D00"/>
    <w:rsid w:val="004E5DFC"/>
    <w:rsid w:val="004E5FE0"/>
    <w:rsid w:val="004E65F1"/>
    <w:rsid w:val="004E6785"/>
    <w:rsid w:val="004E6946"/>
    <w:rsid w:val="004E6A2D"/>
    <w:rsid w:val="004E7353"/>
    <w:rsid w:val="004E780D"/>
    <w:rsid w:val="004E7839"/>
    <w:rsid w:val="004E7B79"/>
    <w:rsid w:val="004E7CCE"/>
    <w:rsid w:val="004F008C"/>
    <w:rsid w:val="004F05E8"/>
    <w:rsid w:val="004F061D"/>
    <w:rsid w:val="004F0911"/>
    <w:rsid w:val="004F0DA9"/>
    <w:rsid w:val="004F0E03"/>
    <w:rsid w:val="004F0F85"/>
    <w:rsid w:val="004F0FD0"/>
    <w:rsid w:val="004F1228"/>
    <w:rsid w:val="004F145A"/>
    <w:rsid w:val="004F1AAE"/>
    <w:rsid w:val="004F1AD8"/>
    <w:rsid w:val="004F2015"/>
    <w:rsid w:val="004F2351"/>
    <w:rsid w:val="004F2747"/>
    <w:rsid w:val="004F2789"/>
    <w:rsid w:val="004F2AA7"/>
    <w:rsid w:val="004F312B"/>
    <w:rsid w:val="004F313E"/>
    <w:rsid w:val="004F332E"/>
    <w:rsid w:val="004F3DB4"/>
    <w:rsid w:val="004F485E"/>
    <w:rsid w:val="004F48A6"/>
    <w:rsid w:val="004F54D3"/>
    <w:rsid w:val="004F6028"/>
    <w:rsid w:val="004F6083"/>
    <w:rsid w:val="004F65E7"/>
    <w:rsid w:val="004F6C85"/>
    <w:rsid w:val="004F73F2"/>
    <w:rsid w:val="004F796B"/>
    <w:rsid w:val="00500A4A"/>
    <w:rsid w:val="00501673"/>
    <w:rsid w:val="00501C4C"/>
    <w:rsid w:val="00501D49"/>
    <w:rsid w:val="00501E8E"/>
    <w:rsid w:val="00501E9E"/>
    <w:rsid w:val="00502564"/>
    <w:rsid w:val="005025D5"/>
    <w:rsid w:val="00502933"/>
    <w:rsid w:val="0050293C"/>
    <w:rsid w:val="005034A8"/>
    <w:rsid w:val="00503572"/>
    <w:rsid w:val="005039CB"/>
    <w:rsid w:val="00503D64"/>
    <w:rsid w:val="00503E31"/>
    <w:rsid w:val="00504461"/>
    <w:rsid w:val="005047C7"/>
    <w:rsid w:val="00505410"/>
    <w:rsid w:val="0050558F"/>
    <w:rsid w:val="00505BBD"/>
    <w:rsid w:val="00505EA1"/>
    <w:rsid w:val="00506286"/>
    <w:rsid w:val="00506957"/>
    <w:rsid w:val="0050714B"/>
    <w:rsid w:val="00507679"/>
    <w:rsid w:val="00510813"/>
    <w:rsid w:val="00510F97"/>
    <w:rsid w:val="00511242"/>
    <w:rsid w:val="005115D1"/>
    <w:rsid w:val="00511653"/>
    <w:rsid w:val="0051173C"/>
    <w:rsid w:val="00511800"/>
    <w:rsid w:val="00511826"/>
    <w:rsid w:val="00511990"/>
    <w:rsid w:val="00511DE0"/>
    <w:rsid w:val="005122F2"/>
    <w:rsid w:val="005127C5"/>
    <w:rsid w:val="005129CB"/>
    <w:rsid w:val="00512B24"/>
    <w:rsid w:val="00512FE0"/>
    <w:rsid w:val="00513CA8"/>
    <w:rsid w:val="00513FBD"/>
    <w:rsid w:val="00514015"/>
    <w:rsid w:val="005142A9"/>
    <w:rsid w:val="0051440E"/>
    <w:rsid w:val="00514870"/>
    <w:rsid w:val="00514B9B"/>
    <w:rsid w:val="00514BA1"/>
    <w:rsid w:val="00514BE5"/>
    <w:rsid w:val="00514C58"/>
    <w:rsid w:val="005150D0"/>
    <w:rsid w:val="00515205"/>
    <w:rsid w:val="0051531E"/>
    <w:rsid w:val="00515375"/>
    <w:rsid w:val="005154B2"/>
    <w:rsid w:val="00515E59"/>
    <w:rsid w:val="005161D8"/>
    <w:rsid w:val="0051638F"/>
    <w:rsid w:val="005165E3"/>
    <w:rsid w:val="005167CE"/>
    <w:rsid w:val="00516F22"/>
    <w:rsid w:val="00517141"/>
    <w:rsid w:val="0051764F"/>
    <w:rsid w:val="00517C81"/>
    <w:rsid w:val="00517F02"/>
    <w:rsid w:val="005200B3"/>
    <w:rsid w:val="005200CD"/>
    <w:rsid w:val="0052071E"/>
    <w:rsid w:val="00520752"/>
    <w:rsid w:val="005207C5"/>
    <w:rsid w:val="0052094B"/>
    <w:rsid w:val="00520B8F"/>
    <w:rsid w:val="00520E73"/>
    <w:rsid w:val="005223C4"/>
    <w:rsid w:val="00522511"/>
    <w:rsid w:val="00522640"/>
    <w:rsid w:val="005226B9"/>
    <w:rsid w:val="00522C25"/>
    <w:rsid w:val="0052337D"/>
    <w:rsid w:val="00523443"/>
    <w:rsid w:val="00523722"/>
    <w:rsid w:val="00523D90"/>
    <w:rsid w:val="00523EE0"/>
    <w:rsid w:val="00523F0B"/>
    <w:rsid w:val="00523FD6"/>
    <w:rsid w:val="00524303"/>
    <w:rsid w:val="0052434D"/>
    <w:rsid w:val="00524A2D"/>
    <w:rsid w:val="00524D64"/>
    <w:rsid w:val="00525021"/>
    <w:rsid w:val="00525022"/>
    <w:rsid w:val="005257D8"/>
    <w:rsid w:val="005258A2"/>
    <w:rsid w:val="00525C71"/>
    <w:rsid w:val="00525C94"/>
    <w:rsid w:val="00526180"/>
    <w:rsid w:val="00526302"/>
    <w:rsid w:val="00526375"/>
    <w:rsid w:val="00526597"/>
    <w:rsid w:val="00526AEF"/>
    <w:rsid w:val="00526C8A"/>
    <w:rsid w:val="00526D46"/>
    <w:rsid w:val="00526EBB"/>
    <w:rsid w:val="00526EE9"/>
    <w:rsid w:val="00527285"/>
    <w:rsid w:val="005274BB"/>
    <w:rsid w:val="00527733"/>
    <w:rsid w:val="00527756"/>
    <w:rsid w:val="00527986"/>
    <w:rsid w:val="00527BC7"/>
    <w:rsid w:val="00527FC8"/>
    <w:rsid w:val="00530040"/>
    <w:rsid w:val="005300D9"/>
    <w:rsid w:val="005300FD"/>
    <w:rsid w:val="00530377"/>
    <w:rsid w:val="005303C0"/>
    <w:rsid w:val="00530C52"/>
    <w:rsid w:val="00530E70"/>
    <w:rsid w:val="0053134D"/>
    <w:rsid w:val="005313CE"/>
    <w:rsid w:val="00531707"/>
    <w:rsid w:val="005324F3"/>
    <w:rsid w:val="005326F8"/>
    <w:rsid w:val="005326FF"/>
    <w:rsid w:val="0053366C"/>
    <w:rsid w:val="0053397E"/>
    <w:rsid w:val="00533D07"/>
    <w:rsid w:val="00534914"/>
    <w:rsid w:val="00534954"/>
    <w:rsid w:val="00534BD3"/>
    <w:rsid w:val="00534DF9"/>
    <w:rsid w:val="00534F93"/>
    <w:rsid w:val="005350FC"/>
    <w:rsid w:val="0053522D"/>
    <w:rsid w:val="00535C52"/>
    <w:rsid w:val="00535C61"/>
    <w:rsid w:val="00535D4A"/>
    <w:rsid w:val="0053603E"/>
    <w:rsid w:val="005360F7"/>
    <w:rsid w:val="005364B8"/>
    <w:rsid w:val="00536D1A"/>
    <w:rsid w:val="00536F64"/>
    <w:rsid w:val="0053727F"/>
    <w:rsid w:val="005375D1"/>
    <w:rsid w:val="00537B58"/>
    <w:rsid w:val="00537D85"/>
    <w:rsid w:val="00537E6C"/>
    <w:rsid w:val="0054001A"/>
    <w:rsid w:val="00540198"/>
    <w:rsid w:val="005401AE"/>
    <w:rsid w:val="0054076F"/>
    <w:rsid w:val="00540C3E"/>
    <w:rsid w:val="005416D0"/>
    <w:rsid w:val="005419A6"/>
    <w:rsid w:val="00541B21"/>
    <w:rsid w:val="005422F0"/>
    <w:rsid w:val="00542339"/>
    <w:rsid w:val="005426D7"/>
    <w:rsid w:val="00542A08"/>
    <w:rsid w:val="00542ACF"/>
    <w:rsid w:val="00542E07"/>
    <w:rsid w:val="005432F0"/>
    <w:rsid w:val="0054341D"/>
    <w:rsid w:val="005435DF"/>
    <w:rsid w:val="005439B9"/>
    <w:rsid w:val="00543A6A"/>
    <w:rsid w:val="00543C0F"/>
    <w:rsid w:val="005442FE"/>
    <w:rsid w:val="0054476E"/>
    <w:rsid w:val="005447A8"/>
    <w:rsid w:val="0054482A"/>
    <w:rsid w:val="00544B81"/>
    <w:rsid w:val="00545057"/>
    <w:rsid w:val="005451D3"/>
    <w:rsid w:val="00545203"/>
    <w:rsid w:val="00545294"/>
    <w:rsid w:val="00545424"/>
    <w:rsid w:val="0054560B"/>
    <w:rsid w:val="00545830"/>
    <w:rsid w:val="00545A8C"/>
    <w:rsid w:val="00545BC7"/>
    <w:rsid w:val="0054633F"/>
    <w:rsid w:val="0054661E"/>
    <w:rsid w:val="005466CA"/>
    <w:rsid w:val="00546B48"/>
    <w:rsid w:val="00547238"/>
    <w:rsid w:val="00547484"/>
    <w:rsid w:val="00547D36"/>
    <w:rsid w:val="00547E60"/>
    <w:rsid w:val="005502FE"/>
    <w:rsid w:val="005504B7"/>
    <w:rsid w:val="005505FA"/>
    <w:rsid w:val="005507EF"/>
    <w:rsid w:val="005508ED"/>
    <w:rsid w:val="0055090B"/>
    <w:rsid w:val="00550D7F"/>
    <w:rsid w:val="00550FA9"/>
    <w:rsid w:val="005510EE"/>
    <w:rsid w:val="005518C4"/>
    <w:rsid w:val="00551AFE"/>
    <w:rsid w:val="00552598"/>
    <w:rsid w:val="005532B6"/>
    <w:rsid w:val="00553424"/>
    <w:rsid w:val="00553625"/>
    <w:rsid w:val="0055369B"/>
    <w:rsid w:val="00553F9B"/>
    <w:rsid w:val="005545AE"/>
    <w:rsid w:val="00554681"/>
    <w:rsid w:val="00554A7B"/>
    <w:rsid w:val="00554B8E"/>
    <w:rsid w:val="00554D3D"/>
    <w:rsid w:val="0055572C"/>
    <w:rsid w:val="00555DFD"/>
    <w:rsid w:val="00556139"/>
    <w:rsid w:val="00556245"/>
    <w:rsid w:val="005569CF"/>
    <w:rsid w:val="00556B3F"/>
    <w:rsid w:val="0055766C"/>
    <w:rsid w:val="005600A9"/>
    <w:rsid w:val="005601C8"/>
    <w:rsid w:val="005602FF"/>
    <w:rsid w:val="005603C0"/>
    <w:rsid w:val="00560C1F"/>
    <w:rsid w:val="0056106A"/>
    <w:rsid w:val="00561506"/>
    <w:rsid w:val="0056167D"/>
    <w:rsid w:val="00561B42"/>
    <w:rsid w:val="0056219D"/>
    <w:rsid w:val="00562462"/>
    <w:rsid w:val="005636C1"/>
    <w:rsid w:val="00563D4B"/>
    <w:rsid w:val="00564341"/>
    <w:rsid w:val="00564BC1"/>
    <w:rsid w:val="00565296"/>
    <w:rsid w:val="00565879"/>
    <w:rsid w:val="00565D82"/>
    <w:rsid w:val="005663EB"/>
    <w:rsid w:val="005664F4"/>
    <w:rsid w:val="005667E9"/>
    <w:rsid w:val="00566A73"/>
    <w:rsid w:val="00567218"/>
    <w:rsid w:val="00567242"/>
    <w:rsid w:val="0056767D"/>
    <w:rsid w:val="00567A9C"/>
    <w:rsid w:val="00567FD2"/>
    <w:rsid w:val="00570232"/>
    <w:rsid w:val="005706A9"/>
    <w:rsid w:val="00570837"/>
    <w:rsid w:val="00570D6D"/>
    <w:rsid w:val="00570DF2"/>
    <w:rsid w:val="00571A6C"/>
    <w:rsid w:val="005720AE"/>
    <w:rsid w:val="00572145"/>
    <w:rsid w:val="00572514"/>
    <w:rsid w:val="005727B9"/>
    <w:rsid w:val="0057288C"/>
    <w:rsid w:val="00572C0F"/>
    <w:rsid w:val="00572C8E"/>
    <w:rsid w:val="00572D3F"/>
    <w:rsid w:val="00572E60"/>
    <w:rsid w:val="005731F9"/>
    <w:rsid w:val="005735C0"/>
    <w:rsid w:val="005738A6"/>
    <w:rsid w:val="0057407E"/>
    <w:rsid w:val="005745CC"/>
    <w:rsid w:val="005749A0"/>
    <w:rsid w:val="00575503"/>
    <w:rsid w:val="00575597"/>
    <w:rsid w:val="00575CB4"/>
    <w:rsid w:val="00575CCD"/>
    <w:rsid w:val="00575E1B"/>
    <w:rsid w:val="005762FD"/>
    <w:rsid w:val="00576D1D"/>
    <w:rsid w:val="00576F3F"/>
    <w:rsid w:val="00576FDB"/>
    <w:rsid w:val="00577753"/>
    <w:rsid w:val="00580516"/>
    <w:rsid w:val="0058086D"/>
    <w:rsid w:val="0058087A"/>
    <w:rsid w:val="00580B25"/>
    <w:rsid w:val="00580B44"/>
    <w:rsid w:val="00580D0D"/>
    <w:rsid w:val="0058113B"/>
    <w:rsid w:val="0058145E"/>
    <w:rsid w:val="00581F33"/>
    <w:rsid w:val="00582768"/>
    <w:rsid w:val="00582AEC"/>
    <w:rsid w:val="0058358F"/>
    <w:rsid w:val="00583688"/>
    <w:rsid w:val="005840D1"/>
    <w:rsid w:val="005840F7"/>
    <w:rsid w:val="005843AF"/>
    <w:rsid w:val="00584578"/>
    <w:rsid w:val="0058465B"/>
    <w:rsid w:val="00585AC7"/>
    <w:rsid w:val="00586060"/>
    <w:rsid w:val="005866E2"/>
    <w:rsid w:val="005868AF"/>
    <w:rsid w:val="0058699B"/>
    <w:rsid w:val="00587067"/>
    <w:rsid w:val="005878ED"/>
    <w:rsid w:val="00587C7F"/>
    <w:rsid w:val="00587EA7"/>
    <w:rsid w:val="00587FA4"/>
    <w:rsid w:val="005906A8"/>
    <w:rsid w:val="00590725"/>
    <w:rsid w:val="00590B9D"/>
    <w:rsid w:val="005911AD"/>
    <w:rsid w:val="005914B3"/>
    <w:rsid w:val="00591AA1"/>
    <w:rsid w:val="00592550"/>
    <w:rsid w:val="00592628"/>
    <w:rsid w:val="0059288A"/>
    <w:rsid w:val="00592EE4"/>
    <w:rsid w:val="005939C0"/>
    <w:rsid w:val="00594099"/>
    <w:rsid w:val="00594B8B"/>
    <w:rsid w:val="00594C85"/>
    <w:rsid w:val="00594D77"/>
    <w:rsid w:val="0059512B"/>
    <w:rsid w:val="005951A0"/>
    <w:rsid w:val="00595792"/>
    <w:rsid w:val="00595AA7"/>
    <w:rsid w:val="00595AFE"/>
    <w:rsid w:val="005969E4"/>
    <w:rsid w:val="00596C19"/>
    <w:rsid w:val="00596C4E"/>
    <w:rsid w:val="00596D01"/>
    <w:rsid w:val="00596D6D"/>
    <w:rsid w:val="00596D9E"/>
    <w:rsid w:val="0059750A"/>
    <w:rsid w:val="00597549"/>
    <w:rsid w:val="00597F8D"/>
    <w:rsid w:val="005A0341"/>
    <w:rsid w:val="005A0418"/>
    <w:rsid w:val="005A05CD"/>
    <w:rsid w:val="005A0636"/>
    <w:rsid w:val="005A06B7"/>
    <w:rsid w:val="005A0930"/>
    <w:rsid w:val="005A0B1D"/>
    <w:rsid w:val="005A0C8A"/>
    <w:rsid w:val="005A1759"/>
    <w:rsid w:val="005A1AAA"/>
    <w:rsid w:val="005A1B15"/>
    <w:rsid w:val="005A1C76"/>
    <w:rsid w:val="005A1E51"/>
    <w:rsid w:val="005A230D"/>
    <w:rsid w:val="005A26FC"/>
    <w:rsid w:val="005A2701"/>
    <w:rsid w:val="005A2771"/>
    <w:rsid w:val="005A2D83"/>
    <w:rsid w:val="005A2DEC"/>
    <w:rsid w:val="005A2EE4"/>
    <w:rsid w:val="005A2FF9"/>
    <w:rsid w:val="005A30EB"/>
    <w:rsid w:val="005A3439"/>
    <w:rsid w:val="005A356E"/>
    <w:rsid w:val="005A357F"/>
    <w:rsid w:val="005A3768"/>
    <w:rsid w:val="005A3EC9"/>
    <w:rsid w:val="005A4246"/>
    <w:rsid w:val="005A489C"/>
    <w:rsid w:val="005A4D6D"/>
    <w:rsid w:val="005A5456"/>
    <w:rsid w:val="005A54A2"/>
    <w:rsid w:val="005A571E"/>
    <w:rsid w:val="005A5A7A"/>
    <w:rsid w:val="005A642A"/>
    <w:rsid w:val="005A6721"/>
    <w:rsid w:val="005A68A7"/>
    <w:rsid w:val="005A6BAC"/>
    <w:rsid w:val="005A6E20"/>
    <w:rsid w:val="005A6EAE"/>
    <w:rsid w:val="005A6EDE"/>
    <w:rsid w:val="005A7128"/>
    <w:rsid w:val="005A72AF"/>
    <w:rsid w:val="005A7377"/>
    <w:rsid w:val="005A7896"/>
    <w:rsid w:val="005B00A0"/>
    <w:rsid w:val="005B014C"/>
    <w:rsid w:val="005B0A96"/>
    <w:rsid w:val="005B0E24"/>
    <w:rsid w:val="005B12F8"/>
    <w:rsid w:val="005B2103"/>
    <w:rsid w:val="005B2589"/>
    <w:rsid w:val="005B2F75"/>
    <w:rsid w:val="005B3138"/>
    <w:rsid w:val="005B3141"/>
    <w:rsid w:val="005B3174"/>
    <w:rsid w:val="005B37B3"/>
    <w:rsid w:val="005B37CD"/>
    <w:rsid w:val="005B39A8"/>
    <w:rsid w:val="005B3C33"/>
    <w:rsid w:val="005B3C97"/>
    <w:rsid w:val="005B41E8"/>
    <w:rsid w:val="005B47A2"/>
    <w:rsid w:val="005B4B4E"/>
    <w:rsid w:val="005B4B80"/>
    <w:rsid w:val="005B4B85"/>
    <w:rsid w:val="005B4BD9"/>
    <w:rsid w:val="005B4C0F"/>
    <w:rsid w:val="005B52E7"/>
    <w:rsid w:val="005B54C4"/>
    <w:rsid w:val="005B5BC2"/>
    <w:rsid w:val="005B60C0"/>
    <w:rsid w:val="005B674C"/>
    <w:rsid w:val="005B6765"/>
    <w:rsid w:val="005B6AE6"/>
    <w:rsid w:val="005B6DB3"/>
    <w:rsid w:val="005B747F"/>
    <w:rsid w:val="005B75F6"/>
    <w:rsid w:val="005B7648"/>
    <w:rsid w:val="005B7843"/>
    <w:rsid w:val="005B7A40"/>
    <w:rsid w:val="005B7A4F"/>
    <w:rsid w:val="005B7DA9"/>
    <w:rsid w:val="005B7EE7"/>
    <w:rsid w:val="005B7F3B"/>
    <w:rsid w:val="005B7F72"/>
    <w:rsid w:val="005B7FFD"/>
    <w:rsid w:val="005C062A"/>
    <w:rsid w:val="005C06DE"/>
    <w:rsid w:val="005C0E1D"/>
    <w:rsid w:val="005C0F37"/>
    <w:rsid w:val="005C1052"/>
    <w:rsid w:val="005C1839"/>
    <w:rsid w:val="005C28D1"/>
    <w:rsid w:val="005C2928"/>
    <w:rsid w:val="005C29C9"/>
    <w:rsid w:val="005C2D86"/>
    <w:rsid w:val="005C3260"/>
    <w:rsid w:val="005C326C"/>
    <w:rsid w:val="005C377A"/>
    <w:rsid w:val="005C3E65"/>
    <w:rsid w:val="005C40B5"/>
    <w:rsid w:val="005C48FD"/>
    <w:rsid w:val="005C49B1"/>
    <w:rsid w:val="005C4BB4"/>
    <w:rsid w:val="005C5247"/>
    <w:rsid w:val="005C5D4F"/>
    <w:rsid w:val="005C615F"/>
    <w:rsid w:val="005C6DA1"/>
    <w:rsid w:val="005C6E58"/>
    <w:rsid w:val="005C79BD"/>
    <w:rsid w:val="005D0024"/>
    <w:rsid w:val="005D002F"/>
    <w:rsid w:val="005D062A"/>
    <w:rsid w:val="005D0ACD"/>
    <w:rsid w:val="005D0FB1"/>
    <w:rsid w:val="005D1BAB"/>
    <w:rsid w:val="005D29F6"/>
    <w:rsid w:val="005D30CA"/>
    <w:rsid w:val="005D3525"/>
    <w:rsid w:val="005D368F"/>
    <w:rsid w:val="005D36AB"/>
    <w:rsid w:val="005D3941"/>
    <w:rsid w:val="005D3A79"/>
    <w:rsid w:val="005D3E26"/>
    <w:rsid w:val="005D4532"/>
    <w:rsid w:val="005D47A4"/>
    <w:rsid w:val="005D5029"/>
    <w:rsid w:val="005D53CA"/>
    <w:rsid w:val="005D5520"/>
    <w:rsid w:val="005D5729"/>
    <w:rsid w:val="005D57BD"/>
    <w:rsid w:val="005D591E"/>
    <w:rsid w:val="005D5B5D"/>
    <w:rsid w:val="005D5B69"/>
    <w:rsid w:val="005D5DB0"/>
    <w:rsid w:val="005D61E1"/>
    <w:rsid w:val="005D6276"/>
    <w:rsid w:val="005D6687"/>
    <w:rsid w:val="005D6720"/>
    <w:rsid w:val="005D68C4"/>
    <w:rsid w:val="005D6A1B"/>
    <w:rsid w:val="005D6AE8"/>
    <w:rsid w:val="005D7148"/>
    <w:rsid w:val="005D730C"/>
    <w:rsid w:val="005D74C1"/>
    <w:rsid w:val="005D74D1"/>
    <w:rsid w:val="005D79B1"/>
    <w:rsid w:val="005D7A0B"/>
    <w:rsid w:val="005D7B70"/>
    <w:rsid w:val="005E042D"/>
    <w:rsid w:val="005E07A0"/>
    <w:rsid w:val="005E09C4"/>
    <w:rsid w:val="005E0AA6"/>
    <w:rsid w:val="005E106F"/>
    <w:rsid w:val="005E1C35"/>
    <w:rsid w:val="005E20E8"/>
    <w:rsid w:val="005E2240"/>
    <w:rsid w:val="005E2454"/>
    <w:rsid w:val="005E26BE"/>
    <w:rsid w:val="005E271F"/>
    <w:rsid w:val="005E28D4"/>
    <w:rsid w:val="005E2A3C"/>
    <w:rsid w:val="005E2E4E"/>
    <w:rsid w:val="005E2FF3"/>
    <w:rsid w:val="005E3183"/>
    <w:rsid w:val="005E31F6"/>
    <w:rsid w:val="005E346B"/>
    <w:rsid w:val="005E3C7F"/>
    <w:rsid w:val="005E4732"/>
    <w:rsid w:val="005E49C7"/>
    <w:rsid w:val="005E5047"/>
    <w:rsid w:val="005E58C1"/>
    <w:rsid w:val="005E5B84"/>
    <w:rsid w:val="005E5EB3"/>
    <w:rsid w:val="005E6099"/>
    <w:rsid w:val="005E66CE"/>
    <w:rsid w:val="005E6867"/>
    <w:rsid w:val="005E6964"/>
    <w:rsid w:val="005E720F"/>
    <w:rsid w:val="005E7353"/>
    <w:rsid w:val="005E7FAC"/>
    <w:rsid w:val="005F01DE"/>
    <w:rsid w:val="005F0A3A"/>
    <w:rsid w:val="005F1992"/>
    <w:rsid w:val="005F1E40"/>
    <w:rsid w:val="005F1FFA"/>
    <w:rsid w:val="005F22B0"/>
    <w:rsid w:val="005F2807"/>
    <w:rsid w:val="005F2A21"/>
    <w:rsid w:val="005F2ABE"/>
    <w:rsid w:val="005F2E41"/>
    <w:rsid w:val="005F30B1"/>
    <w:rsid w:val="005F30F4"/>
    <w:rsid w:val="005F3363"/>
    <w:rsid w:val="005F3493"/>
    <w:rsid w:val="005F3708"/>
    <w:rsid w:val="005F3A06"/>
    <w:rsid w:val="005F3BE7"/>
    <w:rsid w:val="005F3C69"/>
    <w:rsid w:val="005F3D69"/>
    <w:rsid w:val="005F3EAF"/>
    <w:rsid w:val="005F3F15"/>
    <w:rsid w:val="005F471F"/>
    <w:rsid w:val="005F490E"/>
    <w:rsid w:val="005F4973"/>
    <w:rsid w:val="005F5348"/>
    <w:rsid w:val="005F60A3"/>
    <w:rsid w:val="005F6182"/>
    <w:rsid w:val="005F676B"/>
    <w:rsid w:val="005F696B"/>
    <w:rsid w:val="005F6F09"/>
    <w:rsid w:val="005F716F"/>
    <w:rsid w:val="005F7173"/>
    <w:rsid w:val="005F7256"/>
    <w:rsid w:val="005F7622"/>
    <w:rsid w:val="005F789A"/>
    <w:rsid w:val="005F790F"/>
    <w:rsid w:val="005F7B4F"/>
    <w:rsid w:val="006001B1"/>
    <w:rsid w:val="006005CF"/>
    <w:rsid w:val="00600E77"/>
    <w:rsid w:val="00601C22"/>
    <w:rsid w:val="00601C40"/>
    <w:rsid w:val="00601FE3"/>
    <w:rsid w:val="006021E0"/>
    <w:rsid w:val="006023F5"/>
    <w:rsid w:val="006024E0"/>
    <w:rsid w:val="00602BE4"/>
    <w:rsid w:val="00602CB7"/>
    <w:rsid w:val="00602E93"/>
    <w:rsid w:val="00604002"/>
    <w:rsid w:val="006044F0"/>
    <w:rsid w:val="00604A5C"/>
    <w:rsid w:val="00604EEF"/>
    <w:rsid w:val="00605475"/>
    <w:rsid w:val="006057B4"/>
    <w:rsid w:val="00605B99"/>
    <w:rsid w:val="00605EC0"/>
    <w:rsid w:val="00605FDD"/>
    <w:rsid w:val="006061A7"/>
    <w:rsid w:val="00606539"/>
    <w:rsid w:val="00607086"/>
    <w:rsid w:val="00607296"/>
    <w:rsid w:val="0060776C"/>
    <w:rsid w:val="00607B25"/>
    <w:rsid w:val="00607CDE"/>
    <w:rsid w:val="006101FD"/>
    <w:rsid w:val="00610234"/>
    <w:rsid w:val="00610405"/>
    <w:rsid w:val="00610BB8"/>
    <w:rsid w:val="00610C56"/>
    <w:rsid w:val="006110DC"/>
    <w:rsid w:val="006112F0"/>
    <w:rsid w:val="00611487"/>
    <w:rsid w:val="00611B98"/>
    <w:rsid w:val="00611C45"/>
    <w:rsid w:val="0061262A"/>
    <w:rsid w:val="00612956"/>
    <w:rsid w:val="00612CB2"/>
    <w:rsid w:val="00613951"/>
    <w:rsid w:val="00613D40"/>
    <w:rsid w:val="00613DE5"/>
    <w:rsid w:val="00614041"/>
    <w:rsid w:val="0061411E"/>
    <w:rsid w:val="00614769"/>
    <w:rsid w:val="00614EB6"/>
    <w:rsid w:val="0061529D"/>
    <w:rsid w:val="006158C5"/>
    <w:rsid w:val="00615A95"/>
    <w:rsid w:val="006163CA"/>
    <w:rsid w:val="006164C9"/>
    <w:rsid w:val="00616F36"/>
    <w:rsid w:val="0061700E"/>
    <w:rsid w:val="00617881"/>
    <w:rsid w:val="00617CC3"/>
    <w:rsid w:val="00617E30"/>
    <w:rsid w:val="00617EF0"/>
    <w:rsid w:val="00617F17"/>
    <w:rsid w:val="006205EC"/>
    <w:rsid w:val="00620D7B"/>
    <w:rsid w:val="006210AB"/>
    <w:rsid w:val="00621156"/>
    <w:rsid w:val="00621408"/>
    <w:rsid w:val="00621611"/>
    <w:rsid w:val="00621727"/>
    <w:rsid w:val="00621804"/>
    <w:rsid w:val="00621965"/>
    <w:rsid w:val="0062204A"/>
    <w:rsid w:val="006220A2"/>
    <w:rsid w:val="006220D8"/>
    <w:rsid w:val="00622D34"/>
    <w:rsid w:val="00623D45"/>
    <w:rsid w:val="00624070"/>
    <w:rsid w:val="0062434D"/>
    <w:rsid w:val="006250DE"/>
    <w:rsid w:val="00625293"/>
    <w:rsid w:val="00625552"/>
    <w:rsid w:val="006256BC"/>
    <w:rsid w:val="00625843"/>
    <w:rsid w:val="00625BA4"/>
    <w:rsid w:val="00625E0B"/>
    <w:rsid w:val="00626417"/>
    <w:rsid w:val="0062656A"/>
    <w:rsid w:val="0062658A"/>
    <w:rsid w:val="0062694D"/>
    <w:rsid w:val="00626C0F"/>
    <w:rsid w:val="00626C44"/>
    <w:rsid w:val="00626E06"/>
    <w:rsid w:val="00626F06"/>
    <w:rsid w:val="00627486"/>
    <w:rsid w:val="0062783F"/>
    <w:rsid w:val="00627D97"/>
    <w:rsid w:val="00627F0F"/>
    <w:rsid w:val="00630CC5"/>
    <w:rsid w:val="00630EA9"/>
    <w:rsid w:val="00630F9A"/>
    <w:rsid w:val="00631275"/>
    <w:rsid w:val="0063174D"/>
    <w:rsid w:val="00631A15"/>
    <w:rsid w:val="00631AC3"/>
    <w:rsid w:val="00631DB7"/>
    <w:rsid w:val="006325F9"/>
    <w:rsid w:val="00632855"/>
    <w:rsid w:val="006328C2"/>
    <w:rsid w:val="00632E78"/>
    <w:rsid w:val="00633286"/>
    <w:rsid w:val="006333AA"/>
    <w:rsid w:val="0063373E"/>
    <w:rsid w:val="00633915"/>
    <w:rsid w:val="006342BF"/>
    <w:rsid w:val="006343F3"/>
    <w:rsid w:val="00634957"/>
    <w:rsid w:val="00634B28"/>
    <w:rsid w:val="006355A7"/>
    <w:rsid w:val="0063589D"/>
    <w:rsid w:val="00635BB2"/>
    <w:rsid w:val="00635CD7"/>
    <w:rsid w:val="00636607"/>
    <w:rsid w:val="006369D8"/>
    <w:rsid w:val="00637029"/>
    <w:rsid w:val="006372EF"/>
    <w:rsid w:val="006375C5"/>
    <w:rsid w:val="00637656"/>
    <w:rsid w:val="006376C3"/>
    <w:rsid w:val="006376D1"/>
    <w:rsid w:val="006377A6"/>
    <w:rsid w:val="0063785A"/>
    <w:rsid w:val="006378B8"/>
    <w:rsid w:val="00637A3D"/>
    <w:rsid w:val="00640891"/>
    <w:rsid w:val="006411EF"/>
    <w:rsid w:val="006416AB"/>
    <w:rsid w:val="00641958"/>
    <w:rsid w:val="00641A50"/>
    <w:rsid w:val="00641B43"/>
    <w:rsid w:val="00642843"/>
    <w:rsid w:val="00642AB2"/>
    <w:rsid w:val="00642CF2"/>
    <w:rsid w:val="00642CFA"/>
    <w:rsid w:val="00642E4E"/>
    <w:rsid w:val="00642FEB"/>
    <w:rsid w:val="006433C2"/>
    <w:rsid w:val="006436B8"/>
    <w:rsid w:val="00643E44"/>
    <w:rsid w:val="0064474D"/>
    <w:rsid w:val="00644C79"/>
    <w:rsid w:val="00644DB4"/>
    <w:rsid w:val="0064522E"/>
    <w:rsid w:val="00645933"/>
    <w:rsid w:val="00645A71"/>
    <w:rsid w:val="00645C1A"/>
    <w:rsid w:val="00645C87"/>
    <w:rsid w:val="006462E3"/>
    <w:rsid w:val="00646536"/>
    <w:rsid w:val="00646E39"/>
    <w:rsid w:val="00647134"/>
    <w:rsid w:val="00647287"/>
    <w:rsid w:val="00647288"/>
    <w:rsid w:val="006472F0"/>
    <w:rsid w:val="0064757B"/>
    <w:rsid w:val="006476A5"/>
    <w:rsid w:val="0064797B"/>
    <w:rsid w:val="00647A51"/>
    <w:rsid w:val="00647F81"/>
    <w:rsid w:val="00650024"/>
    <w:rsid w:val="0065027E"/>
    <w:rsid w:val="00650E8D"/>
    <w:rsid w:val="00650F1D"/>
    <w:rsid w:val="006511B3"/>
    <w:rsid w:val="006512EE"/>
    <w:rsid w:val="00651680"/>
    <w:rsid w:val="00651751"/>
    <w:rsid w:val="00651E77"/>
    <w:rsid w:val="006522D6"/>
    <w:rsid w:val="00652854"/>
    <w:rsid w:val="00652C97"/>
    <w:rsid w:val="00653618"/>
    <w:rsid w:val="006537A0"/>
    <w:rsid w:val="006537F9"/>
    <w:rsid w:val="006538CA"/>
    <w:rsid w:val="006541FC"/>
    <w:rsid w:val="00654F0E"/>
    <w:rsid w:val="006550A0"/>
    <w:rsid w:val="00655B39"/>
    <w:rsid w:val="00655B9B"/>
    <w:rsid w:val="00655ED7"/>
    <w:rsid w:val="00656591"/>
    <w:rsid w:val="00656B63"/>
    <w:rsid w:val="00656BBD"/>
    <w:rsid w:val="00656BFD"/>
    <w:rsid w:val="00656C03"/>
    <w:rsid w:val="00656CA9"/>
    <w:rsid w:val="00656D6B"/>
    <w:rsid w:val="00656DB9"/>
    <w:rsid w:val="006570BB"/>
    <w:rsid w:val="006571C4"/>
    <w:rsid w:val="0065750C"/>
    <w:rsid w:val="006575D0"/>
    <w:rsid w:val="00657A58"/>
    <w:rsid w:val="006608B9"/>
    <w:rsid w:val="00660AFE"/>
    <w:rsid w:val="00661260"/>
    <w:rsid w:val="00661269"/>
    <w:rsid w:val="006615ED"/>
    <w:rsid w:val="006618B8"/>
    <w:rsid w:val="0066234C"/>
    <w:rsid w:val="00662B15"/>
    <w:rsid w:val="00662BD8"/>
    <w:rsid w:val="00662E24"/>
    <w:rsid w:val="00662F65"/>
    <w:rsid w:val="00663418"/>
    <w:rsid w:val="00663521"/>
    <w:rsid w:val="00663C7C"/>
    <w:rsid w:val="00664388"/>
    <w:rsid w:val="00664646"/>
    <w:rsid w:val="006647C4"/>
    <w:rsid w:val="00664DDB"/>
    <w:rsid w:val="00664DF8"/>
    <w:rsid w:val="006654C8"/>
    <w:rsid w:val="00666290"/>
    <w:rsid w:val="00666412"/>
    <w:rsid w:val="006664A4"/>
    <w:rsid w:val="00666710"/>
    <w:rsid w:val="00666B5E"/>
    <w:rsid w:val="006671B9"/>
    <w:rsid w:val="00667B38"/>
    <w:rsid w:val="00667C05"/>
    <w:rsid w:val="00667CD8"/>
    <w:rsid w:val="00667E7B"/>
    <w:rsid w:val="0067059C"/>
    <w:rsid w:val="00670A1F"/>
    <w:rsid w:val="00670CCF"/>
    <w:rsid w:val="00670ECE"/>
    <w:rsid w:val="00670FC6"/>
    <w:rsid w:val="006710DB"/>
    <w:rsid w:val="006714D3"/>
    <w:rsid w:val="0067158B"/>
    <w:rsid w:val="00671D4F"/>
    <w:rsid w:val="00671DD8"/>
    <w:rsid w:val="00671FB1"/>
    <w:rsid w:val="0067222D"/>
    <w:rsid w:val="006722D6"/>
    <w:rsid w:val="00672826"/>
    <w:rsid w:val="00672A26"/>
    <w:rsid w:val="00672C98"/>
    <w:rsid w:val="006730CE"/>
    <w:rsid w:val="006732BC"/>
    <w:rsid w:val="006735B0"/>
    <w:rsid w:val="00673A3F"/>
    <w:rsid w:val="00673AD1"/>
    <w:rsid w:val="00674072"/>
    <w:rsid w:val="0067436E"/>
    <w:rsid w:val="006747D2"/>
    <w:rsid w:val="006748B8"/>
    <w:rsid w:val="00674B13"/>
    <w:rsid w:val="00675136"/>
    <w:rsid w:val="0067559C"/>
    <w:rsid w:val="00676681"/>
    <w:rsid w:val="006767C1"/>
    <w:rsid w:val="0067729C"/>
    <w:rsid w:val="006773BC"/>
    <w:rsid w:val="0067755C"/>
    <w:rsid w:val="006775C3"/>
    <w:rsid w:val="00677A23"/>
    <w:rsid w:val="006802D2"/>
    <w:rsid w:val="006806AA"/>
    <w:rsid w:val="00680BD2"/>
    <w:rsid w:val="00681087"/>
    <w:rsid w:val="00681B7C"/>
    <w:rsid w:val="00681D03"/>
    <w:rsid w:val="00682547"/>
    <w:rsid w:val="006825AD"/>
    <w:rsid w:val="00682630"/>
    <w:rsid w:val="00682836"/>
    <w:rsid w:val="00682B9F"/>
    <w:rsid w:val="0068335D"/>
    <w:rsid w:val="00683742"/>
    <w:rsid w:val="00684594"/>
    <w:rsid w:val="0068462D"/>
    <w:rsid w:val="00684BE2"/>
    <w:rsid w:val="00685138"/>
    <w:rsid w:val="0068578E"/>
    <w:rsid w:val="006867A8"/>
    <w:rsid w:val="00686A13"/>
    <w:rsid w:val="00686C05"/>
    <w:rsid w:val="00686DC4"/>
    <w:rsid w:val="006870D2"/>
    <w:rsid w:val="00687863"/>
    <w:rsid w:val="00687C49"/>
    <w:rsid w:val="00687E15"/>
    <w:rsid w:val="00690472"/>
    <w:rsid w:val="00690B7C"/>
    <w:rsid w:val="00690D95"/>
    <w:rsid w:val="006922FB"/>
    <w:rsid w:val="00692482"/>
    <w:rsid w:val="0069253D"/>
    <w:rsid w:val="0069255C"/>
    <w:rsid w:val="00692669"/>
    <w:rsid w:val="0069290A"/>
    <w:rsid w:val="00692E8B"/>
    <w:rsid w:val="00692F6D"/>
    <w:rsid w:val="006935D6"/>
    <w:rsid w:val="00693666"/>
    <w:rsid w:val="006937DD"/>
    <w:rsid w:val="0069436F"/>
    <w:rsid w:val="006944BF"/>
    <w:rsid w:val="0069465F"/>
    <w:rsid w:val="00694976"/>
    <w:rsid w:val="006963C1"/>
    <w:rsid w:val="00696615"/>
    <w:rsid w:val="00696996"/>
    <w:rsid w:val="00696B27"/>
    <w:rsid w:val="00696C48"/>
    <w:rsid w:val="0069738A"/>
    <w:rsid w:val="006973A0"/>
    <w:rsid w:val="0069775A"/>
    <w:rsid w:val="00697813"/>
    <w:rsid w:val="00697A99"/>
    <w:rsid w:val="00697BD9"/>
    <w:rsid w:val="00697BFC"/>
    <w:rsid w:val="006A0263"/>
    <w:rsid w:val="006A028C"/>
    <w:rsid w:val="006A042D"/>
    <w:rsid w:val="006A0C34"/>
    <w:rsid w:val="006A0E0B"/>
    <w:rsid w:val="006A0F44"/>
    <w:rsid w:val="006A0FAF"/>
    <w:rsid w:val="006A1289"/>
    <w:rsid w:val="006A1A5E"/>
    <w:rsid w:val="006A1F35"/>
    <w:rsid w:val="006A1F41"/>
    <w:rsid w:val="006A214F"/>
    <w:rsid w:val="006A23DE"/>
    <w:rsid w:val="006A295D"/>
    <w:rsid w:val="006A37AD"/>
    <w:rsid w:val="006A38F8"/>
    <w:rsid w:val="006A3EE8"/>
    <w:rsid w:val="006A44E1"/>
    <w:rsid w:val="006A487B"/>
    <w:rsid w:val="006A4B47"/>
    <w:rsid w:val="006A4F48"/>
    <w:rsid w:val="006A55B8"/>
    <w:rsid w:val="006A5CC4"/>
    <w:rsid w:val="006A60D4"/>
    <w:rsid w:val="006A61E1"/>
    <w:rsid w:val="006A684D"/>
    <w:rsid w:val="006A6D5E"/>
    <w:rsid w:val="006A6FBF"/>
    <w:rsid w:val="006A72BF"/>
    <w:rsid w:val="006A7683"/>
    <w:rsid w:val="006A7924"/>
    <w:rsid w:val="006B0027"/>
    <w:rsid w:val="006B008C"/>
    <w:rsid w:val="006B013F"/>
    <w:rsid w:val="006B03F2"/>
    <w:rsid w:val="006B060B"/>
    <w:rsid w:val="006B0627"/>
    <w:rsid w:val="006B0C5F"/>
    <w:rsid w:val="006B0CD9"/>
    <w:rsid w:val="006B0DAC"/>
    <w:rsid w:val="006B1249"/>
    <w:rsid w:val="006B12FC"/>
    <w:rsid w:val="006B16C2"/>
    <w:rsid w:val="006B16DB"/>
    <w:rsid w:val="006B1722"/>
    <w:rsid w:val="006B19F8"/>
    <w:rsid w:val="006B1B25"/>
    <w:rsid w:val="006B1D33"/>
    <w:rsid w:val="006B1D3F"/>
    <w:rsid w:val="006B1FA2"/>
    <w:rsid w:val="006B1FCE"/>
    <w:rsid w:val="006B2610"/>
    <w:rsid w:val="006B29FC"/>
    <w:rsid w:val="006B2EA0"/>
    <w:rsid w:val="006B316A"/>
    <w:rsid w:val="006B37DC"/>
    <w:rsid w:val="006B3BDA"/>
    <w:rsid w:val="006B40AB"/>
    <w:rsid w:val="006B41AE"/>
    <w:rsid w:val="006B4BA8"/>
    <w:rsid w:val="006B4DAB"/>
    <w:rsid w:val="006B4F68"/>
    <w:rsid w:val="006B4FB0"/>
    <w:rsid w:val="006B5129"/>
    <w:rsid w:val="006B52FA"/>
    <w:rsid w:val="006B54B7"/>
    <w:rsid w:val="006B58CE"/>
    <w:rsid w:val="006B5A84"/>
    <w:rsid w:val="006B5E12"/>
    <w:rsid w:val="006B5F7C"/>
    <w:rsid w:val="006B6486"/>
    <w:rsid w:val="006B65C0"/>
    <w:rsid w:val="006B7136"/>
    <w:rsid w:val="006B728F"/>
    <w:rsid w:val="006B7577"/>
    <w:rsid w:val="006B7A07"/>
    <w:rsid w:val="006B7BF5"/>
    <w:rsid w:val="006C0445"/>
    <w:rsid w:val="006C0592"/>
    <w:rsid w:val="006C066A"/>
    <w:rsid w:val="006C0A55"/>
    <w:rsid w:val="006C0F6F"/>
    <w:rsid w:val="006C10AA"/>
    <w:rsid w:val="006C1177"/>
    <w:rsid w:val="006C1569"/>
    <w:rsid w:val="006C16B4"/>
    <w:rsid w:val="006C1CBA"/>
    <w:rsid w:val="006C2085"/>
    <w:rsid w:val="006C272E"/>
    <w:rsid w:val="006C2A3F"/>
    <w:rsid w:val="006C2AD4"/>
    <w:rsid w:val="006C2C90"/>
    <w:rsid w:val="006C2D83"/>
    <w:rsid w:val="006C2D9C"/>
    <w:rsid w:val="006C3B0D"/>
    <w:rsid w:val="006C3FBF"/>
    <w:rsid w:val="006C3FFA"/>
    <w:rsid w:val="006C4979"/>
    <w:rsid w:val="006C4D79"/>
    <w:rsid w:val="006C515E"/>
    <w:rsid w:val="006C51A9"/>
    <w:rsid w:val="006C5479"/>
    <w:rsid w:val="006C55DA"/>
    <w:rsid w:val="006C57C9"/>
    <w:rsid w:val="006C624B"/>
    <w:rsid w:val="006C638F"/>
    <w:rsid w:val="006C6928"/>
    <w:rsid w:val="006C69B3"/>
    <w:rsid w:val="006C6B2D"/>
    <w:rsid w:val="006C7521"/>
    <w:rsid w:val="006C7C4E"/>
    <w:rsid w:val="006D012B"/>
    <w:rsid w:val="006D0276"/>
    <w:rsid w:val="006D035E"/>
    <w:rsid w:val="006D0439"/>
    <w:rsid w:val="006D0729"/>
    <w:rsid w:val="006D078B"/>
    <w:rsid w:val="006D0E49"/>
    <w:rsid w:val="006D0F4F"/>
    <w:rsid w:val="006D12DB"/>
    <w:rsid w:val="006D13B5"/>
    <w:rsid w:val="006D1489"/>
    <w:rsid w:val="006D1B08"/>
    <w:rsid w:val="006D1E96"/>
    <w:rsid w:val="006D29AF"/>
    <w:rsid w:val="006D2A8C"/>
    <w:rsid w:val="006D2FBD"/>
    <w:rsid w:val="006D328A"/>
    <w:rsid w:val="006D33C4"/>
    <w:rsid w:val="006D360C"/>
    <w:rsid w:val="006D3CAD"/>
    <w:rsid w:val="006D3FFF"/>
    <w:rsid w:val="006D4040"/>
    <w:rsid w:val="006D429A"/>
    <w:rsid w:val="006D4A19"/>
    <w:rsid w:val="006D4E20"/>
    <w:rsid w:val="006D5F81"/>
    <w:rsid w:val="006D660D"/>
    <w:rsid w:val="006D660E"/>
    <w:rsid w:val="006D682D"/>
    <w:rsid w:val="006D6CFD"/>
    <w:rsid w:val="006D7C54"/>
    <w:rsid w:val="006D7FC4"/>
    <w:rsid w:val="006E0260"/>
    <w:rsid w:val="006E11FA"/>
    <w:rsid w:val="006E12FF"/>
    <w:rsid w:val="006E17B6"/>
    <w:rsid w:val="006E17CF"/>
    <w:rsid w:val="006E1824"/>
    <w:rsid w:val="006E18D7"/>
    <w:rsid w:val="006E1C08"/>
    <w:rsid w:val="006E1E50"/>
    <w:rsid w:val="006E1FE8"/>
    <w:rsid w:val="006E2713"/>
    <w:rsid w:val="006E29DD"/>
    <w:rsid w:val="006E2B3C"/>
    <w:rsid w:val="006E30C4"/>
    <w:rsid w:val="006E3105"/>
    <w:rsid w:val="006E380A"/>
    <w:rsid w:val="006E38A4"/>
    <w:rsid w:val="006E3E2F"/>
    <w:rsid w:val="006E3E5A"/>
    <w:rsid w:val="006E41B6"/>
    <w:rsid w:val="006E458F"/>
    <w:rsid w:val="006E4771"/>
    <w:rsid w:val="006E49EE"/>
    <w:rsid w:val="006E5AC0"/>
    <w:rsid w:val="006E607E"/>
    <w:rsid w:val="006E69C6"/>
    <w:rsid w:val="006E6CD7"/>
    <w:rsid w:val="006E7284"/>
    <w:rsid w:val="006E78CC"/>
    <w:rsid w:val="006E7E17"/>
    <w:rsid w:val="006E7FC0"/>
    <w:rsid w:val="006F0127"/>
    <w:rsid w:val="006F0733"/>
    <w:rsid w:val="006F0783"/>
    <w:rsid w:val="006F19E0"/>
    <w:rsid w:val="006F1A14"/>
    <w:rsid w:val="006F1F66"/>
    <w:rsid w:val="006F1F8F"/>
    <w:rsid w:val="006F29C4"/>
    <w:rsid w:val="006F29DB"/>
    <w:rsid w:val="006F2C7D"/>
    <w:rsid w:val="006F2E13"/>
    <w:rsid w:val="006F2F84"/>
    <w:rsid w:val="006F30AF"/>
    <w:rsid w:val="006F323A"/>
    <w:rsid w:val="006F3356"/>
    <w:rsid w:val="006F3366"/>
    <w:rsid w:val="006F3694"/>
    <w:rsid w:val="006F3821"/>
    <w:rsid w:val="006F3865"/>
    <w:rsid w:val="006F3AD4"/>
    <w:rsid w:val="006F43B5"/>
    <w:rsid w:val="006F49B3"/>
    <w:rsid w:val="006F4EA9"/>
    <w:rsid w:val="006F4ECB"/>
    <w:rsid w:val="006F529F"/>
    <w:rsid w:val="006F5678"/>
    <w:rsid w:val="006F585A"/>
    <w:rsid w:val="006F5C3E"/>
    <w:rsid w:val="006F5F36"/>
    <w:rsid w:val="006F6123"/>
    <w:rsid w:val="006F622A"/>
    <w:rsid w:val="006F6AEC"/>
    <w:rsid w:val="006F6DBE"/>
    <w:rsid w:val="006F6F4B"/>
    <w:rsid w:val="006F7003"/>
    <w:rsid w:val="006F720F"/>
    <w:rsid w:val="006F7460"/>
    <w:rsid w:val="006F79C8"/>
    <w:rsid w:val="006F7A40"/>
    <w:rsid w:val="006F7A49"/>
    <w:rsid w:val="006F7BAC"/>
    <w:rsid w:val="00700B50"/>
    <w:rsid w:val="00700D08"/>
    <w:rsid w:val="00701B54"/>
    <w:rsid w:val="00702AE7"/>
    <w:rsid w:val="00702D31"/>
    <w:rsid w:val="00702FBB"/>
    <w:rsid w:val="00703AF1"/>
    <w:rsid w:val="00703BA2"/>
    <w:rsid w:val="00703C2F"/>
    <w:rsid w:val="00704753"/>
    <w:rsid w:val="00704868"/>
    <w:rsid w:val="00704A4A"/>
    <w:rsid w:val="0070530D"/>
    <w:rsid w:val="00705BEE"/>
    <w:rsid w:val="00706AE5"/>
    <w:rsid w:val="00706C5D"/>
    <w:rsid w:val="00707084"/>
    <w:rsid w:val="0070718E"/>
    <w:rsid w:val="007071B5"/>
    <w:rsid w:val="00707705"/>
    <w:rsid w:val="00707E96"/>
    <w:rsid w:val="00707E97"/>
    <w:rsid w:val="00707FC9"/>
    <w:rsid w:val="00710282"/>
    <w:rsid w:val="00710744"/>
    <w:rsid w:val="0071097B"/>
    <w:rsid w:val="00711E18"/>
    <w:rsid w:val="00711F94"/>
    <w:rsid w:val="007127D2"/>
    <w:rsid w:val="00713251"/>
    <w:rsid w:val="00713462"/>
    <w:rsid w:val="007159DE"/>
    <w:rsid w:val="00715CF5"/>
    <w:rsid w:val="0071674A"/>
    <w:rsid w:val="00716CF9"/>
    <w:rsid w:val="0071703B"/>
    <w:rsid w:val="007172DD"/>
    <w:rsid w:val="00717416"/>
    <w:rsid w:val="007175AE"/>
    <w:rsid w:val="00717697"/>
    <w:rsid w:val="0071775B"/>
    <w:rsid w:val="0071795A"/>
    <w:rsid w:val="00717A25"/>
    <w:rsid w:val="00717F94"/>
    <w:rsid w:val="00720033"/>
    <w:rsid w:val="00720513"/>
    <w:rsid w:val="007205BA"/>
    <w:rsid w:val="00720660"/>
    <w:rsid w:val="007208A3"/>
    <w:rsid w:val="00720964"/>
    <w:rsid w:val="00720AFE"/>
    <w:rsid w:val="00720E39"/>
    <w:rsid w:val="007213EA"/>
    <w:rsid w:val="007214F1"/>
    <w:rsid w:val="007217C8"/>
    <w:rsid w:val="00721BC3"/>
    <w:rsid w:val="007220D6"/>
    <w:rsid w:val="0072299D"/>
    <w:rsid w:val="00723875"/>
    <w:rsid w:val="00723EAE"/>
    <w:rsid w:val="007240DE"/>
    <w:rsid w:val="0072411E"/>
    <w:rsid w:val="0072499B"/>
    <w:rsid w:val="007249F7"/>
    <w:rsid w:val="00724C32"/>
    <w:rsid w:val="00725D77"/>
    <w:rsid w:val="00725D84"/>
    <w:rsid w:val="00725F36"/>
    <w:rsid w:val="00726012"/>
    <w:rsid w:val="007260FD"/>
    <w:rsid w:val="0072643A"/>
    <w:rsid w:val="00726686"/>
    <w:rsid w:val="00726F42"/>
    <w:rsid w:val="0072735E"/>
    <w:rsid w:val="00727C9D"/>
    <w:rsid w:val="007300C8"/>
    <w:rsid w:val="00730138"/>
    <w:rsid w:val="00730BE8"/>
    <w:rsid w:val="00730EEF"/>
    <w:rsid w:val="00731200"/>
    <w:rsid w:val="0073122A"/>
    <w:rsid w:val="0073143D"/>
    <w:rsid w:val="00731D2F"/>
    <w:rsid w:val="00732387"/>
    <w:rsid w:val="00732922"/>
    <w:rsid w:val="0073297E"/>
    <w:rsid w:val="00732F88"/>
    <w:rsid w:val="00733457"/>
    <w:rsid w:val="00733A0E"/>
    <w:rsid w:val="00733A8A"/>
    <w:rsid w:val="00733B96"/>
    <w:rsid w:val="0073416C"/>
    <w:rsid w:val="0073421F"/>
    <w:rsid w:val="0073423D"/>
    <w:rsid w:val="00734571"/>
    <w:rsid w:val="00734903"/>
    <w:rsid w:val="00734A91"/>
    <w:rsid w:val="00735526"/>
    <w:rsid w:val="00735A7F"/>
    <w:rsid w:val="00735AB9"/>
    <w:rsid w:val="00735B43"/>
    <w:rsid w:val="00735B70"/>
    <w:rsid w:val="007362B1"/>
    <w:rsid w:val="00736483"/>
    <w:rsid w:val="00736CCB"/>
    <w:rsid w:val="00736FF4"/>
    <w:rsid w:val="0073711A"/>
    <w:rsid w:val="00737271"/>
    <w:rsid w:val="00737C77"/>
    <w:rsid w:val="00737D54"/>
    <w:rsid w:val="00737EAF"/>
    <w:rsid w:val="00740270"/>
    <w:rsid w:val="00740529"/>
    <w:rsid w:val="0074074B"/>
    <w:rsid w:val="007407CD"/>
    <w:rsid w:val="007408F5"/>
    <w:rsid w:val="00740B8C"/>
    <w:rsid w:val="00740D04"/>
    <w:rsid w:val="00740EA9"/>
    <w:rsid w:val="00740FDA"/>
    <w:rsid w:val="00741114"/>
    <w:rsid w:val="00741504"/>
    <w:rsid w:val="00741651"/>
    <w:rsid w:val="007417B9"/>
    <w:rsid w:val="00741A4E"/>
    <w:rsid w:val="00741A9C"/>
    <w:rsid w:val="007427DE"/>
    <w:rsid w:val="00742841"/>
    <w:rsid w:val="00742A24"/>
    <w:rsid w:val="00742DAA"/>
    <w:rsid w:val="007433E8"/>
    <w:rsid w:val="00743538"/>
    <w:rsid w:val="007435A7"/>
    <w:rsid w:val="00743C1A"/>
    <w:rsid w:val="0074471E"/>
    <w:rsid w:val="007447E9"/>
    <w:rsid w:val="00744B78"/>
    <w:rsid w:val="00744F10"/>
    <w:rsid w:val="00744F91"/>
    <w:rsid w:val="0074510A"/>
    <w:rsid w:val="00745124"/>
    <w:rsid w:val="0074598A"/>
    <w:rsid w:val="00745DD1"/>
    <w:rsid w:val="0074655B"/>
    <w:rsid w:val="00746587"/>
    <w:rsid w:val="0074672A"/>
    <w:rsid w:val="0074672F"/>
    <w:rsid w:val="007467D4"/>
    <w:rsid w:val="007471DC"/>
    <w:rsid w:val="007474A1"/>
    <w:rsid w:val="0074784F"/>
    <w:rsid w:val="007479CB"/>
    <w:rsid w:val="007479CE"/>
    <w:rsid w:val="00747B47"/>
    <w:rsid w:val="00747B90"/>
    <w:rsid w:val="00747EAD"/>
    <w:rsid w:val="007500DF"/>
    <w:rsid w:val="0075011B"/>
    <w:rsid w:val="007503F2"/>
    <w:rsid w:val="00751189"/>
    <w:rsid w:val="007514DC"/>
    <w:rsid w:val="0075162E"/>
    <w:rsid w:val="0075179A"/>
    <w:rsid w:val="007526F3"/>
    <w:rsid w:val="00752846"/>
    <w:rsid w:val="00752A6F"/>
    <w:rsid w:val="00752DA4"/>
    <w:rsid w:val="00752DF6"/>
    <w:rsid w:val="00753750"/>
    <w:rsid w:val="00753753"/>
    <w:rsid w:val="00753A3E"/>
    <w:rsid w:val="00753B46"/>
    <w:rsid w:val="00753D49"/>
    <w:rsid w:val="00753E43"/>
    <w:rsid w:val="00753E5E"/>
    <w:rsid w:val="00753EC9"/>
    <w:rsid w:val="00754034"/>
    <w:rsid w:val="007542E7"/>
    <w:rsid w:val="00754BC8"/>
    <w:rsid w:val="00754CD7"/>
    <w:rsid w:val="00755556"/>
    <w:rsid w:val="00756257"/>
    <w:rsid w:val="00756556"/>
    <w:rsid w:val="00756632"/>
    <w:rsid w:val="00756B98"/>
    <w:rsid w:val="007570AC"/>
    <w:rsid w:val="00757571"/>
    <w:rsid w:val="0075787A"/>
    <w:rsid w:val="00757C40"/>
    <w:rsid w:val="0076030B"/>
    <w:rsid w:val="007606C9"/>
    <w:rsid w:val="0076080F"/>
    <w:rsid w:val="007616A4"/>
    <w:rsid w:val="007618C4"/>
    <w:rsid w:val="00761A69"/>
    <w:rsid w:val="0076211D"/>
    <w:rsid w:val="007623DD"/>
    <w:rsid w:val="00762900"/>
    <w:rsid w:val="00762CCB"/>
    <w:rsid w:val="00762D16"/>
    <w:rsid w:val="00762ED8"/>
    <w:rsid w:val="007633F1"/>
    <w:rsid w:val="007638A3"/>
    <w:rsid w:val="007642FC"/>
    <w:rsid w:val="007648A8"/>
    <w:rsid w:val="007648F7"/>
    <w:rsid w:val="00764F92"/>
    <w:rsid w:val="007650CE"/>
    <w:rsid w:val="007655E6"/>
    <w:rsid w:val="00765A01"/>
    <w:rsid w:val="00765BFE"/>
    <w:rsid w:val="0076611F"/>
    <w:rsid w:val="00767980"/>
    <w:rsid w:val="00767E5A"/>
    <w:rsid w:val="007701AF"/>
    <w:rsid w:val="00770276"/>
    <w:rsid w:val="00770AFC"/>
    <w:rsid w:val="00770B19"/>
    <w:rsid w:val="00771921"/>
    <w:rsid w:val="00772A72"/>
    <w:rsid w:val="00773143"/>
    <w:rsid w:val="0077348F"/>
    <w:rsid w:val="0077359E"/>
    <w:rsid w:val="007739B6"/>
    <w:rsid w:val="00773AC0"/>
    <w:rsid w:val="00773F41"/>
    <w:rsid w:val="007740C3"/>
    <w:rsid w:val="00774638"/>
    <w:rsid w:val="0077463F"/>
    <w:rsid w:val="00774682"/>
    <w:rsid w:val="00774D7E"/>
    <w:rsid w:val="00774DFB"/>
    <w:rsid w:val="0077507A"/>
    <w:rsid w:val="007750C0"/>
    <w:rsid w:val="007750F9"/>
    <w:rsid w:val="00775286"/>
    <w:rsid w:val="00775DB9"/>
    <w:rsid w:val="00775E21"/>
    <w:rsid w:val="00775E35"/>
    <w:rsid w:val="00776193"/>
    <w:rsid w:val="00776D7B"/>
    <w:rsid w:val="00777218"/>
    <w:rsid w:val="0077740D"/>
    <w:rsid w:val="0077756E"/>
    <w:rsid w:val="00777F9C"/>
    <w:rsid w:val="00780838"/>
    <w:rsid w:val="00780BE6"/>
    <w:rsid w:val="00780D98"/>
    <w:rsid w:val="00780F5A"/>
    <w:rsid w:val="00781162"/>
    <w:rsid w:val="007815CE"/>
    <w:rsid w:val="0078160D"/>
    <w:rsid w:val="00781796"/>
    <w:rsid w:val="00781C04"/>
    <w:rsid w:val="00781D93"/>
    <w:rsid w:val="00781E5B"/>
    <w:rsid w:val="00782275"/>
    <w:rsid w:val="0078252C"/>
    <w:rsid w:val="00782E22"/>
    <w:rsid w:val="00782F9D"/>
    <w:rsid w:val="0078341E"/>
    <w:rsid w:val="00783572"/>
    <w:rsid w:val="007836EA"/>
    <w:rsid w:val="007838F9"/>
    <w:rsid w:val="00784024"/>
    <w:rsid w:val="007846D9"/>
    <w:rsid w:val="00784A0F"/>
    <w:rsid w:val="00784CDA"/>
    <w:rsid w:val="00784EC4"/>
    <w:rsid w:val="00784F0C"/>
    <w:rsid w:val="00785045"/>
    <w:rsid w:val="007853C5"/>
    <w:rsid w:val="00785411"/>
    <w:rsid w:val="007855E2"/>
    <w:rsid w:val="0078560A"/>
    <w:rsid w:val="00785654"/>
    <w:rsid w:val="007857EF"/>
    <w:rsid w:val="00785814"/>
    <w:rsid w:val="00785FEB"/>
    <w:rsid w:val="00786012"/>
    <w:rsid w:val="00787B35"/>
    <w:rsid w:val="0079029B"/>
    <w:rsid w:val="0079047A"/>
    <w:rsid w:val="007906C4"/>
    <w:rsid w:val="00790BC0"/>
    <w:rsid w:val="00790DCB"/>
    <w:rsid w:val="0079159C"/>
    <w:rsid w:val="007915B4"/>
    <w:rsid w:val="007916DF"/>
    <w:rsid w:val="00792514"/>
    <w:rsid w:val="00792B7D"/>
    <w:rsid w:val="007930BD"/>
    <w:rsid w:val="007932D5"/>
    <w:rsid w:val="00793597"/>
    <w:rsid w:val="00793BAD"/>
    <w:rsid w:val="00793C75"/>
    <w:rsid w:val="00793D81"/>
    <w:rsid w:val="00793E26"/>
    <w:rsid w:val="007940EA"/>
    <w:rsid w:val="00794239"/>
    <w:rsid w:val="0079432E"/>
    <w:rsid w:val="00794412"/>
    <w:rsid w:val="00794CDC"/>
    <w:rsid w:val="007950F4"/>
    <w:rsid w:val="0079578E"/>
    <w:rsid w:val="00795F22"/>
    <w:rsid w:val="00796117"/>
    <w:rsid w:val="007967E8"/>
    <w:rsid w:val="0079698D"/>
    <w:rsid w:val="00796D6E"/>
    <w:rsid w:val="0079711E"/>
    <w:rsid w:val="007979EF"/>
    <w:rsid w:val="00797ACC"/>
    <w:rsid w:val="007A00E1"/>
    <w:rsid w:val="007A02C0"/>
    <w:rsid w:val="007A048B"/>
    <w:rsid w:val="007A0B19"/>
    <w:rsid w:val="007A0CB8"/>
    <w:rsid w:val="007A0D97"/>
    <w:rsid w:val="007A0FE7"/>
    <w:rsid w:val="007A108A"/>
    <w:rsid w:val="007A10C1"/>
    <w:rsid w:val="007A1178"/>
    <w:rsid w:val="007A12C5"/>
    <w:rsid w:val="007A151A"/>
    <w:rsid w:val="007A203F"/>
    <w:rsid w:val="007A2170"/>
    <w:rsid w:val="007A22BF"/>
    <w:rsid w:val="007A24C8"/>
    <w:rsid w:val="007A2B66"/>
    <w:rsid w:val="007A3323"/>
    <w:rsid w:val="007A34B0"/>
    <w:rsid w:val="007A3673"/>
    <w:rsid w:val="007A4663"/>
    <w:rsid w:val="007A4841"/>
    <w:rsid w:val="007A48E0"/>
    <w:rsid w:val="007A5200"/>
    <w:rsid w:val="007A5420"/>
    <w:rsid w:val="007A5675"/>
    <w:rsid w:val="007A5BA6"/>
    <w:rsid w:val="007A62E6"/>
    <w:rsid w:val="007A6A59"/>
    <w:rsid w:val="007A7402"/>
    <w:rsid w:val="007A74B1"/>
    <w:rsid w:val="007A75D4"/>
    <w:rsid w:val="007A75DE"/>
    <w:rsid w:val="007A7ABF"/>
    <w:rsid w:val="007A7B09"/>
    <w:rsid w:val="007A7EF7"/>
    <w:rsid w:val="007B045B"/>
    <w:rsid w:val="007B0B9F"/>
    <w:rsid w:val="007B0E37"/>
    <w:rsid w:val="007B1007"/>
    <w:rsid w:val="007B1581"/>
    <w:rsid w:val="007B1B37"/>
    <w:rsid w:val="007B2272"/>
    <w:rsid w:val="007B2BD0"/>
    <w:rsid w:val="007B3663"/>
    <w:rsid w:val="007B4109"/>
    <w:rsid w:val="007B4240"/>
    <w:rsid w:val="007B4363"/>
    <w:rsid w:val="007B4548"/>
    <w:rsid w:val="007B45BF"/>
    <w:rsid w:val="007B4A15"/>
    <w:rsid w:val="007B4B38"/>
    <w:rsid w:val="007B4D74"/>
    <w:rsid w:val="007B5A3E"/>
    <w:rsid w:val="007B60A7"/>
    <w:rsid w:val="007B68D2"/>
    <w:rsid w:val="007B71F1"/>
    <w:rsid w:val="007B72B8"/>
    <w:rsid w:val="007B738E"/>
    <w:rsid w:val="007B75E0"/>
    <w:rsid w:val="007B76A5"/>
    <w:rsid w:val="007B7843"/>
    <w:rsid w:val="007B7A58"/>
    <w:rsid w:val="007B7FE1"/>
    <w:rsid w:val="007C01C4"/>
    <w:rsid w:val="007C05B4"/>
    <w:rsid w:val="007C0825"/>
    <w:rsid w:val="007C0E4E"/>
    <w:rsid w:val="007C181D"/>
    <w:rsid w:val="007C1B56"/>
    <w:rsid w:val="007C21B5"/>
    <w:rsid w:val="007C2501"/>
    <w:rsid w:val="007C25A1"/>
    <w:rsid w:val="007C28EF"/>
    <w:rsid w:val="007C307C"/>
    <w:rsid w:val="007C317C"/>
    <w:rsid w:val="007C331D"/>
    <w:rsid w:val="007C33C3"/>
    <w:rsid w:val="007C3D27"/>
    <w:rsid w:val="007C3D6E"/>
    <w:rsid w:val="007C3E79"/>
    <w:rsid w:val="007C4050"/>
    <w:rsid w:val="007C43C5"/>
    <w:rsid w:val="007C46CF"/>
    <w:rsid w:val="007C4C45"/>
    <w:rsid w:val="007C5B7A"/>
    <w:rsid w:val="007C5CE6"/>
    <w:rsid w:val="007C5E70"/>
    <w:rsid w:val="007C5F1A"/>
    <w:rsid w:val="007C6346"/>
    <w:rsid w:val="007C65FF"/>
    <w:rsid w:val="007C6875"/>
    <w:rsid w:val="007C713C"/>
    <w:rsid w:val="007C7145"/>
    <w:rsid w:val="007C798B"/>
    <w:rsid w:val="007C79FD"/>
    <w:rsid w:val="007C7BB7"/>
    <w:rsid w:val="007C7E68"/>
    <w:rsid w:val="007C7E8C"/>
    <w:rsid w:val="007C7EC7"/>
    <w:rsid w:val="007C7FD9"/>
    <w:rsid w:val="007D0494"/>
    <w:rsid w:val="007D0661"/>
    <w:rsid w:val="007D07FD"/>
    <w:rsid w:val="007D1B67"/>
    <w:rsid w:val="007D20C8"/>
    <w:rsid w:val="007D23DA"/>
    <w:rsid w:val="007D26DE"/>
    <w:rsid w:val="007D28C7"/>
    <w:rsid w:val="007D2920"/>
    <w:rsid w:val="007D31BE"/>
    <w:rsid w:val="007D35A9"/>
    <w:rsid w:val="007D3AA8"/>
    <w:rsid w:val="007D3B79"/>
    <w:rsid w:val="007D3B7C"/>
    <w:rsid w:val="007D3C7C"/>
    <w:rsid w:val="007D3DE3"/>
    <w:rsid w:val="007D4612"/>
    <w:rsid w:val="007D46A7"/>
    <w:rsid w:val="007D5013"/>
    <w:rsid w:val="007D50A7"/>
    <w:rsid w:val="007D51EB"/>
    <w:rsid w:val="007D52D0"/>
    <w:rsid w:val="007D5599"/>
    <w:rsid w:val="007D58D1"/>
    <w:rsid w:val="007D61AB"/>
    <w:rsid w:val="007D624A"/>
    <w:rsid w:val="007D6337"/>
    <w:rsid w:val="007D68B6"/>
    <w:rsid w:val="007D6ACF"/>
    <w:rsid w:val="007D6C83"/>
    <w:rsid w:val="007D7599"/>
    <w:rsid w:val="007D7D86"/>
    <w:rsid w:val="007D7E8B"/>
    <w:rsid w:val="007E094F"/>
    <w:rsid w:val="007E0BD0"/>
    <w:rsid w:val="007E12BF"/>
    <w:rsid w:val="007E142D"/>
    <w:rsid w:val="007E167A"/>
    <w:rsid w:val="007E170C"/>
    <w:rsid w:val="007E1A6D"/>
    <w:rsid w:val="007E1C11"/>
    <w:rsid w:val="007E22A6"/>
    <w:rsid w:val="007E2362"/>
    <w:rsid w:val="007E242B"/>
    <w:rsid w:val="007E2445"/>
    <w:rsid w:val="007E2B11"/>
    <w:rsid w:val="007E2DC9"/>
    <w:rsid w:val="007E3376"/>
    <w:rsid w:val="007E37B3"/>
    <w:rsid w:val="007E38E5"/>
    <w:rsid w:val="007E3AC5"/>
    <w:rsid w:val="007E480D"/>
    <w:rsid w:val="007E4AA2"/>
    <w:rsid w:val="007E4BD2"/>
    <w:rsid w:val="007E5087"/>
    <w:rsid w:val="007E5DAB"/>
    <w:rsid w:val="007E62BA"/>
    <w:rsid w:val="007E7116"/>
    <w:rsid w:val="007E71B2"/>
    <w:rsid w:val="007E79A4"/>
    <w:rsid w:val="007E7B4A"/>
    <w:rsid w:val="007F00F3"/>
    <w:rsid w:val="007F04DF"/>
    <w:rsid w:val="007F0718"/>
    <w:rsid w:val="007F0EEA"/>
    <w:rsid w:val="007F1C72"/>
    <w:rsid w:val="007F1D1A"/>
    <w:rsid w:val="007F1D66"/>
    <w:rsid w:val="007F20B6"/>
    <w:rsid w:val="007F2353"/>
    <w:rsid w:val="007F2943"/>
    <w:rsid w:val="007F29B3"/>
    <w:rsid w:val="007F2A4D"/>
    <w:rsid w:val="007F2B5B"/>
    <w:rsid w:val="007F2BF6"/>
    <w:rsid w:val="007F2F9D"/>
    <w:rsid w:val="007F3139"/>
    <w:rsid w:val="007F3332"/>
    <w:rsid w:val="007F337C"/>
    <w:rsid w:val="007F3523"/>
    <w:rsid w:val="007F37C7"/>
    <w:rsid w:val="007F3941"/>
    <w:rsid w:val="007F3BDE"/>
    <w:rsid w:val="007F42EF"/>
    <w:rsid w:val="007F4A51"/>
    <w:rsid w:val="007F4E18"/>
    <w:rsid w:val="007F5415"/>
    <w:rsid w:val="007F62E4"/>
    <w:rsid w:val="007F64ED"/>
    <w:rsid w:val="007F66B6"/>
    <w:rsid w:val="007F6715"/>
    <w:rsid w:val="007F6BF0"/>
    <w:rsid w:val="007F7087"/>
    <w:rsid w:val="007F716D"/>
    <w:rsid w:val="007F7B4D"/>
    <w:rsid w:val="00800275"/>
    <w:rsid w:val="008005DB"/>
    <w:rsid w:val="008005DD"/>
    <w:rsid w:val="00800DE9"/>
    <w:rsid w:val="00800EC0"/>
    <w:rsid w:val="00801393"/>
    <w:rsid w:val="00801522"/>
    <w:rsid w:val="00801546"/>
    <w:rsid w:val="0080160E"/>
    <w:rsid w:val="0080172E"/>
    <w:rsid w:val="0080198A"/>
    <w:rsid w:val="00801B40"/>
    <w:rsid w:val="008026E1"/>
    <w:rsid w:val="00802F42"/>
    <w:rsid w:val="00802F88"/>
    <w:rsid w:val="008033CE"/>
    <w:rsid w:val="0080417C"/>
    <w:rsid w:val="0080435E"/>
    <w:rsid w:val="0080451C"/>
    <w:rsid w:val="00804522"/>
    <w:rsid w:val="00804DCB"/>
    <w:rsid w:val="0080517B"/>
    <w:rsid w:val="008058FC"/>
    <w:rsid w:val="008060F5"/>
    <w:rsid w:val="00806538"/>
    <w:rsid w:val="008069D9"/>
    <w:rsid w:val="00806B72"/>
    <w:rsid w:val="00806B7D"/>
    <w:rsid w:val="00806DEB"/>
    <w:rsid w:val="00807052"/>
    <w:rsid w:val="008072F7"/>
    <w:rsid w:val="00807F41"/>
    <w:rsid w:val="0081009A"/>
    <w:rsid w:val="00810457"/>
    <w:rsid w:val="00810B6F"/>
    <w:rsid w:val="00810D40"/>
    <w:rsid w:val="00810F60"/>
    <w:rsid w:val="008111E7"/>
    <w:rsid w:val="0081177A"/>
    <w:rsid w:val="0081263A"/>
    <w:rsid w:val="008126E4"/>
    <w:rsid w:val="0081293E"/>
    <w:rsid w:val="00812A57"/>
    <w:rsid w:val="00812D36"/>
    <w:rsid w:val="00813567"/>
    <w:rsid w:val="00813635"/>
    <w:rsid w:val="00813779"/>
    <w:rsid w:val="0081385A"/>
    <w:rsid w:val="00813E18"/>
    <w:rsid w:val="00814052"/>
    <w:rsid w:val="0081450F"/>
    <w:rsid w:val="008146CA"/>
    <w:rsid w:val="0081480C"/>
    <w:rsid w:val="00814B69"/>
    <w:rsid w:val="00814BCE"/>
    <w:rsid w:val="00814CD2"/>
    <w:rsid w:val="00815465"/>
    <w:rsid w:val="008157C2"/>
    <w:rsid w:val="00815C96"/>
    <w:rsid w:val="0081663A"/>
    <w:rsid w:val="00816670"/>
    <w:rsid w:val="00817042"/>
    <w:rsid w:val="0081727D"/>
    <w:rsid w:val="008179D1"/>
    <w:rsid w:val="00817A60"/>
    <w:rsid w:val="00817E9A"/>
    <w:rsid w:val="008207A0"/>
    <w:rsid w:val="008208AA"/>
    <w:rsid w:val="00820D92"/>
    <w:rsid w:val="0082111D"/>
    <w:rsid w:val="0082116A"/>
    <w:rsid w:val="008211CC"/>
    <w:rsid w:val="008214EA"/>
    <w:rsid w:val="0082152A"/>
    <w:rsid w:val="0082165D"/>
    <w:rsid w:val="00821E79"/>
    <w:rsid w:val="00822167"/>
    <w:rsid w:val="008222BA"/>
    <w:rsid w:val="008224E2"/>
    <w:rsid w:val="00823138"/>
    <w:rsid w:val="008234AE"/>
    <w:rsid w:val="00823B74"/>
    <w:rsid w:val="00823BF5"/>
    <w:rsid w:val="00823C9F"/>
    <w:rsid w:val="00824645"/>
    <w:rsid w:val="00824C1B"/>
    <w:rsid w:val="00824C7C"/>
    <w:rsid w:val="0082513C"/>
    <w:rsid w:val="008253FB"/>
    <w:rsid w:val="008255E7"/>
    <w:rsid w:val="00825CC6"/>
    <w:rsid w:val="00826128"/>
    <w:rsid w:val="00826157"/>
    <w:rsid w:val="00826636"/>
    <w:rsid w:val="00826B9E"/>
    <w:rsid w:val="00826BEF"/>
    <w:rsid w:val="00826C34"/>
    <w:rsid w:val="00826F3A"/>
    <w:rsid w:val="00826F58"/>
    <w:rsid w:val="00827556"/>
    <w:rsid w:val="00827620"/>
    <w:rsid w:val="008278FD"/>
    <w:rsid w:val="00827C27"/>
    <w:rsid w:val="008306BD"/>
    <w:rsid w:val="0083164B"/>
    <w:rsid w:val="00831A80"/>
    <w:rsid w:val="00831E14"/>
    <w:rsid w:val="00832626"/>
    <w:rsid w:val="00832CCD"/>
    <w:rsid w:val="0083308D"/>
    <w:rsid w:val="008334D3"/>
    <w:rsid w:val="0083362C"/>
    <w:rsid w:val="00833743"/>
    <w:rsid w:val="00833AE9"/>
    <w:rsid w:val="008340A4"/>
    <w:rsid w:val="008341DF"/>
    <w:rsid w:val="008345F8"/>
    <w:rsid w:val="00835034"/>
    <w:rsid w:val="0083518C"/>
    <w:rsid w:val="00835732"/>
    <w:rsid w:val="00835ABF"/>
    <w:rsid w:val="00835D84"/>
    <w:rsid w:val="00835F80"/>
    <w:rsid w:val="00835FE8"/>
    <w:rsid w:val="00836100"/>
    <w:rsid w:val="0083627D"/>
    <w:rsid w:val="008363CB"/>
    <w:rsid w:val="00836876"/>
    <w:rsid w:val="0083693D"/>
    <w:rsid w:val="00836BB0"/>
    <w:rsid w:val="00836BB2"/>
    <w:rsid w:val="008374AC"/>
    <w:rsid w:val="00837CA4"/>
    <w:rsid w:val="0084004D"/>
    <w:rsid w:val="0084013F"/>
    <w:rsid w:val="00840248"/>
    <w:rsid w:val="00840819"/>
    <w:rsid w:val="00841006"/>
    <w:rsid w:val="008414CA"/>
    <w:rsid w:val="0084171B"/>
    <w:rsid w:val="00841B7F"/>
    <w:rsid w:val="00841D1F"/>
    <w:rsid w:val="00842211"/>
    <w:rsid w:val="008422D7"/>
    <w:rsid w:val="00842836"/>
    <w:rsid w:val="0084312D"/>
    <w:rsid w:val="00843227"/>
    <w:rsid w:val="008436C4"/>
    <w:rsid w:val="00843E30"/>
    <w:rsid w:val="00844113"/>
    <w:rsid w:val="00844C3B"/>
    <w:rsid w:val="00844CA6"/>
    <w:rsid w:val="0084527A"/>
    <w:rsid w:val="008452D3"/>
    <w:rsid w:val="0084557E"/>
    <w:rsid w:val="00845D38"/>
    <w:rsid w:val="00845DB9"/>
    <w:rsid w:val="0084619A"/>
    <w:rsid w:val="00846428"/>
    <w:rsid w:val="00846442"/>
    <w:rsid w:val="00847363"/>
    <w:rsid w:val="00847596"/>
    <w:rsid w:val="008478B4"/>
    <w:rsid w:val="008479C9"/>
    <w:rsid w:val="00847B32"/>
    <w:rsid w:val="00847C70"/>
    <w:rsid w:val="008502AF"/>
    <w:rsid w:val="008503E2"/>
    <w:rsid w:val="00850F45"/>
    <w:rsid w:val="008513E2"/>
    <w:rsid w:val="0085169F"/>
    <w:rsid w:val="0085184C"/>
    <w:rsid w:val="00851D95"/>
    <w:rsid w:val="008520FD"/>
    <w:rsid w:val="0085251C"/>
    <w:rsid w:val="008527D9"/>
    <w:rsid w:val="00852C19"/>
    <w:rsid w:val="008532FF"/>
    <w:rsid w:val="0085351A"/>
    <w:rsid w:val="00853F8F"/>
    <w:rsid w:val="008542F2"/>
    <w:rsid w:val="00854364"/>
    <w:rsid w:val="0085439B"/>
    <w:rsid w:val="008545D7"/>
    <w:rsid w:val="008546DD"/>
    <w:rsid w:val="0085484B"/>
    <w:rsid w:val="00854AB9"/>
    <w:rsid w:val="00854B16"/>
    <w:rsid w:val="008550EF"/>
    <w:rsid w:val="00855128"/>
    <w:rsid w:val="0085528E"/>
    <w:rsid w:val="00855443"/>
    <w:rsid w:val="0085563C"/>
    <w:rsid w:val="00855703"/>
    <w:rsid w:val="00855E84"/>
    <w:rsid w:val="00856037"/>
    <w:rsid w:val="008561CF"/>
    <w:rsid w:val="008569B3"/>
    <w:rsid w:val="00856CE5"/>
    <w:rsid w:val="00856F63"/>
    <w:rsid w:val="0085719A"/>
    <w:rsid w:val="00857616"/>
    <w:rsid w:val="008576F8"/>
    <w:rsid w:val="008578CC"/>
    <w:rsid w:val="00857CE8"/>
    <w:rsid w:val="00857F42"/>
    <w:rsid w:val="00860376"/>
    <w:rsid w:val="0086059C"/>
    <w:rsid w:val="00860A71"/>
    <w:rsid w:val="00860BCE"/>
    <w:rsid w:val="0086183A"/>
    <w:rsid w:val="00861998"/>
    <w:rsid w:val="0086242B"/>
    <w:rsid w:val="008624B8"/>
    <w:rsid w:val="00862733"/>
    <w:rsid w:val="00862807"/>
    <w:rsid w:val="00862954"/>
    <w:rsid w:val="008629D2"/>
    <w:rsid w:val="0086316D"/>
    <w:rsid w:val="00863949"/>
    <w:rsid w:val="008639DE"/>
    <w:rsid w:val="00863BFD"/>
    <w:rsid w:val="00863C5B"/>
    <w:rsid w:val="00864D3D"/>
    <w:rsid w:val="00864DEE"/>
    <w:rsid w:val="00864F85"/>
    <w:rsid w:val="0086520F"/>
    <w:rsid w:val="00865229"/>
    <w:rsid w:val="008652F3"/>
    <w:rsid w:val="00865A4F"/>
    <w:rsid w:val="00865B92"/>
    <w:rsid w:val="00866339"/>
    <w:rsid w:val="00866501"/>
    <w:rsid w:val="008666F9"/>
    <w:rsid w:val="00866C6D"/>
    <w:rsid w:val="00866F85"/>
    <w:rsid w:val="008677DC"/>
    <w:rsid w:val="008677DF"/>
    <w:rsid w:val="00867BB9"/>
    <w:rsid w:val="00867C9F"/>
    <w:rsid w:val="00870554"/>
    <w:rsid w:val="00870D26"/>
    <w:rsid w:val="0087135F"/>
    <w:rsid w:val="008713D5"/>
    <w:rsid w:val="00871739"/>
    <w:rsid w:val="00871D65"/>
    <w:rsid w:val="008720AC"/>
    <w:rsid w:val="00872450"/>
    <w:rsid w:val="00872A76"/>
    <w:rsid w:val="00872C4F"/>
    <w:rsid w:val="00872D94"/>
    <w:rsid w:val="00873869"/>
    <w:rsid w:val="00873986"/>
    <w:rsid w:val="00873CC8"/>
    <w:rsid w:val="008745E5"/>
    <w:rsid w:val="008748A1"/>
    <w:rsid w:val="00875360"/>
    <w:rsid w:val="00875CD0"/>
    <w:rsid w:val="00876051"/>
    <w:rsid w:val="008765AE"/>
    <w:rsid w:val="00876A20"/>
    <w:rsid w:val="00877369"/>
    <w:rsid w:val="008773E9"/>
    <w:rsid w:val="00877432"/>
    <w:rsid w:val="00877671"/>
    <w:rsid w:val="00877BE1"/>
    <w:rsid w:val="00877E94"/>
    <w:rsid w:val="00877EEC"/>
    <w:rsid w:val="00880030"/>
    <w:rsid w:val="00880364"/>
    <w:rsid w:val="00880C46"/>
    <w:rsid w:val="008812A3"/>
    <w:rsid w:val="00881A8B"/>
    <w:rsid w:val="00881C6A"/>
    <w:rsid w:val="00881CC3"/>
    <w:rsid w:val="00881F63"/>
    <w:rsid w:val="00882279"/>
    <w:rsid w:val="0088244F"/>
    <w:rsid w:val="00882515"/>
    <w:rsid w:val="008826F4"/>
    <w:rsid w:val="008827C2"/>
    <w:rsid w:val="008828BD"/>
    <w:rsid w:val="0088299C"/>
    <w:rsid w:val="00882DA0"/>
    <w:rsid w:val="00882FBD"/>
    <w:rsid w:val="008834DB"/>
    <w:rsid w:val="008836DE"/>
    <w:rsid w:val="00883BEB"/>
    <w:rsid w:val="00883D09"/>
    <w:rsid w:val="00883F1B"/>
    <w:rsid w:val="00884071"/>
    <w:rsid w:val="0088497F"/>
    <w:rsid w:val="00884B2E"/>
    <w:rsid w:val="00884CFB"/>
    <w:rsid w:val="00884FF9"/>
    <w:rsid w:val="0088503E"/>
    <w:rsid w:val="0088509F"/>
    <w:rsid w:val="00885A3C"/>
    <w:rsid w:val="00885C6C"/>
    <w:rsid w:val="0088608F"/>
    <w:rsid w:val="008861F8"/>
    <w:rsid w:val="008866F1"/>
    <w:rsid w:val="00887082"/>
    <w:rsid w:val="008873FC"/>
    <w:rsid w:val="0088766E"/>
    <w:rsid w:val="00887905"/>
    <w:rsid w:val="00887E36"/>
    <w:rsid w:val="008900E5"/>
    <w:rsid w:val="008901E5"/>
    <w:rsid w:val="00890B27"/>
    <w:rsid w:val="00891016"/>
    <w:rsid w:val="0089114E"/>
    <w:rsid w:val="00891592"/>
    <w:rsid w:val="00891659"/>
    <w:rsid w:val="0089193A"/>
    <w:rsid w:val="00891B01"/>
    <w:rsid w:val="00891C79"/>
    <w:rsid w:val="00891E9E"/>
    <w:rsid w:val="00892252"/>
    <w:rsid w:val="00892546"/>
    <w:rsid w:val="00892640"/>
    <w:rsid w:val="0089275A"/>
    <w:rsid w:val="00892E5B"/>
    <w:rsid w:val="00892E87"/>
    <w:rsid w:val="008932EA"/>
    <w:rsid w:val="00893963"/>
    <w:rsid w:val="0089458A"/>
    <w:rsid w:val="00894831"/>
    <w:rsid w:val="00894A9B"/>
    <w:rsid w:val="00895015"/>
    <w:rsid w:val="008951A0"/>
    <w:rsid w:val="008954D9"/>
    <w:rsid w:val="0089554A"/>
    <w:rsid w:val="008955F3"/>
    <w:rsid w:val="00895619"/>
    <w:rsid w:val="00895BC9"/>
    <w:rsid w:val="00895D5E"/>
    <w:rsid w:val="00895D93"/>
    <w:rsid w:val="00896963"/>
    <w:rsid w:val="00897A5E"/>
    <w:rsid w:val="00897CBF"/>
    <w:rsid w:val="008A02C8"/>
    <w:rsid w:val="008A094B"/>
    <w:rsid w:val="008A0975"/>
    <w:rsid w:val="008A0A00"/>
    <w:rsid w:val="008A0D9B"/>
    <w:rsid w:val="008A0FA3"/>
    <w:rsid w:val="008A111D"/>
    <w:rsid w:val="008A1221"/>
    <w:rsid w:val="008A2839"/>
    <w:rsid w:val="008A2E72"/>
    <w:rsid w:val="008A2ECA"/>
    <w:rsid w:val="008A2F68"/>
    <w:rsid w:val="008A2F9A"/>
    <w:rsid w:val="008A3744"/>
    <w:rsid w:val="008A376A"/>
    <w:rsid w:val="008A37A6"/>
    <w:rsid w:val="008A4380"/>
    <w:rsid w:val="008A4747"/>
    <w:rsid w:val="008A48E7"/>
    <w:rsid w:val="008A494C"/>
    <w:rsid w:val="008A5225"/>
    <w:rsid w:val="008A56FD"/>
    <w:rsid w:val="008A5730"/>
    <w:rsid w:val="008A58A8"/>
    <w:rsid w:val="008A5D9C"/>
    <w:rsid w:val="008A63D3"/>
    <w:rsid w:val="008A63FC"/>
    <w:rsid w:val="008A7C78"/>
    <w:rsid w:val="008B0030"/>
    <w:rsid w:val="008B0677"/>
    <w:rsid w:val="008B0CF6"/>
    <w:rsid w:val="008B118E"/>
    <w:rsid w:val="008B168B"/>
    <w:rsid w:val="008B1B89"/>
    <w:rsid w:val="008B20B8"/>
    <w:rsid w:val="008B2881"/>
    <w:rsid w:val="008B2900"/>
    <w:rsid w:val="008B3ABF"/>
    <w:rsid w:val="008B3AD4"/>
    <w:rsid w:val="008B3D6C"/>
    <w:rsid w:val="008B3E4D"/>
    <w:rsid w:val="008B3F4A"/>
    <w:rsid w:val="008B427E"/>
    <w:rsid w:val="008B42FA"/>
    <w:rsid w:val="008B471E"/>
    <w:rsid w:val="008B47A8"/>
    <w:rsid w:val="008B4812"/>
    <w:rsid w:val="008B4FA6"/>
    <w:rsid w:val="008B5282"/>
    <w:rsid w:val="008B54B2"/>
    <w:rsid w:val="008B5611"/>
    <w:rsid w:val="008B587B"/>
    <w:rsid w:val="008B5B27"/>
    <w:rsid w:val="008B5B63"/>
    <w:rsid w:val="008B6063"/>
    <w:rsid w:val="008B6267"/>
    <w:rsid w:val="008B7133"/>
    <w:rsid w:val="008B7B97"/>
    <w:rsid w:val="008B7C17"/>
    <w:rsid w:val="008B7D16"/>
    <w:rsid w:val="008C02BE"/>
    <w:rsid w:val="008C07B8"/>
    <w:rsid w:val="008C0A30"/>
    <w:rsid w:val="008C0A39"/>
    <w:rsid w:val="008C0C1C"/>
    <w:rsid w:val="008C17A6"/>
    <w:rsid w:val="008C17E1"/>
    <w:rsid w:val="008C17F3"/>
    <w:rsid w:val="008C1BF0"/>
    <w:rsid w:val="008C1F14"/>
    <w:rsid w:val="008C2D01"/>
    <w:rsid w:val="008C2E21"/>
    <w:rsid w:val="008C2E46"/>
    <w:rsid w:val="008C35B8"/>
    <w:rsid w:val="008C40E6"/>
    <w:rsid w:val="008C4608"/>
    <w:rsid w:val="008C4717"/>
    <w:rsid w:val="008C49D2"/>
    <w:rsid w:val="008C4AA1"/>
    <w:rsid w:val="008C4CE8"/>
    <w:rsid w:val="008C4EDA"/>
    <w:rsid w:val="008C4F59"/>
    <w:rsid w:val="008C5CF7"/>
    <w:rsid w:val="008C5D3B"/>
    <w:rsid w:val="008C5F2F"/>
    <w:rsid w:val="008C62F5"/>
    <w:rsid w:val="008C644E"/>
    <w:rsid w:val="008C65A4"/>
    <w:rsid w:val="008C65AE"/>
    <w:rsid w:val="008C67D9"/>
    <w:rsid w:val="008C6BB6"/>
    <w:rsid w:val="008C705C"/>
    <w:rsid w:val="008C7C18"/>
    <w:rsid w:val="008D03B7"/>
    <w:rsid w:val="008D040E"/>
    <w:rsid w:val="008D0418"/>
    <w:rsid w:val="008D08CC"/>
    <w:rsid w:val="008D0C8A"/>
    <w:rsid w:val="008D0F7A"/>
    <w:rsid w:val="008D10DB"/>
    <w:rsid w:val="008D111D"/>
    <w:rsid w:val="008D11AC"/>
    <w:rsid w:val="008D1559"/>
    <w:rsid w:val="008D1AD7"/>
    <w:rsid w:val="008D2112"/>
    <w:rsid w:val="008D29F5"/>
    <w:rsid w:val="008D2C16"/>
    <w:rsid w:val="008D3071"/>
    <w:rsid w:val="008D3C98"/>
    <w:rsid w:val="008D424F"/>
    <w:rsid w:val="008D4656"/>
    <w:rsid w:val="008D48BE"/>
    <w:rsid w:val="008D4AE6"/>
    <w:rsid w:val="008D53B2"/>
    <w:rsid w:val="008D55BF"/>
    <w:rsid w:val="008D568A"/>
    <w:rsid w:val="008D574D"/>
    <w:rsid w:val="008D5B2F"/>
    <w:rsid w:val="008D60F3"/>
    <w:rsid w:val="008D6491"/>
    <w:rsid w:val="008D68E4"/>
    <w:rsid w:val="008D6906"/>
    <w:rsid w:val="008D72C8"/>
    <w:rsid w:val="008D7AC9"/>
    <w:rsid w:val="008D7B31"/>
    <w:rsid w:val="008D7D7B"/>
    <w:rsid w:val="008D7DD1"/>
    <w:rsid w:val="008D7F0A"/>
    <w:rsid w:val="008E0174"/>
    <w:rsid w:val="008E0506"/>
    <w:rsid w:val="008E0CFF"/>
    <w:rsid w:val="008E0FA6"/>
    <w:rsid w:val="008E18C4"/>
    <w:rsid w:val="008E18CE"/>
    <w:rsid w:val="008E1FF1"/>
    <w:rsid w:val="008E20F1"/>
    <w:rsid w:val="008E23A5"/>
    <w:rsid w:val="008E29CD"/>
    <w:rsid w:val="008E2EDA"/>
    <w:rsid w:val="008E3010"/>
    <w:rsid w:val="008E3432"/>
    <w:rsid w:val="008E396B"/>
    <w:rsid w:val="008E3C15"/>
    <w:rsid w:val="008E44D9"/>
    <w:rsid w:val="008E4577"/>
    <w:rsid w:val="008E4E37"/>
    <w:rsid w:val="008E5026"/>
    <w:rsid w:val="008E5159"/>
    <w:rsid w:val="008E5337"/>
    <w:rsid w:val="008E56BC"/>
    <w:rsid w:val="008E5D6B"/>
    <w:rsid w:val="008E5E14"/>
    <w:rsid w:val="008E5F8A"/>
    <w:rsid w:val="008E6567"/>
    <w:rsid w:val="008E69CB"/>
    <w:rsid w:val="008E6EF5"/>
    <w:rsid w:val="008E726E"/>
    <w:rsid w:val="008E74DF"/>
    <w:rsid w:val="008E7654"/>
    <w:rsid w:val="008E767F"/>
    <w:rsid w:val="008E769D"/>
    <w:rsid w:val="008E76F0"/>
    <w:rsid w:val="008E784B"/>
    <w:rsid w:val="008E78DC"/>
    <w:rsid w:val="008E7989"/>
    <w:rsid w:val="008E7E52"/>
    <w:rsid w:val="008E7E71"/>
    <w:rsid w:val="008E7F20"/>
    <w:rsid w:val="008F0439"/>
    <w:rsid w:val="008F058F"/>
    <w:rsid w:val="008F0858"/>
    <w:rsid w:val="008F0903"/>
    <w:rsid w:val="008F0B3D"/>
    <w:rsid w:val="008F0FC4"/>
    <w:rsid w:val="008F15FE"/>
    <w:rsid w:val="008F1A3D"/>
    <w:rsid w:val="008F2930"/>
    <w:rsid w:val="008F2D29"/>
    <w:rsid w:val="008F356A"/>
    <w:rsid w:val="008F3A0C"/>
    <w:rsid w:val="008F4246"/>
    <w:rsid w:val="008F436F"/>
    <w:rsid w:val="008F4636"/>
    <w:rsid w:val="008F4DA1"/>
    <w:rsid w:val="008F4E32"/>
    <w:rsid w:val="008F5187"/>
    <w:rsid w:val="008F58B1"/>
    <w:rsid w:val="008F60D7"/>
    <w:rsid w:val="008F60D8"/>
    <w:rsid w:val="008F63A1"/>
    <w:rsid w:val="008F6F32"/>
    <w:rsid w:val="008F70AF"/>
    <w:rsid w:val="008F75E0"/>
    <w:rsid w:val="008F7719"/>
    <w:rsid w:val="008F77DB"/>
    <w:rsid w:val="008F7B34"/>
    <w:rsid w:val="008F7FD4"/>
    <w:rsid w:val="009002F3"/>
    <w:rsid w:val="00900CB2"/>
    <w:rsid w:val="009014FC"/>
    <w:rsid w:val="00901659"/>
    <w:rsid w:val="00901AC3"/>
    <w:rsid w:val="00901ACE"/>
    <w:rsid w:val="009026D3"/>
    <w:rsid w:val="00902727"/>
    <w:rsid w:val="00902B61"/>
    <w:rsid w:val="00902CF3"/>
    <w:rsid w:val="00902FF8"/>
    <w:rsid w:val="0090312B"/>
    <w:rsid w:val="00903527"/>
    <w:rsid w:val="00903620"/>
    <w:rsid w:val="00903D3D"/>
    <w:rsid w:val="00903FD9"/>
    <w:rsid w:val="00905088"/>
    <w:rsid w:val="00905147"/>
    <w:rsid w:val="00905F51"/>
    <w:rsid w:val="0090626D"/>
    <w:rsid w:val="0090653A"/>
    <w:rsid w:val="00906AC1"/>
    <w:rsid w:val="009077F5"/>
    <w:rsid w:val="00907A8A"/>
    <w:rsid w:val="00907E21"/>
    <w:rsid w:val="00910445"/>
    <w:rsid w:val="00910836"/>
    <w:rsid w:val="009109BC"/>
    <w:rsid w:val="00910F80"/>
    <w:rsid w:val="00911088"/>
    <w:rsid w:val="009114D2"/>
    <w:rsid w:val="009118C2"/>
    <w:rsid w:val="00911975"/>
    <w:rsid w:val="00911D2D"/>
    <w:rsid w:val="00912413"/>
    <w:rsid w:val="0091268E"/>
    <w:rsid w:val="009127E4"/>
    <w:rsid w:val="009129E4"/>
    <w:rsid w:val="00912BDC"/>
    <w:rsid w:val="00912DB0"/>
    <w:rsid w:val="00913687"/>
    <w:rsid w:val="00913F31"/>
    <w:rsid w:val="009141D7"/>
    <w:rsid w:val="00914425"/>
    <w:rsid w:val="009144BC"/>
    <w:rsid w:val="009144D9"/>
    <w:rsid w:val="009150FA"/>
    <w:rsid w:val="0091516D"/>
    <w:rsid w:val="00915384"/>
    <w:rsid w:val="00915420"/>
    <w:rsid w:val="00915769"/>
    <w:rsid w:val="00915ADD"/>
    <w:rsid w:val="00916128"/>
    <w:rsid w:val="0091677A"/>
    <w:rsid w:val="009167D0"/>
    <w:rsid w:val="0091736D"/>
    <w:rsid w:val="00917396"/>
    <w:rsid w:val="009173F8"/>
    <w:rsid w:val="009175ED"/>
    <w:rsid w:val="009179C9"/>
    <w:rsid w:val="00920984"/>
    <w:rsid w:val="009210DF"/>
    <w:rsid w:val="009212DE"/>
    <w:rsid w:val="0092145E"/>
    <w:rsid w:val="0092153F"/>
    <w:rsid w:val="0092168B"/>
    <w:rsid w:val="00921D95"/>
    <w:rsid w:val="009222E5"/>
    <w:rsid w:val="009223D1"/>
    <w:rsid w:val="00922A8E"/>
    <w:rsid w:val="00922CBD"/>
    <w:rsid w:val="00922CDD"/>
    <w:rsid w:val="00922E7A"/>
    <w:rsid w:val="00922F1B"/>
    <w:rsid w:val="00923140"/>
    <w:rsid w:val="0092352C"/>
    <w:rsid w:val="00923A24"/>
    <w:rsid w:val="00924C58"/>
    <w:rsid w:val="00924C97"/>
    <w:rsid w:val="00924E41"/>
    <w:rsid w:val="00924E93"/>
    <w:rsid w:val="00925063"/>
    <w:rsid w:val="00925C4E"/>
    <w:rsid w:val="009262E4"/>
    <w:rsid w:val="009262F0"/>
    <w:rsid w:val="00926694"/>
    <w:rsid w:val="00926928"/>
    <w:rsid w:val="00926EF6"/>
    <w:rsid w:val="00927051"/>
    <w:rsid w:val="0092739D"/>
    <w:rsid w:val="00927767"/>
    <w:rsid w:val="00927BF4"/>
    <w:rsid w:val="00927CB7"/>
    <w:rsid w:val="00927CBC"/>
    <w:rsid w:val="00927E2A"/>
    <w:rsid w:val="00927FD6"/>
    <w:rsid w:val="0093037A"/>
    <w:rsid w:val="00930485"/>
    <w:rsid w:val="0093113A"/>
    <w:rsid w:val="00931866"/>
    <w:rsid w:val="00931A28"/>
    <w:rsid w:val="00931B82"/>
    <w:rsid w:val="009321AD"/>
    <w:rsid w:val="0093230B"/>
    <w:rsid w:val="00932F6E"/>
    <w:rsid w:val="009333FC"/>
    <w:rsid w:val="0093355B"/>
    <w:rsid w:val="0093388D"/>
    <w:rsid w:val="009338F3"/>
    <w:rsid w:val="00933B56"/>
    <w:rsid w:val="00933BD0"/>
    <w:rsid w:val="009341F5"/>
    <w:rsid w:val="00934BA0"/>
    <w:rsid w:val="00934FAA"/>
    <w:rsid w:val="009357DF"/>
    <w:rsid w:val="00935974"/>
    <w:rsid w:val="009359B1"/>
    <w:rsid w:val="0093636D"/>
    <w:rsid w:val="0093671B"/>
    <w:rsid w:val="00936971"/>
    <w:rsid w:val="00937070"/>
    <w:rsid w:val="009379B3"/>
    <w:rsid w:val="00937F93"/>
    <w:rsid w:val="0094009E"/>
    <w:rsid w:val="0094058E"/>
    <w:rsid w:val="00940B2A"/>
    <w:rsid w:val="0094121E"/>
    <w:rsid w:val="0094154D"/>
    <w:rsid w:val="00941594"/>
    <w:rsid w:val="00941925"/>
    <w:rsid w:val="009419A9"/>
    <w:rsid w:val="00941AF1"/>
    <w:rsid w:val="00942028"/>
    <w:rsid w:val="00942232"/>
    <w:rsid w:val="00942273"/>
    <w:rsid w:val="00942292"/>
    <w:rsid w:val="00942330"/>
    <w:rsid w:val="009425AC"/>
    <w:rsid w:val="00943268"/>
    <w:rsid w:val="009434C9"/>
    <w:rsid w:val="00943573"/>
    <w:rsid w:val="009437A2"/>
    <w:rsid w:val="00943F56"/>
    <w:rsid w:val="00944422"/>
    <w:rsid w:val="00944583"/>
    <w:rsid w:val="0094459F"/>
    <w:rsid w:val="009447C4"/>
    <w:rsid w:val="00944A44"/>
    <w:rsid w:val="009454A6"/>
    <w:rsid w:val="0094568A"/>
    <w:rsid w:val="00945BB0"/>
    <w:rsid w:val="00945C57"/>
    <w:rsid w:val="00947814"/>
    <w:rsid w:val="00947A9D"/>
    <w:rsid w:val="00947FF5"/>
    <w:rsid w:val="009500D5"/>
    <w:rsid w:val="0095074A"/>
    <w:rsid w:val="00950D85"/>
    <w:rsid w:val="00951148"/>
    <w:rsid w:val="009514C8"/>
    <w:rsid w:val="00951548"/>
    <w:rsid w:val="0095155F"/>
    <w:rsid w:val="00951CBE"/>
    <w:rsid w:val="009523A7"/>
    <w:rsid w:val="00952740"/>
    <w:rsid w:val="00952960"/>
    <w:rsid w:val="00952AFF"/>
    <w:rsid w:val="00952FA1"/>
    <w:rsid w:val="009530D9"/>
    <w:rsid w:val="009536DD"/>
    <w:rsid w:val="0095386B"/>
    <w:rsid w:val="009542E9"/>
    <w:rsid w:val="00954429"/>
    <w:rsid w:val="00954702"/>
    <w:rsid w:val="0095474F"/>
    <w:rsid w:val="00954EED"/>
    <w:rsid w:val="0095502C"/>
    <w:rsid w:val="00955AC9"/>
    <w:rsid w:val="00955F4C"/>
    <w:rsid w:val="009563CE"/>
    <w:rsid w:val="00956524"/>
    <w:rsid w:val="009565F6"/>
    <w:rsid w:val="009568AD"/>
    <w:rsid w:val="00956993"/>
    <w:rsid w:val="00957099"/>
    <w:rsid w:val="009579AD"/>
    <w:rsid w:val="00957AC7"/>
    <w:rsid w:val="00957C40"/>
    <w:rsid w:val="009604E1"/>
    <w:rsid w:val="00960560"/>
    <w:rsid w:val="00960C4B"/>
    <w:rsid w:val="00960D15"/>
    <w:rsid w:val="00960E2E"/>
    <w:rsid w:val="00961274"/>
    <w:rsid w:val="00961DCF"/>
    <w:rsid w:val="00961FC8"/>
    <w:rsid w:val="009625A3"/>
    <w:rsid w:val="00962949"/>
    <w:rsid w:val="00962FB0"/>
    <w:rsid w:val="00963392"/>
    <w:rsid w:val="009640B0"/>
    <w:rsid w:val="00964A9D"/>
    <w:rsid w:val="009650D4"/>
    <w:rsid w:val="009652E0"/>
    <w:rsid w:val="0096540D"/>
    <w:rsid w:val="009656FE"/>
    <w:rsid w:val="00966406"/>
    <w:rsid w:val="009664BA"/>
    <w:rsid w:val="00966F05"/>
    <w:rsid w:val="0096790E"/>
    <w:rsid w:val="00967BEA"/>
    <w:rsid w:val="009704B9"/>
    <w:rsid w:val="00970593"/>
    <w:rsid w:val="00970B5E"/>
    <w:rsid w:val="00971934"/>
    <w:rsid w:val="00971ACB"/>
    <w:rsid w:val="00971E21"/>
    <w:rsid w:val="0097299B"/>
    <w:rsid w:val="00972F98"/>
    <w:rsid w:val="00973676"/>
    <w:rsid w:val="009737A3"/>
    <w:rsid w:val="0097397C"/>
    <w:rsid w:val="00973E1E"/>
    <w:rsid w:val="0097418E"/>
    <w:rsid w:val="00974504"/>
    <w:rsid w:val="009745F2"/>
    <w:rsid w:val="0097474C"/>
    <w:rsid w:val="009747C8"/>
    <w:rsid w:val="009758BB"/>
    <w:rsid w:val="00975CCC"/>
    <w:rsid w:val="0097611B"/>
    <w:rsid w:val="00976328"/>
    <w:rsid w:val="009763C9"/>
    <w:rsid w:val="00976676"/>
    <w:rsid w:val="0097668C"/>
    <w:rsid w:val="0097680D"/>
    <w:rsid w:val="00976933"/>
    <w:rsid w:val="00977246"/>
    <w:rsid w:val="0097741A"/>
    <w:rsid w:val="00977937"/>
    <w:rsid w:val="00977976"/>
    <w:rsid w:val="00977FAC"/>
    <w:rsid w:val="009800F1"/>
    <w:rsid w:val="00980467"/>
    <w:rsid w:val="00980D82"/>
    <w:rsid w:val="0098126C"/>
    <w:rsid w:val="00981363"/>
    <w:rsid w:val="009815BD"/>
    <w:rsid w:val="00981BC4"/>
    <w:rsid w:val="00981E8F"/>
    <w:rsid w:val="00982438"/>
    <w:rsid w:val="00982996"/>
    <w:rsid w:val="00982B7E"/>
    <w:rsid w:val="00982C30"/>
    <w:rsid w:val="00982C8F"/>
    <w:rsid w:val="00983AB0"/>
    <w:rsid w:val="00983B4F"/>
    <w:rsid w:val="00983C9D"/>
    <w:rsid w:val="0098404C"/>
    <w:rsid w:val="0098408C"/>
    <w:rsid w:val="0098449C"/>
    <w:rsid w:val="00984765"/>
    <w:rsid w:val="00985283"/>
    <w:rsid w:val="00985340"/>
    <w:rsid w:val="00985554"/>
    <w:rsid w:val="009855E3"/>
    <w:rsid w:val="0098566C"/>
    <w:rsid w:val="0098601A"/>
    <w:rsid w:val="0098614B"/>
    <w:rsid w:val="00986BFD"/>
    <w:rsid w:val="009872B1"/>
    <w:rsid w:val="009872C9"/>
    <w:rsid w:val="00987785"/>
    <w:rsid w:val="00987C9C"/>
    <w:rsid w:val="00987EAA"/>
    <w:rsid w:val="00990051"/>
    <w:rsid w:val="009900D3"/>
    <w:rsid w:val="00990278"/>
    <w:rsid w:val="00990407"/>
    <w:rsid w:val="00990778"/>
    <w:rsid w:val="009907E1"/>
    <w:rsid w:val="009908DE"/>
    <w:rsid w:val="00990A17"/>
    <w:rsid w:val="00991B43"/>
    <w:rsid w:val="00991DE9"/>
    <w:rsid w:val="00992117"/>
    <w:rsid w:val="009923AB"/>
    <w:rsid w:val="00992B69"/>
    <w:rsid w:val="00992D85"/>
    <w:rsid w:val="009939F8"/>
    <w:rsid w:val="00993E3E"/>
    <w:rsid w:val="00994466"/>
    <w:rsid w:val="00994951"/>
    <w:rsid w:val="0099569F"/>
    <w:rsid w:val="00995992"/>
    <w:rsid w:val="00995F77"/>
    <w:rsid w:val="00996757"/>
    <w:rsid w:val="009967B7"/>
    <w:rsid w:val="00996909"/>
    <w:rsid w:val="00996E53"/>
    <w:rsid w:val="0099752C"/>
    <w:rsid w:val="00997A36"/>
    <w:rsid w:val="009A03E5"/>
    <w:rsid w:val="009A0546"/>
    <w:rsid w:val="009A054A"/>
    <w:rsid w:val="009A05B7"/>
    <w:rsid w:val="009A083F"/>
    <w:rsid w:val="009A09E7"/>
    <w:rsid w:val="009A0F3B"/>
    <w:rsid w:val="009A10A7"/>
    <w:rsid w:val="009A18BD"/>
    <w:rsid w:val="009A1B9D"/>
    <w:rsid w:val="009A1BB4"/>
    <w:rsid w:val="009A200E"/>
    <w:rsid w:val="009A212E"/>
    <w:rsid w:val="009A2517"/>
    <w:rsid w:val="009A2628"/>
    <w:rsid w:val="009A2835"/>
    <w:rsid w:val="009A2B6F"/>
    <w:rsid w:val="009A2E66"/>
    <w:rsid w:val="009A300A"/>
    <w:rsid w:val="009A3080"/>
    <w:rsid w:val="009A3200"/>
    <w:rsid w:val="009A32C1"/>
    <w:rsid w:val="009A342F"/>
    <w:rsid w:val="009A3950"/>
    <w:rsid w:val="009A3E87"/>
    <w:rsid w:val="009A4355"/>
    <w:rsid w:val="009A497D"/>
    <w:rsid w:val="009A4A98"/>
    <w:rsid w:val="009A4E3B"/>
    <w:rsid w:val="009A5628"/>
    <w:rsid w:val="009A5662"/>
    <w:rsid w:val="009A60E7"/>
    <w:rsid w:val="009A6750"/>
    <w:rsid w:val="009A6965"/>
    <w:rsid w:val="009A6A6E"/>
    <w:rsid w:val="009A6FB4"/>
    <w:rsid w:val="009A748A"/>
    <w:rsid w:val="009A7A59"/>
    <w:rsid w:val="009A7C3A"/>
    <w:rsid w:val="009A7DD5"/>
    <w:rsid w:val="009A7E5D"/>
    <w:rsid w:val="009B0575"/>
    <w:rsid w:val="009B0897"/>
    <w:rsid w:val="009B0E1E"/>
    <w:rsid w:val="009B15DB"/>
    <w:rsid w:val="009B1681"/>
    <w:rsid w:val="009B1C46"/>
    <w:rsid w:val="009B1D73"/>
    <w:rsid w:val="009B2095"/>
    <w:rsid w:val="009B251C"/>
    <w:rsid w:val="009B3898"/>
    <w:rsid w:val="009B394B"/>
    <w:rsid w:val="009B3C4D"/>
    <w:rsid w:val="009B3FC8"/>
    <w:rsid w:val="009B41BA"/>
    <w:rsid w:val="009B4305"/>
    <w:rsid w:val="009B43FF"/>
    <w:rsid w:val="009B44A9"/>
    <w:rsid w:val="009B4804"/>
    <w:rsid w:val="009B4FD1"/>
    <w:rsid w:val="009B637F"/>
    <w:rsid w:val="009B6617"/>
    <w:rsid w:val="009B676D"/>
    <w:rsid w:val="009B6BF2"/>
    <w:rsid w:val="009B6CDF"/>
    <w:rsid w:val="009B6D91"/>
    <w:rsid w:val="009B6F54"/>
    <w:rsid w:val="009B7080"/>
    <w:rsid w:val="009B7313"/>
    <w:rsid w:val="009B79A7"/>
    <w:rsid w:val="009B7BD9"/>
    <w:rsid w:val="009B7CA4"/>
    <w:rsid w:val="009C04B8"/>
    <w:rsid w:val="009C0C91"/>
    <w:rsid w:val="009C0EAF"/>
    <w:rsid w:val="009C10E6"/>
    <w:rsid w:val="009C13BF"/>
    <w:rsid w:val="009C13DC"/>
    <w:rsid w:val="009C16B3"/>
    <w:rsid w:val="009C2091"/>
    <w:rsid w:val="009C2707"/>
    <w:rsid w:val="009C29AB"/>
    <w:rsid w:val="009C2D7C"/>
    <w:rsid w:val="009C2F41"/>
    <w:rsid w:val="009C2F72"/>
    <w:rsid w:val="009C3158"/>
    <w:rsid w:val="009C41D3"/>
    <w:rsid w:val="009C46C5"/>
    <w:rsid w:val="009C475A"/>
    <w:rsid w:val="009C4A21"/>
    <w:rsid w:val="009C4C18"/>
    <w:rsid w:val="009C5095"/>
    <w:rsid w:val="009C5178"/>
    <w:rsid w:val="009C54D8"/>
    <w:rsid w:val="009C62A9"/>
    <w:rsid w:val="009C64B3"/>
    <w:rsid w:val="009C6E9A"/>
    <w:rsid w:val="009C6F1D"/>
    <w:rsid w:val="009C7338"/>
    <w:rsid w:val="009C749A"/>
    <w:rsid w:val="009C74C2"/>
    <w:rsid w:val="009C75F3"/>
    <w:rsid w:val="009C7AB9"/>
    <w:rsid w:val="009C7DD5"/>
    <w:rsid w:val="009D038E"/>
    <w:rsid w:val="009D0E7F"/>
    <w:rsid w:val="009D0FA6"/>
    <w:rsid w:val="009D114E"/>
    <w:rsid w:val="009D1A4E"/>
    <w:rsid w:val="009D2641"/>
    <w:rsid w:val="009D2A39"/>
    <w:rsid w:val="009D2A77"/>
    <w:rsid w:val="009D2C68"/>
    <w:rsid w:val="009D2E7E"/>
    <w:rsid w:val="009D3AF9"/>
    <w:rsid w:val="009D3C8D"/>
    <w:rsid w:val="009D4052"/>
    <w:rsid w:val="009D44BA"/>
    <w:rsid w:val="009D4748"/>
    <w:rsid w:val="009D4D79"/>
    <w:rsid w:val="009D59A6"/>
    <w:rsid w:val="009D5A20"/>
    <w:rsid w:val="009D5CD9"/>
    <w:rsid w:val="009D6195"/>
    <w:rsid w:val="009D6C5B"/>
    <w:rsid w:val="009D6DD3"/>
    <w:rsid w:val="009D6FC4"/>
    <w:rsid w:val="009D74C7"/>
    <w:rsid w:val="009D784F"/>
    <w:rsid w:val="009D7B83"/>
    <w:rsid w:val="009E0197"/>
    <w:rsid w:val="009E01A5"/>
    <w:rsid w:val="009E08C2"/>
    <w:rsid w:val="009E0DAA"/>
    <w:rsid w:val="009E1848"/>
    <w:rsid w:val="009E1A77"/>
    <w:rsid w:val="009E1B5B"/>
    <w:rsid w:val="009E1BC4"/>
    <w:rsid w:val="009E227D"/>
    <w:rsid w:val="009E29B3"/>
    <w:rsid w:val="009E2A36"/>
    <w:rsid w:val="009E2AAC"/>
    <w:rsid w:val="009E2E85"/>
    <w:rsid w:val="009E2F71"/>
    <w:rsid w:val="009E3271"/>
    <w:rsid w:val="009E37EF"/>
    <w:rsid w:val="009E3949"/>
    <w:rsid w:val="009E397D"/>
    <w:rsid w:val="009E3ABA"/>
    <w:rsid w:val="009E3AC7"/>
    <w:rsid w:val="009E3C78"/>
    <w:rsid w:val="009E413A"/>
    <w:rsid w:val="009E443B"/>
    <w:rsid w:val="009E4BB1"/>
    <w:rsid w:val="009E4BB9"/>
    <w:rsid w:val="009E4E04"/>
    <w:rsid w:val="009E4EC2"/>
    <w:rsid w:val="009E5019"/>
    <w:rsid w:val="009E52DA"/>
    <w:rsid w:val="009E5A85"/>
    <w:rsid w:val="009E68FB"/>
    <w:rsid w:val="009E6989"/>
    <w:rsid w:val="009E6C75"/>
    <w:rsid w:val="009E6D9F"/>
    <w:rsid w:val="009E6E1F"/>
    <w:rsid w:val="009E70C2"/>
    <w:rsid w:val="009E729D"/>
    <w:rsid w:val="009E73D7"/>
    <w:rsid w:val="009E753C"/>
    <w:rsid w:val="009E765E"/>
    <w:rsid w:val="009E769A"/>
    <w:rsid w:val="009E7B04"/>
    <w:rsid w:val="009E7BD0"/>
    <w:rsid w:val="009F0114"/>
    <w:rsid w:val="009F0557"/>
    <w:rsid w:val="009F0676"/>
    <w:rsid w:val="009F080E"/>
    <w:rsid w:val="009F1A1B"/>
    <w:rsid w:val="009F1B1D"/>
    <w:rsid w:val="009F2208"/>
    <w:rsid w:val="009F2A69"/>
    <w:rsid w:val="009F2C41"/>
    <w:rsid w:val="009F2E6F"/>
    <w:rsid w:val="009F2ECF"/>
    <w:rsid w:val="009F3435"/>
    <w:rsid w:val="009F3AC1"/>
    <w:rsid w:val="009F41F7"/>
    <w:rsid w:val="009F4AFF"/>
    <w:rsid w:val="009F59B1"/>
    <w:rsid w:val="009F5C2D"/>
    <w:rsid w:val="009F5D7D"/>
    <w:rsid w:val="009F637B"/>
    <w:rsid w:val="009F6EF6"/>
    <w:rsid w:val="009F6F13"/>
    <w:rsid w:val="009F72C9"/>
    <w:rsid w:val="009F79BA"/>
    <w:rsid w:val="009F79C6"/>
    <w:rsid w:val="009F7B1C"/>
    <w:rsid w:val="00A00385"/>
    <w:rsid w:val="00A003FA"/>
    <w:rsid w:val="00A00AAD"/>
    <w:rsid w:val="00A010C6"/>
    <w:rsid w:val="00A0125B"/>
    <w:rsid w:val="00A0141C"/>
    <w:rsid w:val="00A01554"/>
    <w:rsid w:val="00A01573"/>
    <w:rsid w:val="00A017B8"/>
    <w:rsid w:val="00A018C5"/>
    <w:rsid w:val="00A019F3"/>
    <w:rsid w:val="00A01A6A"/>
    <w:rsid w:val="00A021D6"/>
    <w:rsid w:val="00A022AB"/>
    <w:rsid w:val="00A022D2"/>
    <w:rsid w:val="00A028DA"/>
    <w:rsid w:val="00A02E27"/>
    <w:rsid w:val="00A02E97"/>
    <w:rsid w:val="00A030BC"/>
    <w:rsid w:val="00A03954"/>
    <w:rsid w:val="00A03A50"/>
    <w:rsid w:val="00A03E34"/>
    <w:rsid w:val="00A0413C"/>
    <w:rsid w:val="00A042C3"/>
    <w:rsid w:val="00A04497"/>
    <w:rsid w:val="00A04F1B"/>
    <w:rsid w:val="00A0501B"/>
    <w:rsid w:val="00A051BF"/>
    <w:rsid w:val="00A0560D"/>
    <w:rsid w:val="00A057B3"/>
    <w:rsid w:val="00A05D03"/>
    <w:rsid w:val="00A06071"/>
    <w:rsid w:val="00A065F9"/>
    <w:rsid w:val="00A0687C"/>
    <w:rsid w:val="00A06E94"/>
    <w:rsid w:val="00A10207"/>
    <w:rsid w:val="00A1064F"/>
    <w:rsid w:val="00A112B9"/>
    <w:rsid w:val="00A11324"/>
    <w:rsid w:val="00A113EB"/>
    <w:rsid w:val="00A115A9"/>
    <w:rsid w:val="00A119DE"/>
    <w:rsid w:val="00A120D7"/>
    <w:rsid w:val="00A121E8"/>
    <w:rsid w:val="00A1226E"/>
    <w:rsid w:val="00A12380"/>
    <w:rsid w:val="00A12804"/>
    <w:rsid w:val="00A12A74"/>
    <w:rsid w:val="00A12DD7"/>
    <w:rsid w:val="00A13DEB"/>
    <w:rsid w:val="00A1422A"/>
    <w:rsid w:val="00A14947"/>
    <w:rsid w:val="00A14950"/>
    <w:rsid w:val="00A14A0F"/>
    <w:rsid w:val="00A14D6A"/>
    <w:rsid w:val="00A14E99"/>
    <w:rsid w:val="00A15CCD"/>
    <w:rsid w:val="00A15DB8"/>
    <w:rsid w:val="00A16509"/>
    <w:rsid w:val="00A20B89"/>
    <w:rsid w:val="00A21248"/>
    <w:rsid w:val="00A2158B"/>
    <w:rsid w:val="00A22584"/>
    <w:rsid w:val="00A22B9F"/>
    <w:rsid w:val="00A22D46"/>
    <w:rsid w:val="00A22D5B"/>
    <w:rsid w:val="00A230CA"/>
    <w:rsid w:val="00A23188"/>
    <w:rsid w:val="00A234C0"/>
    <w:rsid w:val="00A2356F"/>
    <w:rsid w:val="00A23A26"/>
    <w:rsid w:val="00A23A88"/>
    <w:rsid w:val="00A23B7F"/>
    <w:rsid w:val="00A23D0E"/>
    <w:rsid w:val="00A23E72"/>
    <w:rsid w:val="00A24520"/>
    <w:rsid w:val="00A246D3"/>
    <w:rsid w:val="00A246EB"/>
    <w:rsid w:val="00A2499A"/>
    <w:rsid w:val="00A24DFD"/>
    <w:rsid w:val="00A24F99"/>
    <w:rsid w:val="00A2523B"/>
    <w:rsid w:val="00A254DE"/>
    <w:rsid w:val="00A254EB"/>
    <w:rsid w:val="00A25561"/>
    <w:rsid w:val="00A25975"/>
    <w:rsid w:val="00A25CE3"/>
    <w:rsid w:val="00A26714"/>
    <w:rsid w:val="00A269F4"/>
    <w:rsid w:val="00A26CD0"/>
    <w:rsid w:val="00A27743"/>
    <w:rsid w:val="00A30223"/>
    <w:rsid w:val="00A316BA"/>
    <w:rsid w:val="00A31BDC"/>
    <w:rsid w:val="00A31C4D"/>
    <w:rsid w:val="00A31E7F"/>
    <w:rsid w:val="00A32A83"/>
    <w:rsid w:val="00A32B0B"/>
    <w:rsid w:val="00A3329D"/>
    <w:rsid w:val="00A33E0E"/>
    <w:rsid w:val="00A33EF7"/>
    <w:rsid w:val="00A33FF3"/>
    <w:rsid w:val="00A33FFD"/>
    <w:rsid w:val="00A34070"/>
    <w:rsid w:val="00A343D7"/>
    <w:rsid w:val="00A34417"/>
    <w:rsid w:val="00A34A57"/>
    <w:rsid w:val="00A34D2D"/>
    <w:rsid w:val="00A350DE"/>
    <w:rsid w:val="00A356A7"/>
    <w:rsid w:val="00A357AE"/>
    <w:rsid w:val="00A35E7D"/>
    <w:rsid w:val="00A3617D"/>
    <w:rsid w:val="00A36278"/>
    <w:rsid w:val="00A368DB"/>
    <w:rsid w:val="00A3697D"/>
    <w:rsid w:val="00A36A54"/>
    <w:rsid w:val="00A3744F"/>
    <w:rsid w:val="00A3768A"/>
    <w:rsid w:val="00A376C4"/>
    <w:rsid w:val="00A37AE2"/>
    <w:rsid w:val="00A37B9F"/>
    <w:rsid w:val="00A37F67"/>
    <w:rsid w:val="00A40A52"/>
    <w:rsid w:val="00A412B0"/>
    <w:rsid w:val="00A4166E"/>
    <w:rsid w:val="00A417AE"/>
    <w:rsid w:val="00A41981"/>
    <w:rsid w:val="00A41D2F"/>
    <w:rsid w:val="00A41D64"/>
    <w:rsid w:val="00A42361"/>
    <w:rsid w:val="00A423AA"/>
    <w:rsid w:val="00A42A10"/>
    <w:rsid w:val="00A42A40"/>
    <w:rsid w:val="00A42AD2"/>
    <w:rsid w:val="00A42AF1"/>
    <w:rsid w:val="00A42E44"/>
    <w:rsid w:val="00A435AF"/>
    <w:rsid w:val="00A437AF"/>
    <w:rsid w:val="00A439B1"/>
    <w:rsid w:val="00A43B3B"/>
    <w:rsid w:val="00A44152"/>
    <w:rsid w:val="00A44251"/>
    <w:rsid w:val="00A445AB"/>
    <w:rsid w:val="00A448B5"/>
    <w:rsid w:val="00A4554E"/>
    <w:rsid w:val="00A45AEF"/>
    <w:rsid w:val="00A45DB3"/>
    <w:rsid w:val="00A46066"/>
    <w:rsid w:val="00A46179"/>
    <w:rsid w:val="00A466C4"/>
    <w:rsid w:val="00A46BD2"/>
    <w:rsid w:val="00A47030"/>
    <w:rsid w:val="00A4745B"/>
    <w:rsid w:val="00A5003D"/>
    <w:rsid w:val="00A503B2"/>
    <w:rsid w:val="00A50599"/>
    <w:rsid w:val="00A50728"/>
    <w:rsid w:val="00A50931"/>
    <w:rsid w:val="00A50951"/>
    <w:rsid w:val="00A50A0F"/>
    <w:rsid w:val="00A50AC3"/>
    <w:rsid w:val="00A50B5B"/>
    <w:rsid w:val="00A51047"/>
    <w:rsid w:val="00A51A5B"/>
    <w:rsid w:val="00A52631"/>
    <w:rsid w:val="00A52830"/>
    <w:rsid w:val="00A529A3"/>
    <w:rsid w:val="00A52CD0"/>
    <w:rsid w:val="00A52DFD"/>
    <w:rsid w:val="00A53560"/>
    <w:rsid w:val="00A53A67"/>
    <w:rsid w:val="00A53C21"/>
    <w:rsid w:val="00A53D36"/>
    <w:rsid w:val="00A53EC6"/>
    <w:rsid w:val="00A5431F"/>
    <w:rsid w:val="00A545E8"/>
    <w:rsid w:val="00A54790"/>
    <w:rsid w:val="00A54DC8"/>
    <w:rsid w:val="00A54F39"/>
    <w:rsid w:val="00A55090"/>
    <w:rsid w:val="00A5525E"/>
    <w:rsid w:val="00A5535C"/>
    <w:rsid w:val="00A559D7"/>
    <w:rsid w:val="00A55C0F"/>
    <w:rsid w:val="00A55C4E"/>
    <w:rsid w:val="00A55EBA"/>
    <w:rsid w:val="00A55FBE"/>
    <w:rsid w:val="00A567F5"/>
    <w:rsid w:val="00A56864"/>
    <w:rsid w:val="00A568B1"/>
    <w:rsid w:val="00A56FA4"/>
    <w:rsid w:val="00A5751D"/>
    <w:rsid w:val="00A57710"/>
    <w:rsid w:val="00A5789C"/>
    <w:rsid w:val="00A57E3A"/>
    <w:rsid w:val="00A6077A"/>
    <w:rsid w:val="00A60C50"/>
    <w:rsid w:val="00A6106C"/>
    <w:rsid w:val="00A611B0"/>
    <w:rsid w:val="00A6138D"/>
    <w:rsid w:val="00A61827"/>
    <w:rsid w:val="00A61D3A"/>
    <w:rsid w:val="00A623ED"/>
    <w:rsid w:val="00A62623"/>
    <w:rsid w:val="00A6277F"/>
    <w:rsid w:val="00A6289F"/>
    <w:rsid w:val="00A62AEF"/>
    <w:rsid w:val="00A62C74"/>
    <w:rsid w:val="00A62DD8"/>
    <w:rsid w:val="00A62DEE"/>
    <w:rsid w:val="00A63553"/>
    <w:rsid w:val="00A63574"/>
    <w:rsid w:val="00A63719"/>
    <w:rsid w:val="00A6388B"/>
    <w:rsid w:val="00A63C22"/>
    <w:rsid w:val="00A640B3"/>
    <w:rsid w:val="00A649EE"/>
    <w:rsid w:val="00A64CD8"/>
    <w:rsid w:val="00A64FAF"/>
    <w:rsid w:val="00A65621"/>
    <w:rsid w:val="00A6587A"/>
    <w:rsid w:val="00A65B91"/>
    <w:rsid w:val="00A65C4E"/>
    <w:rsid w:val="00A6670F"/>
    <w:rsid w:val="00A66903"/>
    <w:rsid w:val="00A66C1B"/>
    <w:rsid w:val="00A673FA"/>
    <w:rsid w:val="00A675DD"/>
    <w:rsid w:val="00A67607"/>
    <w:rsid w:val="00A6761C"/>
    <w:rsid w:val="00A67A05"/>
    <w:rsid w:val="00A67A2D"/>
    <w:rsid w:val="00A67D99"/>
    <w:rsid w:val="00A67F14"/>
    <w:rsid w:val="00A703AE"/>
    <w:rsid w:val="00A707AD"/>
    <w:rsid w:val="00A71756"/>
    <w:rsid w:val="00A71770"/>
    <w:rsid w:val="00A71902"/>
    <w:rsid w:val="00A72283"/>
    <w:rsid w:val="00A724F0"/>
    <w:rsid w:val="00A72A2D"/>
    <w:rsid w:val="00A7304D"/>
    <w:rsid w:val="00A731E0"/>
    <w:rsid w:val="00A73AC5"/>
    <w:rsid w:val="00A740EE"/>
    <w:rsid w:val="00A74AD9"/>
    <w:rsid w:val="00A7505C"/>
    <w:rsid w:val="00A750CC"/>
    <w:rsid w:val="00A7529E"/>
    <w:rsid w:val="00A75435"/>
    <w:rsid w:val="00A7565C"/>
    <w:rsid w:val="00A75704"/>
    <w:rsid w:val="00A75CCA"/>
    <w:rsid w:val="00A75E33"/>
    <w:rsid w:val="00A75EB9"/>
    <w:rsid w:val="00A76274"/>
    <w:rsid w:val="00A76901"/>
    <w:rsid w:val="00A76C2A"/>
    <w:rsid w:val="00A77A29"/>
    <w:rsid w:val="00A77AB7"/>
    <w:rsid w:val="00A77D9F"/>
    <w:rsid w:val="00A77FD5"/>
    <w:rsid w:val="00A80315"/>
    <w:rsid w:val="00A8060B"/>
    <w:rsid w:val="00A80A22"/>
    <w:rsid w:val="00A80AC5"/>
    <w:rsid w:val="00A80B55"/>
    <w:rsid w:val="00A80BD7"/>
    <w:rsid w:val="00A80FE9"/>
    <w:rsid w:val="00A8234B"/>
    <w:rsid w:val="00A8258F"/>
    <w:rsid w:val="00A825D3"/>
    <w:rsid w:val="00A82660"/>
    <w:rsid w:val="00A82AA4"/>
    <w:rsid w:val="00A835F9"/>
    <w:rsid w:val="00A8378A"/>
    <w:rsid w:val="00A83829"/>
    <w:rsid w:val="00A838A2"/>
    <w:rsid w:val="00A83ED3"/>
    <w:rsid w:val="00A83FB7"/>
    <w:rsid w:val="00A84040"/>
    <w:rsid w:val="00A84163"/>
    <w:rsid w:val="00A84448"/>
    <w:rsid w:val="00A84474"/>
    <w:rsid w:val="00A84811"/>
    <w:rsid w:val="00A84876"/>
    <w:rsid w:val="00A86188"/>
    <w:rsid w:val="00A86215"/>
    <w:rsid w:val="00A870A9"/>
    <w:rsid w:val="00A8713F"/>
    <w:rsid w:val="00A87D49"/>
    <w:rsid w:val="00A87F2F"/>
    <w:rsid w:val="00A905E3"/>
    <w:rsid w:val="00A90AEF"/>
    <w:rsid w:val="00A90BA1"/>
    <w:rsid w:val="00A90C66"/>
    <w:rsid w:val="00A90D09"/>
    <w:rsid w:val="00A91126"/>
    <w:rsid w:val="00A91583"/>
    <w:rsid w:val="00A9197F"/>
    <w:rsid w:val="00A92ACE"/>
    <w:rsid w:val="00A92BB2"/>
    <w:rsid w:val="00A92EC6"/>
    <w:rsid w:val="00A93561"/>
    <w:rsid w:val="00A9382D"/>
    <w:rsid w:val="00A93C80"/>
    <w:rsid w:val="00A93ECC"/>
    <w:rsid w:val="00A94335"/>
    <w:rsid w:val="00A94352"/>
    <w:rsid w:val="00A94421"/>
    <w:rsid w:val="00A94735"/>
    <w:rsid w:val="00A94DD9"/>
    <w:rsid w:val="00A94E3C"/>
    <w:rsid w:val="00A95D31"/>
    <w:rsid w:val="00A961DB"/>
    <w:rsid w:val="00A96C3D"/>
    <w:rsid w:val="00A9709D"/>
    <w:rsid w:val="00A97185"/>
    <w:rsid w:val="00A97333"/>
    <w:rsid w:val="00A97A69"/>
    <w:rsid w:val="00A97A9A"/>
    <w:rsid w:val="00AA036B"/>
    <w:rsid w:val="00AA0671"/>
    <w:rsid w:val="00AA1111"/>
    <w:rsid w:val="00AA1839"/>
    <w:rsid w:val="00AA1BAD"/>
    <w:rsid w:val="00AA2356"/>
    <w:rsid w:val="00AA24C5"/>
    <w:rsid w:val="00AA2531"/>
    <w:rsid w:val="00AA26B6"/>
    <w:rsid w:val="00AA2743"/>
    <w:rsid w:val="00AA2993"/>
    <w:rsid w:val="00AA2AE4"/>
    <w:rsid w:val="00AA2C52"/>
    <w:rsid w:val="00AA3C3C"/>
    <w:rsid w:val="00AA42E5"/>
    <w:rsid w:val="00AA44EB"/>
    <w:rsid w:val="00AA46BB"/>
    <w:rsid w:val="00AA4B94"/>
    <w:rsid w:val="00AA4F0B"/>
    <w:rsid w:val="00AA50F1"/>
    <w:rsid w:val="00AA541A"/>
    <w:rsid w:val="00AA54B3"/>
    <w:rsid w:val="00AA5841"/>
    <w:rsid w:val="00AA5B20"/>
    <w:rsid w:val="00AA66ED"/>
    <w:rsid w:val="00AA67CD"/>
    <w:rsid w:val="00AA6EF0"/>
    <w:rsid w:val="00AA74C1"/>
    <w:rsid w:val="00AA765A"/>
    <w:rsid w:val="00AA7710"/>
    <w:rsid w:val="00AA7957"/>
    <w:rsid w:val="00AA7AA6"/>
    <w:rsid w:val="00AB003A"/>
    <w:rsid w:val="00AB003C"/>
    <w:rsid w:val="00AB0285"/>
    <w:rsid w:val="00AB05AE"/>
    <w:rsid w:val="00AB0844"/>
    <w:rsid w:val="00AB0A53"/>
    <w:rsid w:val="00AB0B30"/>
    <w:rsid w:val="00AB0D80"/>
    <w:rsid w:val="00AB100A"/>
    <w:rsid w:val="00AB11FB"/>
    <w:rsid w:val="00AB1224"/>
    <w:rsid w:val="00AB1947"/>
    <w:rsid w:val="00AB1DDE"/>
    <w:rsid w:val="00AB1E09"/>
    <w:rsid w:val="00AB1EBC"/>
    <w:rsid w:val="00AB23D7"/>
    <w:rsid w:val="00AB2505"/>
    <w:rsid w:val="00AB255E"/>
    <w:rsid w:val="00AB2840"/>
    <w:rsid w:val="00AB29FD"/>
    <w:rsid w:val="00AB2D1A"/>
    <w:rsid w:val="00AB3F15"/>
    <w:rsid w:val="00AB4352"/>
    <w:rsid w:val="00AB44B7"/>
    <w:rsid w:val="00AB51FF"/>
    <w:rsid w:val="00AB530D"/>
    <w:rsid w:val="00AB5330"/>
    <w:rsid w:val="00AB554C"/>
    <w:rsid w:val="00AB563F"/>
    <w:rsid w:val="00AB5D7D"/>
    <w:rsid w:val="00AB638A"/>
    <w:rsid w:val="00AB63A4"/>
    <w:rsid w:val="00AB6D45"/>
    <w:rsid w:val="00AB7066"/>
    <w:rsid w:val="00AB7747"/>
    <w:rsid w:val="00AB789D"/>
    <w:rsid w:val="00AB7C91"/>
    <w:rsid w:val="00AC0267"/>
    <w:rsid w:val="00AC02E9"/>
    <w:rsid w:val="00AC057C"/>
    <w:rsid w:val="00AC0D9F"/>
    <w:rsid w:val="00AC13DB"/>
    <w:rsid w:val="00AC13FE"/>
    <w:rsid w:val="00AC14CE"/>
    <w:rsid w:val="00AC15B4"/>
    <w:rsid w:val="00AC17C6"/>
    <w:rsid w:val="00AC1B0E"/>
    <w:rsid w:val="00AC2604"/>
    <w:rsid w:val="00AC2A56"/>
    <w:rsid w:val="00AC2B09"/>
    <w:rsid w:val="00AC2F04"/>
    <w:rsid w:val="00AC318E"/>
    <w:rsid w:val="00AC3808"/>
    <w:rsid w:val="00AC3ABE"/>
    <w:rsid w:val="00AC3BAA"/>
    <w:rsid w:val="00AC45E7"/>
    <w:rsid w:val="00AC4E69"/>
    <w:rsid w:val="00AC4EE5"/>
    <w:rsid w:val="00AC56CA"/>
    <w:rsid w:val="00AC599F"/>
    <w:rsid w:val="00AC638A"/>
    <w:rsid w:val="00AC69DE"/>
    <w:rsid w:val="00AC6AF0"/>
    <w:rsid w:val="00AC70AE"/>
    <w:rsid w:val="00AC7435"/>
    <w:rsid w:val="00AC7851"/>
    <w:rsid w:val="00AC7FA8"/>
    <w:rsid w:val="00AD055E"/>
    <w:rsid w:val="00AD09B4"/>
    <w:rsid w:val="00AD0F46"/>
    <w:rsid w:val="00AD1000"/>
    <w:rsid w:val="00AD139C"/>
    <w:rsid w:val="00AD144E"/>
    <w:rsid w:val="00AD1D48"/>
    <w:rsid w:val="00AD21E5"/>
    <w:rsid w:val="00AD2539"/>
    <w:rsid w:val="00AD28AA"/>
    <w:rsid w:val="00AD2C6E"/>
    <w:rsid w:val="00AD3330"/>
    <w:rsid w:val="00AD40E7"/>
    <w:rsid w:val="00AD4672"/>
    <w:rsid w:val="00AD47A7"/>
    <w:rsid w:val="00AD4878"/>
    <w:rsid w:val="00AD572B"/>
    <w:rsid w:val="00AD5F88"/>
    <w:rsid w:val="00AD64B7"/>
    <w:rsid w:val="00AD67CD"/>
    <w:rsid w:val="00AD698E"/>
    <w:rsid w:val="00AD6A8C"/>
    <w:rsid w:val="00AD6AE1"/>
    <w:rsid w:val="00AD700A"/>
    <w:rsid w:val="00AD7FE6"/>
    <w:rsid w:val="00AE04B4"/>
    <w:rsid w:val="00AE063E"/>
    <w:rsid w:val="00AE09C2"/>
    <w:rsid w:val="00AE0F8C"/>
    <w:rsid w:val="00AE101C"/>
    <w:rsid w:val="00AE1261"/>
    <w:rsid w:val="00AE1409"/>
    <w:rsid w:val="00AE1479"/>
    <w:rsid w:val="00AE16D2"/>
    <w:rsid w:val="00AE1B3F"/>
    <w:rsid w:val="00AE1B8E"/>
    <w:rsid w:val="00AE1CCA"/>
    <w:rsid w:val="00AE26C1"/>
    <w:rsid w:val="00AE285E"/>
    <w:rsid w:val="00AE2878"/>
    <w:rsid w:val="00AE30E9"/>
    <w:rsid w:val="00AE30F8"/>
    <w:rsid w:val="00AE3703"/>
    <w:rsid w:val="00AE38C7"/>
    <w:rsid w:val="00AE4033"/>
    <w:rsid w:val="00AE4752"/>
    <w:rsid w:val="00AE5295"/>
    <w:rsid w:val="00AE5707"/>
    <w:rsid w:val="00AE57E5"/>
    <w:rsid w:val="00AE5D3C"/>
    <w:rsid w:val="00AE5DBF"/>
    <w:rsid w:val="00AE6532"/>
    <w:rsid w:val="00AE681E"/>
    <w:rsid w:val="00AE6969"/>
    <w:rsid w:val="00AE6D7B"/>
    <w:rsid w:val="00AE7438"/>
    <w:rsid w:val="00AE7AFB"/>
    <w:rsid w:val="00AE7C75"/>
    <w:rsid w:val="00AF035D"/>
    <w:rsid w:val="00AF03DA"/>
    <w:rsid w:val="00AF0CBF"/>
    <w:rsid w:val="00AF1141"/>
    <w:rsid w:val="00AF125A"/>
    <w:rsid w:val="00AF1510"/>
    <w:rsid w:val="00AF19E9"/>
    <w:rsid w:val="00AF1BAA"/>
    <w:rsid w:val="00AF1C7D"/>
    <w:rsid w:val="00AF22FB"/>
    <w:rsid w:val="00AF2561"/>
    <w:rsid w:val="00AF257F"/>
    <w:rsid w:val="00AF2E99"/>
    <w:rsid w:val="00AF33CF"/>
    <w:rsid w:val="00AF33DF"/>
    <w:rsid w:val="00AF3FD9"/>
    <w:rsid w:val="00AF4D50"/>
    <w:rsid w:val="00AF5317"/>
    <w:rsid w:val="00AF560E"/>
    <w:rsid w:val="00AF5B40"/>
    <w:rsid w:val="00AF5BC1"/>
    <w:rsid w:val="00AF5F6F"/>
    <w:rsid w:val="00AF612C"/>
    <w:rsid w:val="00AF6179"/>
    <w:rsid w:val="00AF7118"/>
    <w:rsid w:val="00AF7476"/>
    <w:rsid w:val="00AF7BB2"/>
    <w:rsid w:val="00AF7D80"/>
    <w:rsid w:val="00B001B0"/>
    <w:rsid w:val="00B00A17"/>
    <w:rsid w:val="00B014B5"/>
    <w:rsid w:val="00B015AE"/>
    <w:rsid w:val="00B01811"/>
    <w:rsid w:val="00B0193A"/>
    <w:rsid w:val="00B01BEB"/>
    <w:rsid w:val="00B02091"/>
    <w:rsid w:val="00B02425"/>
    <w:rsid w:val="00B02D8A"/>
    <w:rsid w:val="00B035F9"/>
    <w:rsid w:val="00B0369B"/>
    <w:rsid w:val="00B038D6"/>
    <w:rsid w:val="00B039E8"/>
    <w:rsid w:val="00B03A0F"/>
    <w:rsid w:val="00B03A5C"/>
    <w:rsid w:val="00B03FFF"/>
    <w:rsid w:val="00B04120"/>
    <w:rsid w:val="00B04A2C"/>
    <w:rsid w:val="00B0511F"/>
    <w:rsid w:val="00B058B5"/>
    <w:rsid w:val="00B05EE3"/>
    <w:rsid w:val="00B06212"/>
    <w:rsid w:val="00B06CC2"/>
    <w:rsid w:val="00B06D9E"/>
    <w:rsid w:val="00B0743E"/>
    <w:rsid w:val="00B07BC0"/>
    <w:rsid w:val="00B07C13"/>
    <w:rsid w:val="00B103C0"/>
    <w:rsid w:val="00B106A9"/>
    <w:rsid w:val="00B10831"/>
    <w:rsid w:val="00B10C3F"/>
    <w:rsid w:val="00B11466"/>
    <w:rsid w:val="00B117CF"/>
    <w:rsid w:val="00B11EA0"/>
    <w:rsid w:val="00B121CF"/>
    <w:rsid w:val="00B125AB"/>
    <w:rsid w:val="00B128B6"/>
    <w:rsid w:val="00B1295A"/>
    <w:rsid w:val="00B1346C"/>
    <w:rsid w:val="00B1367D"/>
    <w:rsid w:val="00B13EDA"/>
    <w:rsid w:val="00B13FAE"/>
    <w:rsid w:val="00B142C9"/>
    <w:rsid w:val="00B142D2"/>
    <w:rsid w:val="00B142F1"/>
    <w:rsid w:val="00B148FA"/>
    <w:rsid w:val="00B14995"/>
    <w:rsid w:val="00B14E25"/>
    <w:rsid w:val="00B15167"/>
    <w:rsid w:val="00B156C3"/>
    <w:rsid w:val="00B16C5A"/>
    <w:rsid w:val="00B16DD6"/>
    <w:rsid w:val="00B2019F"/>
    <w:rsid w:val="00B2026C"/>
    <w:rsid w:val="00B20277"/>
    <w:rsid w:val="00B20A45"/>
    <w:rsid w:val="00B211D2"/>
    <w:rsid w:val="00B214AA"/>
    <w:rsid w:val="00B2159C"/>
    <w:rsid w:val="00B22C5C"/>
    <w:rsid w:val="00B235C4"/>
    <w:rsid w:val="00B23C56"/>
    <w:rsid w:val="00B23F7A"/>
    <w:rsid w:val="00B240EB"/>
    <w:rsid w:val="00B24824"/>
    <w:rsid w:val="00B24E22"/>
    <w:rsid w:val="00B24F30"/>
    <w:rsid w:val="00B251EB"/>
    <w:rsid w:val="00B255F3"/>
    <w:rsid w:val="00B25C7A"/>
    <w:rsid w:val="00B261D6"/>
    <w:rsid w:val="00B2644B"/>
    <w:rsid w:val="00B266A3"/>
    <w:rsid w:val="00B26C4A"/>
    <w:rsid w:val="00B271B9"/>
    <w:rsid w:val="00B274BB"/>
    <w:rsid w:val="00B279FD"/>
    <w:rsid w:val="00B3073E"/>
    <w:rsid w:val="00B3083A"/>
    <w:rsid w:val="00B3088E"/>
    <w:rsid w:val="00B31243"/>
    <w:rsid w:val="00B31734"/>
    <w:rsid w:val="00B31ABF"/>
    <w:rsid w:val="00B31D06"/>
    <w:rsid w:val="00B325BA"/>
    <w:rsid w:val="00B32F6D"/>
    <w:rsid w:val="00B331D1"/>
    <w:rsid w:val="00B33207"/>
    <w:rsid w:val="00B33BE3"/>
    <w:rsid w:val="00B34855"/>
    <w:rsid w:val="00B34919"/>
    <w:rsid w:val="00B34A6F"/>
    <w:rsid w:val="00B34B72"/>
    <w:rsid w:val="00B34E05"/>
    <w:rsid w:val="00B352AF"/>
    <w:rsid w:val="00B359BA"/>
    <w:rsid w:val="00B35C4D"/>
    <w:rsid w:val="00B35CA9"/>
    <w:rsid w:val="00B369FA"/>
    <w:rsid w:val="00B37B76"/>
    <w:rsid w:val="00B37CDD"/>
    <w:rsid w:val="00B40081"/>
    <w:rsid w:val="00B40355"/>
    <w:rsid w:val="00B40A2D"/>
    <w:rsid w:val="00B40B0C"/>
    <w:rsid w:val="00B40C05"/>
    <w:rsid w:val="00B41A67"/>
    <w:rsid w:val="00B41BB4"/>
    <w:rsid w:val="00B41EE9"/>
    <w:rsid w:val="00B41EF6"/>
    <w:rsid w:val="00B42166"/>
    <w:rsid w:val="00B42483"/>
    <w:rsid w:val="00B425D0"/>
    <w:rsid w:val="00B4268F"/>
    <w:rsid w:val="00B42A25"/>
    <w:rsid w:val="00B432F6"/>
    <w:rsid w:val="00B43353"/>
    <w:rsid w:val="00B4423C"/>
    <w:rsid w:val="00B44263"/>
    <w:rsid w:val="00B4486A"/>
    <w:rsid w:val="00B44893"/>
    <w:rsid w:val="00B448A1"/>
    <w:rsid w:val="00B449C9"/>
    <w:rsid w:val="00B44DE8"/>
    <w:rsid w:val="00B45373"/>
    <w:rsid w:val="00B453EA"/>
    <w:rsid w:val="00B453EF"/>
    <w:rsid w:val="00B4551F"/>
    <w:rsid w:val="00B455E6"/>
    <w:rsid w:val="00B4565C"/>
    <w:rsid w:val="00B45EF7"/>
    <w:rsid w:val="00B45F23"/>
    <w:rsid w:val="00B46219"/>
    <w:rsid w:val="00B4637E"/>
    <w:rsid w:val="00B463B1"/>
    <w:rsid w:val="00B464C2"/>
    <w:rsid w:val="00B46FED"/>
    <w:rsid w:val="00B478BF"/>
    <w:rsid w:val="00B505F5"/>
    <w:rsid w:val="00B50E2B"/>
    <w:rsid w:val="00B5114C"/>
    <w:rsid w:val="00B51403"/>
    <w:rsid w:val="00B51B60"/>
    <w:rsid w:val="00B52360"/>
    <w:rsid w:val="00B52671"/>
    <w:rsid w:val="00B52776"/>
    <w:rsid w:val="00B52EAD"/>
    <w:rsid w:val="00B530EF"/>
    <w:rsid w:val="00B53362"/>
    <w:rsid w:val="00B53A01"/>
    <w:rsid w:val="00B53B5D"/>
    <w:rsid w:val="00B54766"/>
    <w:rsid w:val="00B5486B"/>
    <w:rsid w:val="00B548D3"/>
    <w:rsid w:val="00B549CD"/>
    <w:rsid w:val="00B54A9E"/>
    <w:rsid w:val="00B54AEE"/>
    <w:rsid w:val="00B54C45"/>
    <w:rsid w:val="00B54C4E"/>
    <w:rsid w:val="00B54E5D"/>
    <w:rsid w:val="00B54E62"/>
    <w:rsid w:val="00B54F56"/>
    <w:rsid w:val="00B551AE"/>
    <w:rsid w:val="00B5559B"/>
    <w:rsid w:val="00B556F2"/>
    <w:rsid w:val="00B55BC6"/>
    <w:rsid w:val="00B56D76"/>
    <w:rsid w:val="00B56ED1"/>
    <w:rsid w:val="00B56FEA"/>
    <w:rsid w:val="00B5731F"/>
    <w:rsid w:val="00B575D7"/>
    <w:rsid w:val="00B57C0D"/>
    <w:rsid w:val="00B6055E"/>
    <w:rsid w:val="00B6060D"/>
    <w:rsid w:val="00B60D11"/>
    <w:rsid w:val="00B614C1"/>
    <w:rsid w:val="00B615BF"/>
    <w:rsid w:val="00B617B9"/>
    <w:rsid w:val="00B619BB"/>
    <w:rsid w:val="00B62120"/>
    <w:rsid w:val="00B62564"/>
    <w:rsid w:val="00B62D78"/>
    <w:rsid w:val="00B62E02"/>
    <w:rsid w:val="00B630DA"/>
    <w:rsid w:val="00B630EE"/>
    <w:rsid w:val="00B6317D"/>
    <w:rsid w:val="00B63D2E"/>
    <w:rsid w:val="00B64AB8"/>
    <w:rsid w:val="00B64B06"/>
    <w:rsid w:val="00B64FE4"/>
    <w:rsid w:val="00B651DA"/>
    <w:rsid w:val="00B65441"/>
    <w:rsid w:val="00B658EF"/>
    <w:rsid w:val="00B65CC3"/>
    <w:rsid w:val="00B65D3E"/>
    <w:rsid w:val="00B65EA1"/>
    <w:rsid w:val="00B661E4"/>
    <w:rsid w:val="00B66E76"/>
    <w:rsid w:val="00B670C9"/>
    <w:rsid w:val="00B6720F"/>
    <w:rsid w:val="00B679BF"/>
    <w:rsid w:val="00B67C93"/>
    <w:rsid w:val="00B703BD"/>
    <w:rsid w:val="00B7046C"/>
    <w:rsid w:val="00B7063F"/>
    <w:rsid w:val="00B70B23"/>
    <w:rsid w:val="00B71058"/>
    <w:rsid w:val="00B712EA"/>
    <w:rsid w:val="00B71DEE"/>
    <w:rsid w:val="00B71E0A"/>
    <w:rsid w:val="00B7287D"/>
    <w:rsid w:val="00B72931"/>
    <w:rsid w:val="00B72A46"/>
    <w:rsid w:val="00B72F7B"/>
    <w:rsid w:val="00B73315"/>
    <w:rsid w:val="00B73D5F"/>
    <w:rsid w:val="00B74882"/>
    <w:rsid w:val="00B74900"/>
    <w:rsid w:val="00B74E8E"/>
    <w:rsid w:val="00B75215"/>
    <w:rsid w:val="00B753EF"/>
    <w:rsid w:val="00B754B7"/>
    <w:rsid w:val="00B75889"/>
    <w:rsid w:val="00B75AB1"/>
    <w:rsid w:val="00B75E12"/>
    <w:rsid w:val="00B75F3C"/>
    <w:rsid w:val="00B76DD8"/>
    <w:rsid w:val="00B770F8"/>
    <w:rsid w:val="00B77199"/>
    <w:rsid w:val="00B7723F"/>
    <w:rsid w:val="00B77740"/>
    <w:rsid w:val="00B778B9"/>
    <w:rsid w:val="00B77946"/>
    <w:rsid w:val="00B779AC"/>
    <w:rsid w:val="00B77A91"/>
    <w:rsid w:val="00B77B41"/>
    <w:rsid w:val="00B80123"/>
    <w:rsid w:val="00B80534"/>
    <w:rsid w:val="00B80730"/>
    <w:rsid w:val="00B80DA5"/>
    <w:rsid w:val="00B80DBC"/>
    <w:rsid w:val="00B80E0E"/>
    <w:rsid w:val="00B8122E"/>
    <w:rsid w:val="00B816DE"/>
    <w:rsid w:val="00B819A3"/>
    <w:rsid w:val="00B81E25"/>
    <w:rsid w:val="00B82320"/>
    <w:rsid w:val="00B82D50"/>
    <w:rsid w:val="00B82DB0"/>
    <w:rsid w:val="00B83188"/>
    <w:rsid w:val="00B831B4"/>
    <w:rsid w:val="00B832DF"/>
    <w:rsid w:val="00B83301"/>
    <w:rsid w:val="00B834C5"/>
    <w:rsid w:val="00B8376B"/>
    <w:rsid w:val="00B83E50"/>
    <w:rsid w:val="00B83E66"/>
    <w:rsid w:val="00B8433C"/>
    <w:rsid w:val="00B847FB"/>
    <w:rsid w:val="00B84BAC"/>
    <w:rsid w:val="00B84F38"/>
    <w:rsid w:val="00B84F7B"/>
    <w:rsid w:val="00B85350"/>
    <w:rsid w:val="00B8621E"/>
    <w:rsid w:val="00B8671A"/>
    <w:rsid w:val="00B87292"/>
    <w:rsid w:val="00B87491"/>
    <w:rsid w:val="00B8768D"/>
    <w:rsid w:val="00B87FBC"/>
    <w:rsid w:val="00B900F3"/>
    <w:rsid w:val="00B91593"/>
    <w:rsid w:val="00B916AD"/>
    <w:rsid w:val="00B91B2D"/>
    <w:rsid w:val="00B91F6E"/>
    <w:rsid w:val="00B92403"/>
    <w:rsid w:val="00B92468"/>
    <w:rsid w:val="00B929A7"/>
    <w:rsid w:val="00B929D0"/>
    <w:rsid w:val="00B92BB1"/>
    <w:rsid w:val="00B93254"/>
    <w:rsid w:val="00B932BE"/>
    <w:rsid w:val="00B93678"/>
    <w:rsid w:val="00B93717"/>
    <w:rsid w:val="00B941D0"/>
    <w:rsid w:val="00B94702"/>
    <w:rsid w:val="00B9471A"/>
    <w:rsid w:val="00B94C87"/>
    <w:rsid w:val="00B94CB3"/>
    <w:rsid w:val="00B951F3"/>
    <w:rsid w:val="00B95392"/>
    <w:rsid w:val="00B953B9"/>
    <w:rsid w:val="00B953BB"/>
    <w:rsid w:val="00B95495"/>
    <w:rsid w:val="00B955F0"/>
    <w:rsid w:val="00B95948"/>
    <w:rsid w:val="00B960B4"/>
    <w:rsid w:val="00B96256"/>
    <w:rsid w:val="00B962C2"/>
    <w:rsid w:val="00B963E6"/>
    <w:rsid w:val="00B96703"/>
    <w:rsid w:val="00B969D6"/>
    <w:rsid w:val="00B96CCB"/>
    <w:rsid w:val="00B96EDF"/>
    <w:rsid w:val="00B971FB"/>
    <w:rsid w:val="00B972EC"/>
    <w:rsid w:val="00B9735A"/>
    <w:rsid w:val="00B97397"/>
    <w:rsid w:val="00B97945"/>
    <w:rsid w:val="00B97FF4"/>
    <w:rsid w:val="00BA0438"/>
    <w:rsid w:val="00BA084D"/>
    <w:rsid w:val="00BA095C"/>
    <w:rsid w:val="00BA0E1E"/>
    <w:rsid w:val="00BA0F50"/>
    <w:rsid w:val="00BA0F51"/>
    <w:rsid w:val="00BA0FA1"/>
    <w:rsid w:val="00BA1A5E"/>
    <w:rsid w:val="00BA2129"/>
    <w:rsid w:val="00BA29E9"/>
    <w:rsid w:val="00BA3177"/>
    <w:rsid w:val="00BA3A78"/>
    <w:rsid w:val="00BA3F1E"/>
    <w:rsid w:val="00BA4584"/>
    <w:rsid w:val="00BA48C3"/>
    <w:rsid w:val="00BA4E79"/>
    <w:rsid w:val="00BA5036"/>
    <w:rsid w:val="00BA51CE"/>
    <w:rsid w:val="00BA520F"/>
    <w:rsid w:val="00BA5EAF"/>
    <w:rsid w:val="00BA6414"/>
    <w:rsid w:val="00BA668C"/>
    <w:rsid w:val="00BA6982"/>
    <w:rsid w:val="00BA6A42"/>
    <w:rsid w:val="00BA6F4B"/>
    <w:rsid w:val="00BA6F7E"/>
    <w:rsid w:val="00BA7142"/>
    <w:rsid w:val="00BA78BB"/>
    <w:rsid w:val="00BB05DC"/>
    <w:rsid w:val="00BB087A"/>
    <w:rsid w:val="00BB0D5B"/>
    <w:rsid w:val="00BB0D9B"/>
    <w:rsid w:val="00BB0EAC"/>
    <w:rsid w:val="00BB1819"/>
    <w:rsid w:val="00BB1DC0"/>
    <w:rsid w:val="00BB203A"/>
    <w:rsid w:val="00BB237C"/>
    <w:rsid w:val="00BB2A35"/>
    <w:rsid w:val="00BB2D07"/>
    <w:rsid w:val="00BB2DC3"/>
    <w:rsid w:val="00BB2E6A"/>
    <w:rsid w:val="00BB33F6"/>
    <w:rsid w:val="00BB351B"/>
    <w:rsid w:val="00BB3803"/>
    <w:rsid w:val="00BB3808"/>
    <w:rsid w:val="00BB41A3"/>
    <w:rsid w:val="00BB42D8"/>
    <w:rsid w:val="00BB445A"/>
    <w:rsid w:val="00BB44CC"/>
    <w:rsid w:val="00BB4651"/>
    <w:rsid w:val="00BB4790"/>
    <w:rsid w:val="00BB47A7"/>
    <w:rsid w:val="00BB48FE"/>
    <w:rsid w:val="00BB4966"/>
    <w:rsid w:val="00BB4D42"/>
    <w:rsid w:val="00BB506C"/>
    <w:rsid w:val="00BB5117"/>
    <w:rsid w:val="00BB51C0"/>
    <w:rsid w:val="00BB52BB"/>
    <w:rsid w:val="00BB584D"/>
    <w:rsid w:val="00BB5D6F"/>
    <w:rsid w:val="00BB5D91"/>
    <w:rsid w:val="00BB6060"/>
    <w:rsid w:val="00BB6B59"/>
    <w:rsid w:val="00BB6B81"/>
    <w:rsid w:val="00BB6CF1"/>
    <w:rsid w:val="00BB707B"/>
    <w:rsid w:val="00BB758C"/>
    <w:rsid w:val="00BB7768"/>
    <w:rsid w:val="00BB7B8F"/>
    <w:rsid w:val="00BC011E"/>
    <w:rsid w:val="00BC06BF"/>
    <w:rsid w:val="00BC1378"/>
    <w:rsid w:val="00BC280C"/>
    <w:rsid w:val="00BC2A96"/>
    <w:rsid w:val="00BC327E"/>
    <w:rsid w:val="00BC32DC"/>
    <w:rsid w:val="00BC35B6"/>
    <w:rsid w:val="00BC3C17"/>
    <w:rsid w:val="00BC3C29"/>
    <w:rsid w:val="00BC3CFA"/>
    <w:rsid w:val="00BC44EE"/>
    <w:rsid w:val="00BC4FCB"/>
    <w:rsid w:val="00BC589E"/>
    <w:rsid w:val="00BC6182"/>
    <w:rsid w:val="00BC6263"/>
    <w:rsid w:val="00BC68BB"/>
    <w:rsid w:val="00BC6C40"/>
    <w:rsid w:val="00BC70CA"/>
    <w:rsid w:val="00BC7132"/>
    <w:rsid w:val="00BC73D2"/>
    <w:rsid w:val="00BC7949"/>
    <w:rsid w:val="00BC7A10"/>
    <w:rsid w:val="00BC7A2A"/>
    <w:rsid w:val="00BC7BC7"/>
    <w:rsid w:val="00BD080C"/>
    <w:rsid w:val="00BD09EA"/>
    <w:rsid w:val="00BD0C01"/>
    <w:rsid w:val="00BD16E8"/>
    <w:rsid w:val="00BD1982"/>
    <w:rsid w:val="00BD1B51"/>
    <w:rsid w:val="00BD206F"/>
    <w:rsid w:val="00BD2975"/>
    <w:rsid w:val="00BD2D36"/>
    <w:rsid w:val="00BD380D"/>
    <w:rsid w:val="00BD3D16"/>
    <w:rsid w:val="00BD452F"/>
    <w:rsid w:val="00BD4596"/>
    <w:rsid w:val="00BD4E36"/>
    <w:rsid w:val="00BD4F61"/>
    <w:rsid w:val="00BD555F"/>
    <w:rsid w:val="00BD5619"/>
    <w:rsid w:val="00BD599B"/>
    <w:rsid w:val="00BD5A28"/>
    <w:rsid w:val="00BD5BAE"/>
    <w:rsid w:val="00BD5F92"/>
    <w:rsid w:val="00BD616A"/>
    <w:rsid w:val="00BD61EA"/>
    <w:rsid w:val="00BD659E"/>
    <w:rsid w:val="00BD6895"/>
    <w:rsid w:val="00BD6D32"/>
    <w:rsid w:val="00BD6F0D"/>
    <w:rsid w:val="00BD7ADE"/>
    <w:rsid w:val="00BD7C34"/>
    <w:rsid w:val="00BE0A72"/>
    <w:rsid w:val="00BE11DA"/>
    <w:rsid w:val="00BE1405"/>
    <w:rsid w:val="00BE1661"/>
    <w:rsid w:val="00BE1D16"/>
    <w:rsid w:val="00BE269B"/>
    <w:rsid w:val="00BE26C6"/>
    <w:rsid w:val="00BE2CE4"/>
    <w:rsid w:val="00BE30C2"/>
    <w:rsid w:val="00BE312D"/>
    <w:rsid w:val="00BE33EA"/>
    <w:rsid w:val="00BE3CE3"/>
    <w:rsid w:val="00BE4260"/>
    <w:rsid w:val="00BE4373"/>
    <w:rsid w:val="00BE46A2"/>
    <w:rsid w:val="00BE512B"/>
    <w:rsid w:val="00BE518C"/>
    <w:rsid w:val="00BE523A"/>
    <w:rsid w:val="00BE5467"/>
    <w:rsid w:val="00BE55B6"/>
    <w:rsid w:val="00BE5941"/>
    <w:rsid w:val="00BE5E1F"/>
    <w:rsid w:val="00BE6807"/>
    <w:rsid w:val="00BE7A73"/>
    <w:rsid w:val="00BF03BA"/>
    <w:rsid w:val="00BF04A1"/>
    <w:rsid w:val="00BF0DB5"/>
    <w:rsid w:val="00BF0FE6"/>
    <w:rsid w:val="00BF1A9E"/>
    <w:rsid w:val="00BF1B91"/>
    <w:rsid w:val="00BF1C20"/>
    <w:rsid w:val="00BF2349"/>
    <w:rsid w:val="00BF2FED"/>
    <w:rsid w:val="00BF36A7"/>
    <w:rsid w:val="00BF3E5C"/>
    <w:rsid w:val="00BF3F84"/>
    <w:rsid w:val="00BF3FDB"/>
    <w:rsid w:val="00BF46F8"/>
    <w:rsid w:val="00BF4C64"/>
    <w:rsid w:val="00BF4E86"/>
    <w:rsid w:val="00BF5110"/>
    <w:rsid w:val="00BF54D1"/>
    <w:rsid w:val="00BF54DA"/>
    <w:rsid w:val="00BF5C84"/>
    <w:rsid w:val="00BF65B1"/>
    <w:rsid w:val="00BF69D8"/>
    <w:rsid w:val="00BF71CA"/>
    <w:rsid w:val="00BF729A"/>
    <w:rsid w:val="00BF773C"/>
    <w:rsid w:val="00C00561"/>
    <w:rsid w:val="00C00778"/>
    <w:rsid w:val="00C007DE"/>
    <w:rsid w:val="00C00DE3"/>
    <w:rsid w:val="00C00F41"/>
    <w:rsid w:val="00C010EB"/>
    <w:rsid w:val="00C0119B"/>
    <w:rsid w:val="00C01303"/>
    <w:rsid w:val="00C01318"/>
    <w:rsid w:val="00C01D54"/>
    <w:rsid w:val="00C0249B"/>
    <w:rsid w:val="00C02954"/>
    <w:rsid w:val="00C02C5F"/>
    <w:rsid w:val="00C03066"/>
    <w:rsid w:val="00C030F9"/>
    <w:rsid w:val="00C03A36"/>
    <w:rsid w:val="00C03A68"/>
    <w:rsid w:val="00C0425D"/>
    <w:rsid w:val="00C0447F"/>
    <w:rsid w:val="00C0497A"/>
    <w:rsid w:val="00C04F21"/>
    <w:rsid w:val="00C04F69"/>
    <w:rsid w:val="00C05183"/>
    <w:rsid w:val="00C05626"/>
    <w:rsid w:val="00C0575C"/>
    <w:rsid w:val="00C059F7"/>
    <w:rsid w:val="00C060D3"/>
    <w:rsid w:val="00C06292"/>
    <w:rsid w:val="00C0665D"/>
    <w:rsid w:val="00C0668F"/>
    <w:rsid w:val="00C06A03"/>
    <w:rsid w:val="00C06A0D"/>
    <w:rsid w:val="00C06A3D"/>
    <w:rsid w:val="00C07176"/>
    <w:rsid w:val="00C07360"/>
    <w:rsid w:val="00C0786F"/>
    <w:rsid w:val="00C100CB"/>
    <w:rsid w:val="00C10578"/>
    <w:rsid w:val="00C10F8A"/>
    <w:rsid w:val="00C11B95"/>
    <w:rsid w:val="00C1209A"/>
    <w:rsid w:val="00C12A63"/>
    <w:rsid w:val="00C12A6F"/>
    <w:rsid w:val="00C12DD6"/>
    <w:rsid w:val="00C12F20"/>
    <w:rsid w:val="00C135BC"/>
    <w:rsid w:val="00C139D3"/>
    <w:rsid w:val="00C13D23"/>
    <w:rsid w:val="00C14852"/>
    <w:rsid w:val="00C14954"/>
    <w:rsid w:val="00C1521A"/>
    <w:rsid w:val="00C15C95"/>
    <w:rsid w:val="00C15CC4"/>
    <w:rsid w:val="00C163BF"/>
    <w:rsid w:val="00C16436"/>
    <w:rsid w:val="00C16EEB"/>
    <w:rsid w:val="00C174B2"/>
    <w:rsid w:val="00C1755D"/>
    <w:rsid w:val="00C17572"/>
    <w:rsid w:val="00C17772"/>
    <w:rsid w:val="00C178A8"/>
    <w:rsid w:val="00C21812"/>
    <w:rsid w:val="00C21A9D"/>
    <w:rsid w:val="00C220F2"/>
    <w:rsid w:val="00C221AC"/>
    <w:rsid w:val="00C2263A"/>
    <w:rsid w:val="00C227A8"/>
    <w:rsid w:val="00C228CF"/>
    <w:rsid w:val="00C22999"/>
    <w:rsid w:val="00C22DB2"/>
    <w:rsid w:val="00C22DC0"/>
    <w:rsid w:val="00C22E22"/>
    <w:rsid w:val="00C23E26"/>
    <w:rsid w:val="00C24009"/>
    <w:rsid w:val="00C24471"/>
    <w:rsid w:val="00C2458B"/>
    <w:rsid w:val="00C24F50"/>
    <w:rsid w:val="00C252C5"/>
    <w:rsid w:val="00C258CD"/>
    <w:rsid w:val="00C2596A"/>
    <w:rsid w:val="00C25A15"/>
    <w:rsid w:val="00C26109"/>
    <w:rsid w:val="00C265D0"/>
    <w:rsid w:val="00C26679"/>
    <w:rsid w:val="00C2685E"/>
    <w:rsid w:val="00C2687E"/>
    <w:rsid w:val="00C2690C"/>
    <w:rsid w:val="00C26D5D"/>
    <w:rsid w:val="00C27111"/>
    <w:rsid w:val="00C2732F"/>
    <w:rsid w:val="00C27537"/>
    <w:rsid w:val="00C27618"/>
    <w:rsid w:val="00C278EF"/>
    <w:rsid w:val="00C30540"/>
    <w:rsid w:val="00C30891"/>
    <w:rsid w:val="00C31605"/>
    <w:rsid w:val="00C3162F"/>
    <w:rsid w:val="00C31702"/>
    <w:rsid w:val="00C317E6"/>
    <w:rsid w:val="00C318DB"/>
    <w:rsid w:val="00C31968"/>
    <w:rsid w:val="00C31AF3"/>
    <w:rsid w:val="00C31E2A"/>
    <w:rsid w:val="00C31F24"/>
    <w:rsid w:val="00C31F3F"/>
    <w:rsid w:val="00C327A5"/>
    <w:rsid w:val="00C328FE"/>
    <w:rsid w:val="00C32B59"/>
    <w:rsid w:val="00C32BC2"/>
    <w:rsid w:val="00C32E81"/>
    <w:rsid w:val="00C32F14"/>
    <w:rsid w:val="00C33507"/>
    <w:rsid w:val="00C336D1"/>
    <w:rsid w:val="00C3375D"/>
    <w:rsid w:val="00C33EC1"/>
    <w:rsid w:val="00C33F5A"/>
    <w:rsid w:val="00C343BA"/>
    <w:rsid w:val="00C3471C"/>
    <w:rsid w:val="00C34ABC"/>
    <w:rsid w:val="00C34C2B"/>
    <w:rsid w:val="00C34E13"/>
    <w:rsid w:val="00C3542A"/>
    <w:rsid w:val="00C35601"/>
    <w:rsid w:val="00C3573B"/>
    <w:rsid w:val="00C357CA"/>
    <w:rsid w:val="00C36246"/>
    <w:rsid w:val="00C36714"/>
    <w:rsid w:val="00C36723"/>
    <w:rsid w:val="00C36774"/>
    <w:rsid w:val="00C36855"/>
    <w:rsid w:val="00C369B0"/>
    <w:rsid w:val="00C37A81"/>
    <w:rsid w:val="00C37F9D"/>
    <w:rsid w:val="00C4036D"/>
    <w:rsid w:val="00C4044D"/>
    <w:rsid w:val="00C405A8"/>
    <w:rsid w:val="00C407DA"/>
    <w:rsid w:val="00C40CD7"/>
    <w:rsid w:val="00C40CF8"/>
    <w:rsid w:val="00C40D29"/>
    <w:rsid w:val="00C41173"/>
    <w:rsid w:val="00C412D4"/>
    <w:rsid w:val="00C41F98"/>
    <w:rsid w:val="00C42D29"/>
    <w:rsid w:val="00C4312B"/>
    <w:rsid w:val="00C43D6A"/>
    <w:rsid w:val="00C44055"/>
    <w:rsid w:val="00C4409D"/>
    <w:rsid w:val="00C44138"/>
    <w:rsid w:val="00C44483"/>
    <w:rsid w:val="00C44876"/>
    <w:rsid w:val="00C449D4"/>
    <w:rsid w:val="00C44B4A"/>
    <w:rsid w:val="00C44BA2"/>
    <w:rsid w:val="00C44C01"/>
    <w:rsid w:val="00C44DF7"/>
    <w:rsid w:val="00C44E72"/>
    <w:rsid w:val="00C45121"/>
    <w:rsid w:val="00C454E8"/>
    <w:rsid w:val="00C45653"/>
    <w:rsid w:val="00C45732"/>
    <w:rsid w:val="00C45A06"/>
    <w:rsid w:val="00C46080"/>
    <w:rsid w:val="00C465F0"/>
    <w:rsid w:val="00C46A2A"/>
    <w:rsid w:val="00C46BF2"/>
    <w:rsid w:val="00C46C2C"/>
    <w:rsid w:val="00C46EA7"/>
    <w:rsid w:val="00C47884"/>
    <w:rsid w:val="00C47A4A"/>
    <w:rsid w:val="00C47E2F"/>
    <w:rsid w:val="00C47E5B"/>
    <w:rsid w:val="00C47F53"/>
    <w:rsid w:val="00C503F9"/>
    <w:rsid w:val="00C50E63"/>
    <w:rsid w:val="00C51C17"/>
    <w:rsid w:val="00C51C91"/>
    <w:rsid w:val="00C51DC4"/>
    <w:rsid w:val="00C52064"/>
    <w:rsid w:val="00C5212A"/>
    <w:rsid w:val="00C52A71"/>
    <w:rsid w:val="00C52BD4"/>
    <w:rsid w:val="00C53763"/>
    <w:rsid w:val="00C53971"/>
    <w:rsid w:val="00C539C2"/>
    <w:rsid w:val="00C5496D"/>
    <w:rsid w:val="00C54BFA"/>
    <w:rsid w:val="00C5503F"/>
    <w:rsid w:val="00C552B0"/>
    <w:rsid w:val="00C55311"/>
    <w:rsid w:val="00C55912"/>
    <w:rsid w:val="00C5591B"/>
    <w:rsid w:val="00C55968"/>
    <w:rsid w:val="00C55E28"/>
    <w:rsid w:val="00C5637C"/>
    <w:rsid w:val="00C56E28"/>
    <w:rsid w:val="00C56FD8"/>
    <w:rsid w:val="00C575E4"/>
    <w:rsid w:val="00C57A6E"/>
    <w:rsid w:val="00C57BA4"/>
    <w:rsid w:val="00C57CF4"/>
    <w:rsid w:val="00C57E7C"/>
    <w:rsid w:val="00C57F43"/>
    <w:rsid w:val="00C607E5"/>
    <w:rsid w:val="00C60875"/>
    <w:rsid w:val="00C608D1"/>
    <w:rsid w:val="00C610C3"/>
    <w:rsid w:val="00C61355"/>
    <w:rsid w:val="00C617D4"/>
    <w:rsid w:val="00C61E4B"/>
    <w:rsid w:val="00C6214F"/>
    <w:rsid w:val="00C62871"/>
    <w:rsid w:val="00C62A0F"/>
    <w:rsid w:val="00C62A90"/>
    <w:rsid w:val="00C62B53"/>
    <w:rsid w:val="00C62C2F"/>
    <w:rsid w:val="00C6326E"/>
    <w:rsid w:val="00C63410"/>
    <w:rsid w:val="00C63426"/>
    <w:rsid w:val="00C63499"/>
    <w:rsid w:val="00C6393C"/>
    <w:rsid w:val="00C639E5"/>
    <w:rsid w:val="00C63B88"/>
    <w:rsid w:val="00C63FC1"/>
    <w:rsid w:val="00C641C7"/>
    <w:rsid w:val="00C648EC"/>
    <w:rsid w:val="00C64A07"/>
    <w:rsid w:val="00C64BFF"/>
    <w:rsid w:val="00C65191"/>
    <w:rsid w:val="00C6530F"/>
    <w:rsid w:val="00C6537E"/>
    <w:rsid w:val="00C65749"/>
    <w:rsid w:val="00C657DC"/>
    <w:rsid w:val="00C65872"/>
    <w:rsid w:val="00C65AA7"/>
    <w:rsid w:val="00C65AD0"/>
    <w:rsid w:val="00C65DA5"/>
    <w:rsid w:val="00C65DF5"/>
    <w:rsid w:val="00C65F49"/>
    <w:rsid w:val="00C6603D"/>
    <w:rsid w:val="00C66873"/>
    <w:rsid w:val="00C66D48"/>
    <w:rsid w:val="00C671F2"/>
    <w:rsid w:val="00C672B7"/>
    <w:rsid w:val="00C678C8"/>
    <w:rsid w:val="00C679A2"/>
    <w:rsid w:val="00C67A67"/>
    <w:rsid w:val="00C67D5E"/>
    <w:rsid w:val="00C703BF"/>
    <w:rsid w:val="00C7046F"/>
    <w:rsid w:val="00C704E9"/>
    <w:rsid w:val="00C70501"/>
    <w:rsid w:val="00C708EB"/>
    <w:rsid w:val="00C709D4"/>
    <w:rsid w:val="00C7126E"/>
    <w:rsid w:val="00C7140D"/>
    <w:rsid w:val="00C7145D"/>
    <w:rsid w:val="00C714B8"/>
    <w:rsid w:val="00C71589"/>
    <w:rsid w:val="00C7177D"/>
    <w:rsid w:val="00C71857"/>
    <w:rsid w:val="00C71CEE"/>
    <w:rsid w:val="00C71D5E"/>
    <w:rsid w:val="00C71E0E"/>
    <w:rsid w:val="00C7255B"/>
    <w:rsid w:val="00C728D2"/>
    <w:rsid w:val="00C74242"/>
    <w:rsid w:val="00C74348"/>
    <w:rsid w:val="00C74401"/>
    <w:rsid w:val="00C74B77"/>
    <w:rsid w:val="00C74CB1"/>
    <w:rsid w:val="00C75165"/>
    <w:rsid w:val="00C751D3"/>
    <w:rsid w:val="00C754C6"/>
    <w:rsid w:val="00C7553F"/>
    <w:rsid w:val="00C759A2"/>
    <w:rsid w:val="00C75EF4"/>
    <w:rsid w:val="00C76249"/>
    <w:rsid w:val="00C763C9"/>
    <w:rsid w:val="00C763D2"/>
    <w:rsid w:val="00C76623"/>
    <w:rsid w:val="00C76BF9"/>
    <w:rsid w:val="00C76D11"/>
    <w:rsid w:val="00C76F0F"/>
    <w:rsid w:val="00C77200"/>
    <w:rsid w:val="00C772AC"/>
    <w:rsid w:val="00C77907"/>
    <w:rsid w:val="00C77AD2"/>
    <w:rsid w:val="00C77C41"/>
    <w:rsid w:val="00C77E99"/>
    <w:rsid w:val="00C80057"/>
    <w:rsid w:val="00C800B2"/>
    <w:rsid w:val="00C800EF"/>
    <w:rsid w:val="00C80329"/>
    <w:rsid w:val="00C806CA"/>
    <w:rsid w:val="00C80FE1"/>
    <w:rsid w:val="00C810C6"/>
    <w:rsid w:val="00C816F9"/>
    <w:rsid w:val="00C81738"/>
    <w:rsid w:val="00C819E6"/>
    <w:rsid w:val="00C81CF1"/>
    <w:rsid w:val="00C82232"/>
    <w:rsid w:val="00C82761"/>
    <w:rsid w:val="00C82913"/>
    <w:rsid w:val="00C82AF6"/>
    <w:rsid w:val="00C82C24"/>
    <w:rsid w:val="00C82E8D"/>
    <w:rsid w:val="00C8340B"/>
    <w:rsid w:val="00C83484"/>
    <w:rsid w:val="00C835AE"/>
    <w:rsid w:val="00C83735"/>
    <w:rsid w:val="00C83C78"/>
    <w:rsid w:val="00C84621"/>
    <w:rsid w:val="00C84948"/>
    <w:rsid w:val="00C84B40"/>
    <w:rsid w:val="00C84C9D"/>
    <w:rsid w:val="00C85250"/>
    <w:rsid w:val="00C854BC"/>
    <w:rsid w:val="00C85533"/>
    <w:rsid w:val="00C85704"/>
    <w:rsid w:val="00C85882"/>
    <w:rsid w:val="00C86277"/>
    <w:rsid w:val="00C86522"/>
    <w:rsid w:val="00C866AF"/>
    <w:rsid w:val="00C86769"/>
    <w:rsid w:val="00C8684B"/>
    <w:rsid w:val="00C86D1C"/>
    <w:rsid w:val="00C86E5C"/>
    <w:rsid w:val="00C87095"/>
    <w:rsid w:val="00C872BE"/>
    <w:rsid w:val="00C87722"/>
    <w:rsid w:val="00C8782C"/>
    <w:rsid w:val="00C905B4"/>
    <w:rsid w:val="00C90D2C"/>
    <w:rsid w:val="00C90F79"/>
    <w:rsid w:val="00C9112F"/>
    <w:rsid w:val="00C91136"/>
    <w:rsid w:val="00C911FB"/>
    <w:rsid w:val="00C91510"/>
    <w:rsid w:val="00C915DE"/>
    <w:rsid w:val="00C9187A"/>
    <w:rsid w:val="00C918A2"/>
    <w:rsid w:val="00C91961"/>
    <w:rsid w:val="00C91A00"/>
    <w:rsid w:val="00C91E6F"/>
    <w:rsid w:val="00C920E6"/>
    <w:rsid w:val="00C926F4"/>
    <w:rsid w:val="00C92CD2"/>
    <w:rsid w:val="00C92DDA"/>
    <w:rsid w:val="00C93520"/>
    <w:rsid w:val="00C936BA"/>
    <w:rsid w:val="00C93888"/>
    <w:rsid w:val="00C93CE4"/>
    <w:rsid w:val="00C93DCC"/>
    <w:rsid w:val="00C94055"/>
    <w:rsid w:val="00C94542"/>
    <w:rsid w:val="00C95690"/>
    <w:rsid w:val="00C965E9"/>
    <w:rsid w:val="00C9696F"/>
    <w:rsid w:val="00C972B1"/>
    <w:rsid w:val="00C9735E"/>
    <w:rsid w:val="00C97CEA"/>
    <w:rsid w:val="00C97FCF"/>
    <w:rsid w:val="00CA003F"/>
    <w:rsid w:val="00CA04D5"/>
    <w:rsid w:val="00CA065C"/>
    <w:rsid w:val="00CA08C8"/>
    <w:rsid w:val="00CA0E02"/>
    <w:rsid w:val="00CA1185"/>
    <w:rsid w:val="00CA1557"/>
    <w:rsid w:val="00CA1A03"/>
    <w:rsid w:val="00CA25A8"/>
    <w:rsid w:val="00CA2659"/>
    <w:rsid w:val="00CA2CCE"/>
    <w:rsid w:val="00CA30F5"/>
    <w:rsid w:val="00CA31AE"/>
    <w:rsid w:val="00CA342B"/>
    <w:rsid w:val="00CA3907"/>
    <w:rsid w:val="00CA3B2C"/>
    <w:rsid w:val="00CA3E25"/>
    <w:rsid w:val="00CA4033"/>
    <w:rsid w:val="00CA43F8"/>
    <w:rsid w:val="00CA43FD"/>
    <w:rsid w:val="00CA4B33"/>
    <w:rsid w:val="00CA4D97"/>
    <w:rsid w:val="00CA56B2"/>
    <w:rsid w:val="00CA58ED"/>
    <w:rsid w:val="00CA5B24"/>
    <w:rsid w:val="00CA5E47"/>
    <w:rsid w:val="00CA644B"/>
    <w:rsid w:val="00CA6845"/>
    <w:rsid w:val="00CA6F3F"/>
    <w:rsid w:val="00CA6FF9"/>
    <w:rsid w:val="00CA71B9"/>
    <w:rsid w:val="00CA7465"/>
    <w:rsid w:val="00CA76BF"/>
    <w:rsid w:val="00CA7705"/>
    <w:rsid w:val="00CA7B58"/>
    <w:rsid w:val="00CA7DB7"/>
    <w:rsid w:val="00CA7EB1"/>
    <w:rsid w:val="00CA7EF8"/>
    <w:rsid w:val="00CA7F64"/>
    <w:rsid w:val="00CB0097"/>
    <w:rsid w:val="00CB0228"/>
    <w:rsid w:val="00CB05CC"/>
    <w:rsid w:val="00CB0A1B"/>
    <w:rsid w:val="00CB0A60"/>
    <w:rsid w:val="00CB0F81"/>
    <w:rsid w:val="00CB19DA"/>
    <w:rsid w:val="00CB1D7C"/>
    <w:rsid w:val="00CB1EC4"/>
    <w:rsid w:val="00CB2943"/>
    <w:rsid w:val="00CB2FD2"/>
    <w:rsid w:val="00CB33A3"/>
    <w:rsid w:val="00CB362B"/>
    <w:rsid w:val="00CB3D53"/>
    <w:rsid w:val="00CB3DAF"/>
    <w:rsid w:val="00CB4043"/>
    <w:rsid w:val="00CB445C"/>
    <w:rsid w:val="00CB4B3F"/>
    <w:rsid w:val="00CB5CAD"/>
    <w:rsid w:val="00CB618C"/>
    <w:rsid w:val="00CB6440"/>
    <w:rsid w:val="00CB6454"/>
    <w:rsid w:val="00CB67BC"/>
    <w:rsid w:val="00CB697C"/>
    <w:rsid w:val="00CB69C7"/>
    <w:rsid w:val="00CB703F"/>
    <w:rsid w:val="00CB71C5"/>
    <w:rsid w:val="00CB726C"/>
    <w:rsid w:val="00CB7AE8"/>
    <w:rsid w:val="00CC015E"/>
    <w:rsid w:val="00CC0770"/>
    <w:rsid w:val="00CC07B4"/>
    <w:rsid w:val="00CC07F7"/>
    <w:rsid w:val="00CC0CB7"/>
    <w:rsid w:val="00CC0E00"/>
    <w:rsid w:val="00CC0E02"/>
    <w:rsid w:val="00CC0EC2"/>
    <w:rsid w:val="00CC2E03"/>
    <w:rsid w:val="00CC33AC"/>
    <w:rsid w:val="00CC37E5"/>
    <w:rsid w:val="00CC4155"/>
    <w:rsid w:val="00CC489B"/>
    <w:rsid w:val="00CC49E9"/>
    <w:rsid w:val="00CC4FF1"/>
    <w:rsid w:val="00CC50C4"/>
    <w:rsid w:val="00CC51B7"/>
    <w:rsid w:val="00CC5BF7"/>
    <w:rsid w:val="00CC5F6E"/>
    <w:rsid w:val="00CC5FEB"/>
    <w:rsid w:val="00CC6272"/>
    <w:rsid w:val="00CC64D7"/>
    <w:rsid w:val="00CC65AF"/>
    <w:rsid w:val="00CC68E2"/>
    <w:rsid w:val="00CC7820"/>
    <w:rsid w:val="00CC7A31"/>
    <w:rsid w:val="00CC7C14"/>
    <w:rsid w:val="00CC7D23"/>
    <w:rsid w:val="00CC7D24"/>
    <w:rsid w:val="00CD0D5D"/>
    <w:rsid w:val="00CD1969"/>
    <w:rsid w:val="00CD1FB8"/>
    <w:rsid w:val="00CD217C"/>
    <w:rsid w:val="00CD22CC"/>
    <w:rsid w:val="00CD2BCD"/>
    <w:rsid w:val="00CD2E29"/>
    <w:rsid w:val="00CD360A"/>
    <w:rsid w:val="00CD3879"/>
    <w:rsid w:val="00CD3A4C"/>
    <w:rsid w:val="00CD3DB6"/>
    <w:rsid w:val="00CD4538"/>
    <w:rsid w:val="00CD493E"/>
    <w:rsid w:val="00CD49F4"/>
    <w:rsid w:val="00CD4A21"/>
    <w:rsid w:val="00CD4AF0"/>
    <w:rsid w:val="00CD4B50"/>
    <w:rsid w:val="00CD4CF0"/>
    <w:rsid w:val="00CD538A"/>
    <w:rsid w:val="00CD5483"/>
    <w:rsid w:val="00CD57A2"/>
    <w:rsid w:val="00CD608A"/>
    <w:rsid w:val="00CD62C3"/>
    <w:rsid w:val="00CD6366"/>
    <w:rsid w:val="00CD6412"/>
    <w:rsid w:val="00CD66D3"/>
    <w:rsid w:val="00CD676C"/>
    <w:rsid w:val="00CD693D"/>
    <w:rsid w:val="00CD70B9"/>
    <w:rsid w:val="00CD72C3"/>
    <w:rsid w:val="00CD7AF7"/>
    <w:rsid w:val="00CE01B4"/>
    <w:rsid w:val="00CE093E"/>
    <w:rsid w:val="00CE10E9"/>
    <w:rsid w:val="00CE1399"/>
    <w:rsid w:val="00CE16E0"/>
    <w:rsid w:val="00CE19F7"/>
    <w:rsid w:val="00CE1BCF"/>
    <w:rsid w:val="00CE1F19"/>
    <w:rsid w:val="00CE20B0"/>
    <w:rsid w:val="00CE22B8"/>
    <w:rsid w:val="00CE238E"/>
    <w:rsid w:val="00CE262F"/>
    <w:rsid w:val="00CE27CA"/>
    <w:rsid w:val="00CE2910"/>
    <w:rsid w:val="00CE2922"/>
    <w:rsid w:val="00CE29A7"/>
    <w:rsid w:val="00CE2B20"/>
    <w:rsid w:val="00CE2B99"/>
    <w:rsid w:val="00CE2CC4"/>
    <w:rsid w:val="00CE2D50"/>
    <w:rsid w:val="00CE2E90"/>
    <w:rsid w:val="00CE325A"/>
    <w:rsid w:val="00CE4E6C"/>
    <w:rsid w:val="00CE4EB1"/>
    <w:rsid w:val="00CE50BB"/>
    <w:rsid w:val="00CE50CE"/>
    <w:rsid w:val="00CE51A8"/>
    <w:rsid w:val="00CE5393"/>
    <w:rsid w:val="00CE5414"/>
    <w:rsid w:val="00CE5914"/>
    <w:rsid w:val="00CE5B3D"/>
    <w:rsid w:val="00CE5E00"/>
    <w:rsid w:val="00CE6445"/>
    <w:rsid w:val="00CE6787"/>
    <w:rsid w:val="00CE6C94"/>
    <w:rsid w:val="00CE7284"/>
    <w:rsid w:val="00CE76B2"/>
    <w:rsid w:val="00CE7E82"/>
    <w:rsid w:val="00CE7FD7"/>
    <w:rsid w:val="00CF022B"/>
    <w:rsid w:val="00CF03CB"/>
    <w:rsid w:val="00CF0A5B"/>
    <w:rsid w:val="00CF0B05"/>
    <w:rsid w:val="00CF16E5"/>
    <w:rsid w:val="00CF1721"/>
    <w:rsid w:val="00CF1986"/>
    <w:rsid w:val="00CF19EF"/>
    <w:rsid w:val="00CF1CB3"/>
    <w:rsid w:val="00CF1CF9"/>
    <w:rsid w:val="00CF1EFD"/>
    <w:rsid w:val="00CF20E1"/>
    <w:rsid w:val="00CF23C8"/>
    <w:rsid w:val="00CF24F3"/>
    <w:rsid w:val="00CF24F5"/>
    <w:rsid w:val="00CF258F"/>
    <w:rsid w:val="00CF2BDA"/>
    <w:rsid w:val="00CF2D71"/>
    <w:rsid w:val="00CF2FB9"/>
    <w:rsid w:val="00CF2FE2"/>
    <w:rsid w:val="00CF334D"/>
    <w:rsid w:val="00CF33AE"/>
    <w:rsid w:val="00CF36BE"/>
    <w:rsid w:val="00CF3B6C"/>
    <w:rsid w:val="00CF3C14"/>
    <w:rsid w:val="00CF3CD1"/>
    <w:rsid w:val="00CF3DF4"/>
    <w:rsid w:val="00CF3E3D"/>
    <w:rsid w:val="00CF40F6"/>
    <w:rsid w:val="00CF4D06"/>
    <w:rsid w:val="00CF4D41"/>
    <w:rsid w:val="00CF50E5"/>
    <w:rsid w:val="00CF5128"/>
    <w:rsid w:val="00CF5A52"/>
    <w:rsid w:val="00CF6000"/>
    <w:rsid w:val="00CF619D"/>
    <w:rsid w:val="00CF64F2"/>
    <w:rsid w:val="00CF64FB"/>
    <w:rsid w:val="00CF69FA"/>
    <w:rsid w:val="00CF6B76"/>
    <w:rsid w:val="00CF79C6"/>
    <w:rsid w:val="00CF7DD9"/>
    <w:rsid w:val="00CF7F44"/>
    <w:rsid w:val="00D0016A"/>
    <w:rsid w:val="00D003E1"/>
    <w:rsid w:val="00D003F3"/>
    <w:rsid w:val="00D006CD"/>
    <w:rsid w:val="00D00D58"/>
    <w:rsid w:val="00D0100B"/>
    <w:rsid w:val="00D013B0"/>
    <w:rsid w:val="00D0194E"/>
    <w:rsid w:val="00D01DEF"/>
    <w:rsid w:val="00D0206F"/>
    <w:rsid w:val="00D023E5"/>
    <w:rsid w:val="00D026FB"/>
    <w:rsid w:val="00D030F4"/>
    <w:rsid w:val="00D03329"/>
    <w:rsid w:val="00D035DA"/>
    <w:rsid w:val="00D0364F"/>
    <w:rsid w:val="00D04291"/>
    <w:rsid w:val="00D04E5F"/>
    <w:rsid w:val="00D05842"/>
    <w:rsid w:val="00D05ABA"/>
    <w:rsid w:val="00D05E5E"/>
    <w:rsid w:val="00D05ED5"/>
    <w:rsid w:val="00D06203"/>
    <w:rsid w:val="00D062AA"/>
    <w:rsid w:val="00D06834"/>
    <w:rsid w:val="00D0700B"/>
    <w:rsid w:val="00D102C1"/>
    <w:rsid w:val="00D10AAE"/>
    <w:rsid w:val="00D10AFF"/>
    <w:rsid w:val="00D10F16"/>
    <w:rsid w:val="00D10F97"/>
    <w:rsid w:val="00D1165B"/>
    <w:rsid w:val="00D117CD"/>
    <w:rsid w:val="00D1185A"/>
    <w:rsid w:val="00D11B20"/>
    <w:rsid w:val="00D11B89"/>
    <w:rsid w:val="00D12724"/>
    <w:rsid w:val="00D12ADB"/>
    <w:rsid w:val="00D13114"/>
    <w:rsid w:val="00D1332B"/>
    <w:rsid w:val="00D13BF0"/>
    <w:rsid w:val="00D13C9D"/>
    <w:rsid w:val="00D13CCF"/>
    <w:rsid w:val="00D13CEF"/>
    <w:rsid w:val="00D1429D"/>
    <w:rsid w:val="00D14362"/>
    <w:rsid w:val="00D144FC"/>
    <w:rsid w:val="00D14842"/>
    <w:rsid w:val="00D14915"/>
    <w:rsid w:val="00D14F12"/>
    <w:rsid w:val="00D15710"/>
    <w:rsid w:val="00D15B0F"/>
    <w:rsid w:val="00D15C1C"/>
    <w:rsid w:val="00D1729C"/>
    <w:rsid w:val="00D17735"/>
    <w:rsid w:val="00D179E5"/>
    <w:rsid w:val="00D17B30"/>
    <w:rsid w:val="00D17CBF"/>
    <w:rsid w:val="00D20007"/>
    <w:rsid w:val="00D2004D"/>
    <w:rsid w:val="00D2016F"/>
    <w:rsid w:val="00D2058B"/>
    <w:rsid w:val="00D20966"/>
    <w:rsid w:val="00D20B05"/>
    <w:rsid w:val="00D20CBD"/>
    <w:rsid w:val="00D21107"/>
    <w:rsid w:val="00D21934"/>
    <w:rsid w:val="00D21BDA"/>
    <w:rsid w:val="00D21F7F"/>
    <w:rsid w:val="00D22476"/>
    <w:rsid w:val="00D227B0"/>
    <w:rsid w:val="00D22CCC"/>
    <w:rsid w:val="00D22CE5"/>
    <w:rsid w:val="00D22E28"/>
    <w:rsid w:val="00D235E7"/>
    <w:rsid w:val="00D23C1B"/>
    <w:rsid w:val="00D24538"/>
    <w:rsid w:val="00D24FE4"/>
    <w:rsid w:val="00D2545D"/>
    <w:rsid w:val="00D25AC3"/>
    <w:rsid w:val="00D25B48"/>
    <w:rsid w:val="00D26040"/>
    <w:rsid w:val="00D26DEC"/>
    <w:rsid w:val="00D27356"/>
    <w:rsid w:val="00D27972"/>
    <w:rsid w:val="00D279DA"/>
    <w:rsid w:val="00D27B62"/>
    <w:rsid w:val="00D27C46"/>
    <w:rsid w:val="00D300EA"/>
    <w:rsid w:val="00D303C0"/>
    <w:rsid w:val="00D305F6"/>
    <w:rsid w:val="00D30677"/>
    <w:rsid w:val="00D307BD"/>
    <w:rsid w:val="00D307DC"/>
    <w:rsid w:val="00D308ED"/>
    <w:rsid w:val="00D31071"/>
    <w:rsid w:val="00D3114A"/>
    <w:rsid w:val="00D314E2"/>
    <w:rsid w:val="00D315C2"/>
    <w:rsid w:val="00D318D6"/>
    <w:rsid w:val="00D320F8"/>
    <w:rsid w:val="00D32419"/>
    <w:rsid w:val="00D32576"/>
    <w:rsid w:val="00D32AC3"/>
    <w:rsid w:val="00D32C2D"/>
    <w:rsid w:val="00D3356B"/>
    <w:rsid w:val="00D3374F"/>
    <w:rsid w:val="00D33D89"/>
    <w:rsid w:val="00D33E61"/>
    <w:rsid w:val="00D347D6"/>
    <w:rsid w:val="00D34C70"/>
    <w:rsid w:val="00D34F87"/>
    <w:rsid w:val="00D3504E"/>
    <w:rsid w:val="00D35362"/>
    <w:rsid w:val="00D35666"/>
    <w:rsid w:val="00D357FC"/>
    <w:rsid w:val="00D35868"/>
    <w:rsid w:val="00D359D0"/>
    <w:rsid w:val="00D35A0C"/>
    <w:rsid w:val="00D36506"/>
    <w:rsid w:val="00D367E2"/>
    <w:rsid w:val="00D368D8"/>
    <w:rsid w:val="00D36D86"/>
    <w:rsid w:val="00D36DA9"/>
    <w:rsid w:val="00D36F5C"/>
    <w:rsid w:val="00D37188"/>
    <w:rsid w:val="00D40989"/>
    <w:rsid w:val="00D40A15"/>
    <w:rsid w:val="00D40B32"/>
    <w:rsid w:val="00D4102A"/>
    <w:rsid w:val="00D410E7"/>
    <w:rsid w:val="00D41310"/>
    <w:rsid w:val="00D414D3"/>
    <w:rsid w:val="00D41823"/>
    <w:rsid w:val="00D419BF"/>
    <w:rsid w:val="00D41E0A"/>
    <w:rsid w:val="00D42277"/>
    <w:rsid w:val="00D42505"/>
    <w:rsid w:val="00D428AA"/>
    <w:rsid w:val="00D42DF4"/>
    <w:rsid w:val="00D42F07"/>
    <w:rsid w:val="00D43386"/>
    <w:rsid w:val="00D43463"/>
    <w:rsid w:val="00D43527"/>
    <w:rsid w:val="00D43DCA"/>
    <w:rsid w:val="00D444C5"/>
    <w:rsid w:val="00D44800"/>
    <w:rsid w:val="00D44B47"/>
    <w:rsid w:val="00D44B51"/>
    <w:rsid w:val="00D44C38"/>
    <w:rsid w:val="00D44C64"/>
    <w:rsid w:val="00D44FE5"/>
    <w:rsid w:val="00D45079"/>
    <w:rsid w:val="00D458E6"/>
    <w:rsid w:val="00D45BE3"/>
    <w:rsid w:val="00D45C49"/>
    <w:rsid w:val="00D4613E"/>
    <w:rsid w:val="00D46832"/>
    <w:rsid w:val="00D47F3B"/>
    <w:rsid w:val="00D50224"/>
    <w:rsid w:val="00D5028A"/>
    <w:rsid w:val="00D509A3"/>
    <w:rsid w:val="00D50A34"/>
    <w:rsid w:val="00D50C37"/>
    <w:rsid w:val="00D50DBC"/>
    <w:rsid w:val="00D514E5"/>
    <w:rsid w:val="00D515A7"/>
    <w:rsid w:val="00D51844"/>
    <w:rsid w:val="00D51888"/>
    <w:rsid w:val="00D51A9D"/>
    <w:rsid w:val="00D51CE6"/>
    <w:rsid w:val="00D52015"/>
    <w:rsid w:val="00D52443"/>
    <w:rsid w:val="00D52977"/>
    <w:rsid w:val="00D52980"/>
    <w:rsid w:val="00D52DCC"/>
    <w:rsid w:val="00D52E11"/>
    <w:rsid w:val="00D53EFA"/>
    <w:rsid w:val="00D54464"/>
    <w:rsid w:val="00D54771"/>
    <w:rsid w:val="00D55041"/>
    <w:rsid w:val="00D552ED"/>
    <w:rsid w:val="00D55439"/>
    <w:rsid w:val="00D5559C"/>
    <w:rsid w:val="00D5610B"/>
    <w:rsid w:val="00D561CE"/>
    <w:rsid w:val="00D564FD"/>
    <w:rsid w:val="00D56755"/>
    <w:rsid w:val="00D56E5F"/>
    <w:rsid w:val="00D5724F"/>
    <w:rsid w:val="00D57647"/>
    <w:rsid w:val="00D57705"/>
    <w:rsid w:val="00D57924"/>
    <w:rsid w:val="00D579DB"/>
    <w:rsid w:val="00D57C09"/>
    <w:rsid w:val="00D57E23"/>
    <w:rsid w:val="00D60170"/>
    <w:rsid w:val="00D6036F"/>
    <w:rsid w:val="00D60B9D"/>
    <w:rsid w:val="00D60D19"/>
    <w:rsid w:val="00D60F80"/>
    <w:rsid w:val="00D61121"/>
    <w:rsid w:val="00D61155"/>
    <w:rsid w:val="00D61309"/>
    <w:rsid w:val="00D6149F"/>
    <w:rsid w:val="00D614B4"/>
    <w:rsid w:val="00D61692"/>
    <w:rsid w:val="00D6171E"/>
    <w:rsid w:val="00D61B68"/>
    <w:rsid w:val="00D61B71"/>
    <w:rsid w:val="00D62CBC"/>
    <w:rsid w:val="00D631AE"/>
    <w:rsid w:val="00D634B3"/>
    <w:rsid w:val="00D634DD"/>
    <w:rsid w:val="00D637C7"/>
    <w:rsid w:val="00D64832"/>
    <w:rsid w:val="00D651DC"/>
    <w:rsid w:val="00D65362"/>
    <w:rsid w:val="00D65845"/>
    <w:rsid w:val="00D65BCB"/>
    <w:rsid w:val="00D65D90"/>
    <w:rsid w:val="00D673A6"/>
    <w:rsid w:val="00D6781D"/>
    <w:rsid w:val="00D678D2"/>
    <w:rsid w:val="00D67EFC"/>
    <w:rsid w:val="00D70040"/>
    <w:rsid w:val="00D710F5"/>
    <w:rsid w:val="00D7140C"/>
    <w:rsid w:val="00D714D0"/>
    <w:rsid w:val="00D71986"/>
    <w:rsid w:val="00D71CCD"/>
    <w:rsid w:val="00D71CE8"/>
    <w:rsid w:val="00D72CED"/>
    <w:rsid w:val="00D73056"/>
    <w:rsid w:val="00D7317E"/>
    <w:rsid w:val="00D73204"/>
    <w:rsid w:val="00D73496"/>
    <w:rsid w:val="00D73956"/>
    <w:rsid w:val="00D73D40"/>
    <w:rsid w:val="00D73DE5"/>
    <w:rsid w:val="00D74D78"/>
    <w:rsid w:val="00D754BE"/>
    <w:rsid w:val="00D763BB"/>
    <w:rsid w:val="00D77039"/>
    <w:rsid w:val="00D776F5"/>
    <w:rsid w:val="00D77C74"/>
    <w:rsid w:val="00D77D23"/>
    <w:rsid w:val="00D77E27"/>
    <w:rsid w:val="00D77E67"/>
    <w:rsid w:val="00D8008D"/>
    <w:rsid w:val="00D8011C"/>
    <w:rsid w:val="00D8080A"/>
    <w:rsid w:val="00D809B2"/>
    <w:rsid w:val="00D80AD2"/>
    <w:rsid w:val="00D80D62"/>
    <w:rsid w:val="00D80F76"/>
    <w:rsid w:val="00D8105F"/>
    <w:rsid w:val="00D810D8"/>
    <w:rsid w:val="00D817F6"/>
    <w:rsid w:val="00D81AEA"/>
    <w:rsid w:val="00D8209B"/>
    <w:rsid w:val="00D824F5"/>
    <w:rsid w:val="00D8253B"/>
    <w:rsid w:val="00D8349E"/>
    <w:rsid w:val="00D83512"/>
    <w:rsid w:val="00D836D9"/>
    <w:rsid w:val="00D83DFE"/>
    <w:rsid w:val="00D845FD"/>
    <w:rsid w:val="00D8547D"/>
    <w:rsid w:val="00D85601"/>
    <w:rsid w:val="00D8582F"/>
    <w:rsid w:val="00D859DF"/>
    <w:rsid w:val="00D85C11"/>
    <w:rsid w:val="00D85D99"/>
    <w:rsid w:val="00D85F08"/>
    <w:rsid w:val="00D869F7"/>
    <w:rsid w:val="00D86E47"/>
    <w:rsid w:val="00D870BD"/>
    <w:rsid w:val="00D87392"/>
    <w:rsid w:val="00D87A28"/>
    <w:rsid w:val="00D9021C"/>
    <w:rsid w:val="00D908E8"/>
    <w:rsid w:val="00D90DB9"/>
    <w:rsid w:val="00D91293"/>
    <w:rsid w:val="00D9181B"/>
    <w:rsid w:val="00D92141"/>
    <w:rsid w:val="00D923B3"/>
    <w:rsid w:val="00D929AA"/>
    <w:rsid w:val="00D92F6A"/>
    <w:rsid w:val="00D93176"/>
    <w:rsid w:val="00D936F7"/>
    <w:rsid w:val="00D93E2C"/>
    <w:rsid w:val="00D94588"/>
    <w:rsid w:val="00D947CD"/>
    <w:rsid w:val="00D94A7C"/>
    <w:rsid w:val="00D94B3E"/>
    <w:rsid w:val="00D94FC7"/>
    <w:rsid w:val="00D954B0"/>
    <w:rsid w:val="00D95896"/>
    <w:rsid w:val="00D95B27"/>
    <w:rsid w:val="00D95E09"/>
    <w:rsid w:val="00D9614D"/>
    <w:rsid w:val="00D96192"/>
    <w:rsid w:val="00D961B4"/>
    <w:rsid w:val="00D9681B"/>
    <w:rsid w:val="00D9728F"/>
    <w:rsid w:val="00D9777F"/>
    <w:rsid w:val="00D97CC0"/>
    <w:rsid w:val="00DA0A64"/>
    <w:rsid w:val="00DA13F1"/>
    <w:rsid w:val="00DA14EF"/>
    <w:rsid w:val="00DA1502"/>
    <w:rsid w:val="00DA15D4"/>
    <w:rsid w:val="00DA1D62"/>
    <w:rsid w:val="00DA24E6"/>
    <w:rsid w:val="00DA2D75"/>
    <w:rsid w:val="00DA2F5D"/>
    <w:rsid w:val="00DA3C2B"/>
    <w:rsid w:val="00DA3E9D"/>
    <w:rsid w:val="00DA4070"/>
    <w:rsid w:val="00DA4274"/>
    <w:rsid w:val="00DA4AE8"/>
    <w:rsid w:val="00DA5503"/>
    <w:rsid w:val="00DA594E"/>
    <w:rsid w:val="00DA5CD6"/>
    <w:rsid w:val="00DA5F1D"/>
    <w:rsid w:val="00DA6186"/>
    <w:rsid w:val="00DA656C"/>
    <w:rsid w:val="00DA69C3"/>
    <w:rsid w:val="00DA6C47"/>
    <w:rsid w:val="00DA6F60"/>
    <w:rsid w:val="00DA734E"/>
    <w:rsid w:val="00DA73DF"/>
    <w:rsid w:val="00DA74D7"/>
    <w:rsid w:val="00DA760B"/>
    <w:rsid w:val="00DA7674"/>
    <w:rsid w:val="00DA7875"/>
    <w:rsid w:val="00DA78A7"/>
    <w:rsid w:val="00DA7F9B"/>
    <w:rsid w:val="00DB01A8"/>
    <w:rsid w:val="00DB179D"/>
    <w:rsid w:val="00DB1BA8"/>
    <w:rsid w:val="00DB1CF5"/>
    <w:rsid w:val="00DB1EBF"/>
    <w:rsid w:val="00DB228D"/>
    <w:rsid w:val="00DB2412"/>
    <w:rsid w:val="00DB2422"/>
    <w:rsid w:val="00DB2533"/>
    <w:rsid w:val="00DB2820"/>
    <w:rsid w:val="00DB2983"/>
    <w:rsid w:val="00DB2BBB"/>
    <w:rsid w:val="00DB3424"/>
    <w:rsid w:val="00DB35C6"/>
    <w:rsid w:val="00DB3884"/>
    <w:rsid w:val="00DB38CE"/>
    <w:rsid w:val="00DB405C"/>
    <w:rsid w:val="00DB43AA"/>
    <w:rsid w:val="00DB45F1"/>
    <w:rsid w:val="00DB4C5C"/>
    <w:rsid w:val="00DB5148"/>
    <w:rsid w:val="00DB566A"/>
    <w:rsid w:val="00DB57B2"/>
    <w:rsid w:val="00DB5905"/>
    <w:rsid w:val="00DB5AE4"/>
    <w:rsid w:val="00DB5B9C"/>
    <w:rsid w:val="00DB5BFA"/>
    <w:rsid w:val="00DB5DFF"/>
    <w:rsid w:val="00DB5F8E"/>
    <w:rsid w:val="00DB616A"/>
    <w:rsid w:val="00DB69AC"/>
    <w:rsid w:val="00DB6FDD"/>
    <w:rsid w:val="00DB729A"/>
    <w:rsid w:val="00DB76A3"/>
    <w:rsid w:val="00DB7EEF"/>
    <w:rsid w:val="00DC0955"/>
    <w:rsid w:val="00DC1257"/>
    <w:rsid w:val="00DC130A"/>
    <w:rsid w:val="00DC14CE"/>
    <w:rsid w:val="00DC1B76"/>
    <w:rsid w:val="00DC23D3"/>
    <w:rsid w:val="00DC2B39"/>
    <w:rsid w:val="00DC3420"/>
    <w:rsid w:val="00DC3513"/>
    <w:rsid w:val="00DC381B"/>
    <w:rsid w:val="00DC3968"/>
    <w:rsid w:val="00DC3B1B"/>
    <w:rsid w:val="00DC3DC0"/>
    <w:rsid w:val="00DC446F"/>
    <w:rsid w:val="00DC455A"/>
    <w:rsid w:val="00DC4838"/>
    <w:rsid w:val="00DC494B"/>
    <w:rsid w:val="00DC4B05"/>
    <w:rsid w:val="00DC4F0F"/>
    <w:rsid w:val="00DC5144"/>
    <w:rsid w:val="00DC522B"/>
    <w:rsid w:val="00DC571C"/>
    <w:rsid w:val="00DC57EA"/>
    <w:rsid w:val="00DC5A39"/>
    <w:rsid w:val="00DC5B2B"/>
    <w:rsid w:val="00DC6D3E"/>
    <w:rsid w:val="00DC6DCD"/>
    <w:rsid w:val="00DC7364"/>
    <w:rsid w:val="00DC7B97"/>
    <w:rsid w:val="00DC7CB6"/>
    <w:rsid w:val="00DC7DA2"/>
    <w:rsid w:val="00DD05A7"/>
    <w:rsid w:val="00DD0CB5"/>
    <w:rsid w:val="00DD0D8E"/>
    <w:rsid w:val="00DD0DC9"/>
    <w:rsid w:val="00DD1230"/>
    <w:rsid w:val="00DD1306"/>
    <w:rsid w:val="00DD170F"/>
    <w:rsid w:val="00DD205E"/>
    <w:rsid w:val="00DD21C7"/>
    <w:rsid w:val="00DD22D2"/>
    <w:rsid w:val="00DD24CF"/>
    <w:rsid w:val="00DD25C8"/>
    <w:rsid w:val="00DD274A"/>
    <w:rsid w:val="00DD278D"/>
    <w:rsid w:val="00DD2CE7"/>
    <w:rsid w:val="00DD30AD"/>
    <w:rsid w:val="00DD318D"/>
    <w:rsid w:val="00DD34BA"/>
    <w:rsid w:val="00DD36DF"/>
    <w:rsid w:val="00DD3C13"/>
    <w:rsid w:val="00DD3C4E"/>
    <w:rsid w:val="00DD4394"/>
    <w:rsid w:val="00DD44ED"/>
    <w:rsid w:val="00DD48BD"/>
    <w:rsid w:val="00DD48CD"/>
    <w:rsid w:val="00DD4A60"/>
    <w:rsid w:val="00DD532E"/>
    <w:rsid w:val="00DD53F0"/>
    <w:rsid w:val="00DD5641"/>
    <w:rsid w:val="00DD5A46"/>
    <w:rsid w:val="00DD5F46"/>
    <w:rsid w:val="00DD65ED"/>
    <w:rsid w:val="00DD67AB"/>
    <w:rsid w:val="00DD6928"/>
    <w:rsid w:val="00DD709A"/>
    <w:rsid w:val="00DD79DB"/>
    <w:rsid w:val="00DD7A18"/>
    <w:rsid w:val="00DD7F19"/>
    <w:rsid w:val="00DE068F"/>
    <w:rsid w:val="00DE088C"/>
    <w:rsid w:val="00DE0899"/>
    <w:rsid w:val="00DE0CCA"/>
    <w:rsid w:val="00DE10C4"/>
    <w:rsid w:val="00DE1270"/>
    <w:rsid w:val="00DE1565"/>
    <w:rsid w:val="00DE1764"/>
    <w:rsid w:val="00DE1A4F"/>
    <w:rsid w:val="00DE1BEA"/>
    <w:rsid w:val="00DE1D9D"/>
    <w:rsid w:val="00DE3118"/>
    <w:rsid w:val="00DE39DD"/>
    <w:rsid w:val="00DE3E3B"/>
    <w:rsid w:val="00DE3F73"/>
    <w:rsid w:val="00DE4F7B"/>
    <w:rsid w:val="00DE51A1"/>
    <w:rsid w:val="00DE537F"/>
    <w:rsid w:val="00DE551B"/>
    <w:rsid w:val="00DE5750"/>
    <w:rsid w:val="00DE57F2"/>
    <w:rsid w:val="00DE5877"/>
    <w:rsid w:val="00DE5AA6"/>
    <w:rsid w:val="00DE5B4F"/>
    <w:rsid w:val="00DE5D20"/>
    <w:rsid w:val="00DE7253"/>
    <w:rsid w:val="00DE7648"/>
    <w:rsid w:val="00DE7768"/>
    <w:rsid w:val="00DE7CE7"/>
    <w:rsid w:val="00DF0473"/>
    <w:rsid w:val="00DF0803"/>
    <w:rsid w:val="00DF0ADC"/>
    <w:rsid w:val="00DF0C5E"/>
    <w:rsid w:val="00DF1301"/>
    <w:rsid w:val="00DF198F"/>
    <w:rsid w:val="00DF1CC0"/>
    <w:rsid w:val="00DF287E"/>
    <w:rsid w:val="00DF297F"/>
    <w:rsid w:val="00DF2E12"/>
    <w:rsid w:val="00DF3009"/>
    <w:rsid w:val="00DF30B5"/>
    <w:rsid w:val="00DF3206"/>
    <w:rsid w:val="00DF3779"/>
    <w:rsid w:val="00DF3D75"/>
    <w:rsid w:val="00DF465C"/>
    <w:rsid w:val="00DF47C5"/>
    <w:rsid w:val="00DF4BBD"/>
    <w:rsid w:val="00DF4BCD"/>
    <w:rsid w:val="00DF4BE0"/>
    <w:rsid w:val="00DF4FED"/>
    <w:rsid w:val="00DF514A"/>
    <w:rsid w:val="00DF5170"/>
    <w:rsid w:val="00DF52CD"/>
    <w:rsid w:val="00DF5AA8"/>
    <w:rsid w:val="00DF61D0"/>
    <w:rsid w:val="00DF64F8"/>
    <w:rsid w:val="00DF6690"/>
    <w:rsid w:val="00DF66EB"/>
    <w:rsid w:val="00DF671B"/>
    <w:rsid w:val="00DF6804"/>
    <w:rsid w:val="00DF6951"/>
    <w:rsid w:val="00DF743F"/>
    <w:rsid w:val="00E00000"/>
    <w:rsid w:val="00E0003A"/>
    <w:rsid w:val="00E0016D"/>
    <w:rsid w:val="00E0040F"/>
    <w:rsid w:val="00E009DF"/>
    <w:rsid w:val="00E00F31"/>
    <w:rsid w:val="00E0151A"/>
    <w:rsid w:val="00E01A6C"/>
    <w:rsid w:val="00E02329"/>
    <w:rsid w:val="00E023E0"/>
    <w:rsid w:val="00E023F3"/>
    <w:rsid w:val="00E0283D"/>
    <w:rsid w:val="00E029C4"/>
    <w:rsid w:val="00E02B13"/>
    <w:rsid w:val="00E03589"/>
    <w:rsid w:val="00E0358D"/>
    <w:rsid w:val="00E036DF"/>
    <w:rsid w:val="00E03BD9"/>
    <w:rsid w:val="00E04323"/>
    <w:rsid w:val="00E043B6"/>
    <w:rsid w:val="00E04573"/>
    <w:rsid w:val="00E046C4"/>
    <w:rsid w:val="00E047BB"/>
    <w:rsid w:val="00E04B98"/>
    <w:rsid w:val="00E04C83"/>
    <w:rsid w:val="00E0515B"/>
    <w:rsid w:val="00E05353"/>
    <w:rsid w:val="00E05411"/>
    <w:rsid w:val="00E05841"/>
    <w:rsid w:val="00E05B64"/>
    <w:rsid w:val="00E05E28"/>
    <w:rsid w:val="00E065CF"/>
    <w:rsid w:val="00E06EF2"/>
    <w:rsid w:val="00E07086"/>
    <w:rsid w:val="00E070A2"/>
    <w:rsid w:val="00E07103"/>
    <w:rsid w:val="00E072E6"/>
    <w:rsid w:val="00E07B9F"/>
    <w:rsid w:val="00E10084"/>
    <w:rsid w:val="00E1029D"/>
    <w:rsid w:val="00E102A7"/>
    <w:rsid w:val="00E10329"/>
    <w:rsid w:val="00E10353"/>
    <w:rsid w:val="00E10458"/>
    <w:rsid w:val="00E10CAB"/>
    <w:rsid w:val="00E112CE"/>
    <w:rsid w:val="00E118CE"/>
    <w:rsid w:val="00E11FE0"/>
    <w:rsid w:val="00E12095"/>
    <w:rsid w:val="00E12232"/>
    <w:rsid w:val="00E12394"/>
    <w:rsid w:val="00E12B79"/>
    <w:rsid w:val="00E13860"/>
    <w:rsid w:val="00E13D79"/>
    <w:rsid w:val="00E14759"/>
    <w:rsid w:val="00E147BA"/>
    <w:rsid w:val="00E150D6"/>
    <w:rsid w:val="00E1527E"/>
    <w:rsid w:val="00E154DF"/>
    <w:rsid w:val="00E15515"/>
    <w:rsid w:val="00E155A3"/>
    <w:rsid w:val="00E15BDD"/>
    <w:rsid w:val="00E1623D"/>
    <w:rsid w:val="00E16C83"/>
    <w:rsid w:val="00E208A1"/>
    <w:rsid w:val="00E20E74"/>
    <w:rsid w:val="00E211CB"/>
    <w:rsid w:val="00E2156A"/>
    <w:rsid w:val="00E216A4"/>
    <w:rsid w:val="00E217A4"/>
    <w:rsid w:val="00E21CB1"/>
    <w:rsid w:val="00E227F4"/>
    <w:rsid w:val="00E235F2"/>
    <w:rsid w:val="00E23693"/>
    <w:rsid w:val="00E247CB"/>
    <w:rsid w:val="00E24F18"/>
    <w:rsid w:val="00E25025"/>
    <w:rsid w:val="00E2518A"/>
    <w:rsid w:val="00E26195"/>
    <w:rsid w:val="00E26270"/>
    <w:rsid w:val="00E2656A"/>
    <w:rsid w:val="00E2656C"/>
    <w:rsid w:val="00E2680E"/>
    <w:rsid w:val="00E269F7"/>
    <w:rsid w:val="00E26BD6"/>
    <w:rsid w:val="00E26D52"/>
    <w:rsid w:val="00E27048"/>
    <w:rsid w:val="00E2709D"/>
    <w:rsid w:val="00E270C3"/>
    <w:rsid w:val="00E270D5"/>
    <w:rsid w:val="00E2765C"/>
    <w:rsid w:val="00E27848"/>
    <w:rsid w:val="00E27AA6"/>
    <w:rsid w:val="00E27B0C"/>
    <w:rsid w:val="00E27CFC"/>
    <w:rsid w:val="00E30554"/>
    <w:rsid w:val="00E3063B"/>
    <w:rsid w:val="00E3096D"/>
    <w:rsid w:val="00E31330"/>
    <w:rsid w:val="00E313CF"/>
    <w:rsid w:val="00E31803"/>
    <w:rsid w:val="00E31B2C"/>
    <w:rsid w:val="00E32F8B"/>
    <w:rsid w:val="00E32FE1"/>
    <w:rsid w:val="00E33D42"/>
    <w:rsid w:val="00E345AF"/>
    <w:rsid w:val="00E346A4"/>
    <w:rsid w:val="00E34A23"/>
    <w:rsid w:val="00E34A41"/>
    <w:rsid w:val="00E34E2B"/>
    <w:rsid w:val="00E34E84"/>
    <w:rsid w:val="00E357BD"/>
    <w:rsid w:val="00E35A27"/>
    <w:rsid w:val="00E35B4C"/>
    <w:rsid w:val="00E35BB3"/>
    <w:rsid w:val="00E35D0B"/>
    <w:rsid w:val="00E3696E"/>
    <w:rsid w:val="00E372E5"/>
    <w:rsid w:val="00E3770F"/>
    <w:rsid w:val="00E37782"/>
    <w:rsid w:val="00E3782A"/>
    <w:rsid w:val="00E379E6"/>
    <w:rsid w:val="00E37B03"/>
    <w:rsid w:val="00E40213"/>
    <w:rsid w:val="00E404B5"/>
    <w:rsid w:val="00E40773"/>
    <w:rsid w:val="00E412D0"/>
    <w:rsid w:val="00E417F6"/>
    <w:rsid w:val="00E41CA7"/>
    <w:rsid w:val="00E41E69"/>
    <w:rsid w:val="00E42B01"/>
    <w:rsid w:val="00E42BCE"/>
    <w:rsid w:val="00E42C02"/>
    <w:rsid w:val="00E42CB7"/>
    <w:rsid w:val="00E42D78"/>
    <w:rsid w:val="00E42F82"/>
    <w:rsid w:val="00E43000"/>
    <w:rsid w:val="00E43C16"/>
    <w:rsid w:val="00E43D2F"/>
    <w:rsid w:val="00E43D47"/>
    <w:rsid w:val="00E454D1"/>
    <w:rsid w:val="00E456B2"/>
    <w:rsid w:val="00E45B8D"/>
    <w:rsid w:val="00E45D7A"/>
    <w:rsid w:val="00E462A8"/>
    <w:rsid w:val="00E471DE"/>
    <w:rsid w:val="00E47590"/>
    <w:rsid w:val="00E47A10"/>
    <w:rsid w:val="00E47BFF"/>
    <w:rsid w:val="00E47EAE"/>
    <w:rsid w:val="00E504BA"/>
    <w:rsid w:val="00E50551"/>
    <w:rsid w:val="00E50711"/>
    <w:rsid w:val="00E5092B"/>
    <w:rsid w:val="00E50BB3"/>
    <w:rsid w:val="00E50CC1"/>
    <w:rsid w:val="00E50FCC"/>
    <w:rsid w:val="00E51031"/>
    <w:rsid w:val="00E51624"/>
    <w:rsid w:val="00E516FF"/>
    <w:rsid w:val="00E51808"/>
    <w:rsid w:val="00E51AB1"/>
    <w:rsid w:val="00E523BF"/>
    <w:rsid w:val="00E5258A"/>
    <w:rsid w:val="00E525DE"/>
    <w:rsid w:val="00E5282A"/>
    <w:rsid w:val="00E529B2"/>
    <w:rsid w:val="00E52CC6"/>
    <w:rsid w:val="00E52E2C"/>
    <w:rsid w:val="00E5373A"/>
    <w:rsid w:val="00E53867"/>
    <w:rsid w:val="00E53974"/>
    <w:rsid w:val="00E53BA4"/>
    <w:rsid w:val="00E53F26"/>
    <w:rsid w:val="00E54363"/>
    <w:rsid w:val="00E54B70"/>
    <w:rsid w:val="00E54CA2"/>
    <w:rsid w:val="00E550D7"/>
    <w:rsid w:val="00E55319"/>
    <w:rsid w:val="00E553C2"/>
    <w:rsid w:val="00E555E3"/>
    <w:rsid w:val="00E55742"/>
    <w:rsid w:val="00E55BB7"/>
    <w:rsid w:val="00E55C6B"/>
    <w:rsid w:val="00E55D17"/>
    <w:rsid w:val="00E55DEE"/>
    <w:rsid w:val="00E561CF"/>
    <w:rsid w:val="00E56322"/>
    <w:rsid w:val="00E56517"/>
    <w:rsid w:val="00E56E9D"/>
    <w:rsid w:val="00E571AE"/>
    <w:rsid w:val="00E57863"/>
    <w:rsid w:val="00E579F9"/>
    <w:rsid w:val="00E6004E"/>
    <w:rsid w:val="00E601A3"/>
    <w:rsid w:val="00E601C3"/>
    <w:rsid w:val="00E6047B"/>
    <w:rsid w:val="00E608D0"/>
    <w:rsid w:val="00E60982"/>
    <w:rsid w:val="00E60C3F"/>
    <w:rsid w:val="00E60F01"/>
    <w:rsid w:val="00E61133"/>
    <w:rsid w:val="00E61169"/>
    <w:rsid w:val="00E61487"/>
    <w:rsid w:val="00E61BBC"/>
    <w:rsid w:val="00E61E92"/>
    <w:rsid w:val="00E623BC"/>
    <w:rsid w:val="00E624B7"/>
    <w:rsid w:val="00E6276E"/>
    <w:rsid w:val="00E62968"/>
    <w:rsid w:val="00E62A01"/>
    <w:rsid w:val="00E62C62"/>
    <w:rsid w:val="00E62CA3"/>
    <w:rsid w:val="00E62F83"/>
    <w:rsid w:val="00E638F1"/>
    <w:rsid w:val="00E63984"/>
    <w:rsid w:val="00E63FD8"/>
    <w:rsid w:val="00E64018"/>
    <w:rsid w:val="00E64311"/>
    <w:rsid w:val="00E647E1"/>
    <w:rsid w:val="00E64D4C"/>
    <w:rsid w:val="00E64F98"/>
    <w:rsid w:val="00E65041"/>
    <w:rsid w:val="00E654C1"/>
    <w:rsid w:val="00E65724"/>
    <w:rsid w:val="00E65D97"/>
    <w:rsid w:val="00E65ED6"/>
    <w:rsid w:val="00E6612B"/>
    <w:rsid w:val="00E66171"/>
    <w:rsid w:val="00E66344"/>
    <w:rsid w:val="00E66B2D"/>
    <w:rsid w:val="00E66DB4"/>
    <w:rsid w:val="00E679FB"/>
    <w:rsid w:val="00E67DCA"/>
    <w:rsid w:val="00E70093"/>
    <w:rsid w:val="00E70413"/>
    <w:rsid w:val="00E705B6"/>
    <w:rsid w:val="00E7076B"/>
    <w:rsid w:val="00E7079D"/>
    <w:rsid w:val="00E707EC"/>
    <w:rsid w:val="00E711CF"/>
    <w:rsid w:val="00E711F0"/>
    <w:rsid w:val="00E7179E"/>
    <w:rsid w:val="00E71862"/>
    <w:rsid w:val="00E71EF2"/>
    <w:rsid w:val="00E71FCF"/>
    <w:rsid w:val="00E723C1"/>
    <w:rsid w:val="00E729F0"/>
    <w:rsid w:val="00E72A5A"/>
    <w:rsid w:val="00E72CC6"/>
    <w:rsid w:val="00E72E2A"/>
    <w:rsid w:val="00E731EA"/>
    <w:rsid w:val="00E73354"/>
    <w:rsid w:val="00E73A8F"/>
    <w:rsid w:val="00E748CA"/>
    <w:rsid w:val="00E74A1A"/>
    <w:rsid w:val="00E74FCF"/>
    <w:rsid w:val="00E757CA"/>
    <w:rsid w:val="00E75A50"/>
    <w:rsid w:val="00E765CD"/>
    <w:rsid w:val="00E76A40"/>
    <w:rsid w:val="00E76ABC"/>
    <w:rsid w:val="00E77133"/>
    <w:rsid w:val="00E806BA"/>
    <w:rsid w:val="00E80754"/>
    <w:rsid w:val="00E80ABC"/>
    <w:rsid w:val="00E80ACF"/>
    <w:rsid w:val="00E80B39"/>
    <w:rsid w:val="00E80C31"/>
    <w:rsid w:val="00E81255"/>
    <w:rsid w:val="00E812FA"/>
    <w:rsid w:val="00E813EC"/>
    <w:rsid w:val="00E8198B"/>
    <w:rsid w:val="00E819A6"/>
    <w:rsid w:val="00E8231E"/>
    <w:rsid w:val="00E82345"/>
    <w:rsid w:val="00E82C33"/>
    <w:rsid w:val="00E82EA3"/>
    <w:rsid w:val="00E82F55"/>
    <w:rsid w:val="00E83A55"/>
    <w:rsid w:val="00E83C17"/>
    <w:rsid w:val="00E83E5E"/>
    <w:rsid w:val="00E84078"/>
    <w:rsid w:val="00E84093"/>
    <w:rsid w:val="00E840D9"/>
    <w:rsid w:val="00E85257"/>
    <w:rsid w:val="00E85284"/>
    <w:rsid w:val="00E85316"/>
    <w:rsid w:val="00E85558"/>
    <w:rsid w:val="00E857F7"/>
    <w:rsid w:val="00E85864"/>
    <w:rsid w:val="00E85975"/>
    <w:rsid w:val="00E85C74"/>
    <w:rsid w:val="00E85D3C"/>
    <w:rsid w:val="00E85FBE"/>
    <w:rsid w:val="00E863BC"/>
    <w:rsid w:val="00E86660"/>
    <w:rsid w:val="00E86795"/>
    <w:rsid w:val="00E869DB"/>
    <w:rsid w:val="00E86A65"/>
    <w:rsid w:val="00E87109"/>
    <w:rsid w:val="00E87BFD"/>
    <w:rsid w:val="00E90117"/>
    <w:rsid w:val="00E9035B"/>
    <w:rsid w:val="00E9035C"/>
    <w:rsid w:val="00E9041C"/>
    <w:rsid w:val="00E91966"/>
    <w:rsid w:val="00E91BD5"/>
    <w:rsid w:val="00E9242D"/>
    <w:rsid w:val="00E92925"/>
    <w:rsid w:val="00E93084"/>
    <w:rsid w:val="00E93672"/>
    <w:rsid w:val="00E937C6"/>
    <w:rsid w:val="00E937D2"/>
    <w:rsid w:val="00E93B2F"/>
    <w:rsid w:val="00E94101"/>
    <w:rsid w:val="00E94FDB"/>
    <w:rsid w:val="00E95545"/>
    <w:rsid w:val="00E957D9"/>
    <w:rsid w:val="00E95884"/>
    <w:rsid w:val="00E95BB3"/>
    <w:rsid w:val="00E95D25"/>
    <w:rsid w:val="00E9614B"/>
    <w:rsid w:val="00E96DE6"/>
    <w:rsid w:val="00E96E0D"/>
    <w:rsid w:val="00E96E5F"/>
    <w:rsid w:val="00E97196"/>
    <w:rsid w:val="00E97299"/>
    <w:rsid w:val="00E97517"/>
    <w:rsid w:val="00E97DBB"/>
    <w:rsid w:val="00EA096B"/>
    <w:rsid w:val="00EA112D"/>
    <w:rsid w:val="00EA11AC"/>
    <w:rsid w:val="00EA1207"/>
    <w:rsid w:val="00EA1B18"/>
    <w:rsid w:val="00EA27CA"/>
    <w:rsid w:val="00EA3344"/>
    <w:rsid w:val="00EA363B"/>
    <w:rsid w:val="00EA37F3"/>
    <w:rsid w:val="00EA384B"/>
    <w:rsid w:val="00EA4066"/>
    <w:rsid w:val="00EA44D7"/>
    <w:rsid w:val="00EA4614"/>
    <w:rsid w:val="00EA4C62"/>
    <w:rsid w:val="00EA5303"/>
    <w:rsid w:val="00EA5A44"/>
    <w:rsid w:val="00EA61F0"/>
    <w:rsid w:val="00EA629F"/>
    <w:rsid w:val="00EA6684"/>
    <w:rsid w:val="00EA688A"/>
    <w:rsid w:val="00EA6EC5"/>
    <w:rsid w:val="00EA7346"/>
    <w:rsid w:val="00EA7AE3"/>
    <w:rsid w:val="00EB0081"/>
    <w:rsid w:val="00EB00E3"/>
    <w:rsid w:val="00EB0154"/>
    <w:rsid w:val="00EB0201"/>
    <w:rsid w:val="00EB041C"/>
    <w:rsid w:val="00EB0568"/>
    <w:rsid w:val="00EB05C0"/>
    <w:rsid w:val="00EB0B9F"/>
    <w:rsid w:val="00EB11C9"/>
    <w:rsid w:val="00EB1377"/>
    <w:rsid w:val="00EB1BF1"/>
    <w:rsid w:val="00EB1BFD"/>
    <w:rsid w:val="00EB20C2"/>
    <w:rsid w:val="00EB20F2"/>
    <w:rsid w:val="00EB2101"/>
    <w:rsid w:val="00EB264F"/>
    <w:rsid w:val="00EB2932"/>
    <w:rsid w:val="00EB3DB7"/>
    <w:rsid w:val="00EB4258"/>
    <w:rsid w:val="00EB515A"/>
    <w:rsid w:val="00EB5255"/>
    <w:rsid w:val="00EB52C9"/>
    <w:rsid w:val="00EB5C47"/>
    <w:rsid w:val="00EB5F83"/>
    <w:rsid w:val="00EB64A5"/>
    <w:rsid w:val="00EB6D53"/>
    <w:rsid w:val="00EB7F77"/>
    <w:rsid w:val="00EB7FF8"/>
    <w:rsid w:val="00EC0833"/>
    <w:rsid w:val="00EC0C17"/>
    <w:rsid w:val="00EC16B4"/>
    <w:rsid w:val="00EC1C0F"/>
    <w:rsid w:val="00EC21DE"/>
    <w:rsid w:val="00EC2570"/>
    <w:rsid w:val="00EC281F"/>
    <w:rsid w:val="00EC3733"/>
    <w:rsid w:val="00EC3FD0"/>
    <w:rsid w:val="00EC4053"/>
    <w:rsid w:val="00EC4251"/>
    <w:rsid w:val="00EC4661"/>
    <w:rsid w:val="00EC466D"/>
    <w:rsid w:val="00EC4E17"/>
    <w:rsid w:val="00EC5162"/>
    <w:rsid w:val="00EC5614"/>
    <w:rsid w:val="00EC5653"/>
    <w:rsid w:val="00EC5713"/>
    <w:rsid w:val="00EC59AA"/>
    <w:rsid w:val="00EC5AA3"/>
    <w:rsid w:val="00EC5ABB"/>
    <w:rsid w:val="00EC5FEE"/>
    <w:rsid w:val="00EC64FB"/>
    <w:rsid w:val="00EC6CC9"/>
    <w:rsid w:val="00EC72EE"/>
    <w:rsid w:val="00EC7832"/>
    <w:rsid w:val="00EC7B7B"/>
    <w:rsid w:val="00EC7D35"/>
    <w:rsid w:val="00EC7EBF"/>
    <w:rsid w:val="00EC7FD6"/>
    <w:rsid w:val="00ED0590"/>
    <w:rsid w:val="00ED0639"/>
    <w:rsid w:val="00ED0736"/>
    <w:rsid w:val="00ED116D"/>
    <w:rsid w:val="00ED16D5"/>
    <w:rsid w:val="00ED1B73"/>
    <w:rsid w:val="00ED1F90"/>
    <w:rsid w:val="00ED2040"/>
    <w:rsid w:val="00ED24B9"/>
    <w:rsid w:val="00ED2502"/>
    <w:rsid w:val="00ED2D0E"/>
    <w:rsid w:val="00ED3C90"/>
    <w:rsid w:val="00ED417C"/>
    <w:rsid w:val="00ED5221"/>
    <w:rsid w:val="00ED5711"/>
    <w:rsid w:val="00ED59CC"/>
    <w:rsid w:val="00ED5DB1"/>
    <w:rsid w:val="00ED5E9C"/>
    <w:rsid w:val="00ED63E7"/>
    <w:rsid w:val="00ED7255"/>
    <w:rsid w:val="00ED731D"/>
    <w:rsid w:val="00ED7680"/>
    <w:rsid w:val="00ED7D07"/>
    <w:rsid w:val="00ED7D58"/>
    <w:rsid w:val="00ED7E1F"/>
    <w:rsid w:val="00EE0383"/>
    <w:rsid w:val="00EE2104"/>
    <w:rsid w:val="00EE219B"/>
    <w:rsid w:val="00EE25F1"/>
    <w:rsid w:val="00EE2903"/>
    <w:rsid w:val="00EE3263"/>
    <w:rsid w:val="00EE34AB"/>
    <w:rsid w:val="00EE39DD"/>
    <w:rsid w:val="00EE3BC9"/>
    <w:rsid w:val="00EE3E25"/>
    <w:rsid w:val="00EE3E8E"/>
    <w:rsid w:val="00EE4282"/>
    <w:rsid w:val="00EE439B"/>
    <w:rsid w:val="00EE4A7B"/>
    <w:rsid w:val="00EE510E"/>
    <w:rsid w:val="00EE5117"/>
    <w:rsid w:val="00EE5149"/>
    <w:rsid w:val="00EE531A"/>
    <w:rsid w:val="00EE55C2"/>
    <w:rsid w:val="00EE5E2C"/>
    <w:rsid w:val="00EE6308"/>
    <w:rsid w:val="00EE6A01"/>
    <w:rsid w:val="00EE6BC9"/>
    <w:rsid w:val="00EE6BEB"/>
    <w:rsid w:val="00EE6E31"/>
    <w:rsid w:val="00EE6F66"/>
    <w:rsid w:val="00EE707B"/>
    <w:rsid w:val="00EE744C"/>
    <w:rsid w:val="00EE7B8F"/>
    <w:rsid w:val="00EE7B95"/>
    <w:rsid w:val="00EF15AA"/>
    <w:rsid w:val="00EF1928"/>
    <w:rsid w:val="00EF1C7E"/>
    <w:rsid w:val="00EF2006"/>
    <w:rsid w:val="00EF2187"/>
    <w:rsid w:val="00EF2282"/>
    <w:rsid w:val="00EF2A43"/>
    <w:rsid w:val="00EF2C3D"/>
    <w:rsid w:val="00EF3292"/>
    <w:rsid w:val="00EF3ACB"/>
    <w:rsid w:val="00EF3F17"/>
    <w:rsid w:val="00EF400A"/>
    <w:rsid w:val="00EF4223"/>
    <w:rsid w:val="00EF4521"/>
    <w:rsid w:val="00EF46DE"/>
    <w:rsid w:val="00EF4755"/>
    <w:rsid w:val="00EF4A04"/>
    <w:rsid w:val="00EF4C63"/>
    <w:rsid w:val="00EF5476"/>
    <w:rsid w:val="00EF5E49"/>
    <w:rsid w:val="00EF5F7D"/>
    <w:rsid w:val="00EF6213"/>
    <w:rsid w:val="00EF65E7"/>
    <w:rsid w:val="00EF688B"/>
    <w:rsid w:val="00EF6F0B"/>
    <w:rsid w:val="00EF6F41"/>
    <w:rsid w:val="00EF7135"/>
    <w:rsid w:val="00EF7463"/>
    <w:rsid w:val="00F000C2"/>
    <w:rsid w:val="00F002D7"/>
    <w:rsid w:val="00F0033B"/>
    <w:rsid w:val="00F008F3"/>
    <w:rsid w:val="00F00B39"/>
    <w:rsid w:val="00F011B0"/>
    <w:rsid w:val="00F0163A"/>
    <w:rsid w:val="00F01F26"/>
    <w:rsid w:val="00F02156"/>
    <w:rsid w:val="00F02329"/>
    <w:rsid w:val="00F02735"/>
    <w:rsid w:val="00F027DB"/>
    <w:rsid w:val="00F02A0D"/>
    <w:rsid w:val="00F03109"/>
    <w:rsid w:val="00F03111"/>
    <w:rsid w:val="00F03295"/>
    <w:rsid w:val="00F03378"/>
    <w:rsid w:val="00F03FE1"/>
    <w:rsid w:val="00F04181"/>
    <w:rsid w:val="00F04326"/>
    <w:rsid w:val="00F0481C"/>
    <w:rsid w:val="00F04929"/>
    <w:rsid w:val="00F05120"/>
    <w:rsid w:val="00F052F7"/>
    <w:rsid w:val="00F06009"/>
    <w:rsid w:val="00F06B4E"/>
    <w:rsid w:val="00F06FE3"/>
    <w:rsid w:val="00F074A5"/>
    <w:rsid w:val="00F07AB4"/>
    <w:rsid w:val="00F07D5E"/>
    <w:rsid w:val="00F07E0B"/>
    <w:rsid w:val="00F07E10"/>
    <w:rsid w:val="00F10971"/>
    <w:rsid w:val="00F10F16"/>
    <w:rsid w:val="00F1124C"/>
    <w:rsid w:val="00F115CE"/>
    <w:rsid w:val="00F116DA"/>
    <w:rsid w:val="00F12C99"/>
    <w:rsid w:val="00F12FEF"/>
    <w:rsid w:val="00F13104"/>
    <w:rsid w:val="00F13127"/>
    <w:rsid w:val="00F13349"/>
    <w:rsid w:val="00F134D5"/>
    <w:rsid w:val="00F1382E"/>
    <w:rsid w:val="00F1387E"/>
    <w:rsid w:val="00F13BFE"/>
    <w:rsid w:val="00F13CD3"/>
    <w:rsid w:val="00F141FB"/>
    <w:rsid w:val="00F14349"/>
    <w:rsid w:val="00F1440C"/>
    <w:rsid w:val="00F14958"/>
    <w:rsid w:val="00F14A7A"/>
    <w:rsid w:val="00F151AA"/>
    <w:rsid w:val="00F15BD9"/>
    <w:rsid w:val="00F15C47"/>
    <w:rsid w:val="00F15F8E"/>
    <w:rsid w:val="00F161C9"/>
    <w:rsid w:val="00F16235"/>
    <w:rsid w:val="00F16E68"/>
    <w:rsid w:val="00F17447"/>
    <w:rsid w:val="00F17757"/>
    <w:rsid w:val="00F20A01"/>
    <w:rsid w:val="00F2133E"/>
    <w:rsid w:val="00F21638"/>
    <w:rsid w:val="00F22685"/>
    <w:rsid w:val="00F22985"/>
    <w:rsid w:val="00F22CB0"/>
    <w:rsid w:val="00F22F9D"/>
    <w:rsid w:val="00F2365C"/>
    <w:rsid w:val="00F239C4"/>
    <w:rsid w:val="00F24024"/>
    <w:rsid w:val="00F2454F"/>
    <w:rsid w:val="00F2480A"/>
    <w:rsid w:val="00F2519A"/>
    <w:rsid w:val="00F25B89"/>
    <w:rsid w:val="00F25DF3"/>
    <w:rsid w:val="00F26116"/>
    <w:rsid w:val="00F2670E"/>
    <w:rsid w:val="00F27585"/>
    <w:rsid w:val="00F277C4"/>
    <w:rsid w:val="00F27E0D"/>
    <w:rsid w:val="00F30DED"/>
    <w:rsid w:val="00F31477"/>
    <w:rsid w:val="00F3208F"/>
    <w:rsid w:val="00F321B5"/>
    <w:rsid w:val="00F32305"/>
    <w:rsid w:val="00F3287B"/>
    <w:rsid w:val="00F32EB9"/>
    <w:rsid w:val="00F33312"/>
    <w:rsid w:val="00F33434"/>
    <w:rsid w:val="00F3383E"/>
    <w:rsid w:val="00F3388D"/>
    <w:rsid w:val="00F338F2"/>
    <w:rsid w:val="00F33B74"/>
    <w:rsid w:val="00F33B92"/>
    <w:rsid w:val="00F33BD9"/>
    <w:rsid w:val="00F34025"/>
    <w:rsid w:val="00F3454A"/>
    <w:rsid w:val="00F346A9"/>
    <w:rsid w:val="00F3482E"/>
    <w:rsid w:val="00F349BC"/>
    <w:rsid w:val="00F34C85"/>
    <w:rsid w:val="00F3500F"/>
    <w:rsid w:val="00F35037"/>
    <w:rsid w:val="00F35341"/>
    <w:rsid w:val="00F3538B"/>
    <w:rsid w:val="00F35D34"/>
    <w:rsid w:val="00F35F62"/>
    <w:rsid w:val="00F3632F"/>
    <w:rsid w:val="00F36B70"/>
    <w:rsid w:val="00F36DE9"/>
    <w:rsid w:val="00F37196"/>
    <w:rsid w:val="00F3733C"/>
    <w:rsid w:val="00F3750C"/>
    <w:rsid w:val="00F375F8"/>
    <w:rsid w:val="00F40B17"/>
    <w:rsid w:val="00F4104E"/>
    <w:rsid w:val="00F41602"/>
    <w:rsid w:val="00F41A6A"/>
    <w:rsid w:val="00F41B66"/>
    <w:rsid w:val="00F41CD2"/>
    <w:rsid w:val="00F41F30"/>
    <w:rsid w:val="00F421A7"/>
    <w:rsid w:val="00F423C2"/>
    <w:rsid w:val="00F423CD"/>
    <w:rsid w:val="00F4288C"/>
    <w:rsid w:val="00F4291D"/>
    <w:rsid w:val="00F42A8E"/>
    <w:rsid w:val="00F431D2"/>
    <w:rsid w:val="00F4345C"/>
    <w:rsid w:val="00F4396A"/>
    <w:rsid w:val="00F43A58"/>
    <w:rsid w:val="00F43CBA"/>
    <w:rsid w:val="00F4433B"/>
    <w:rsid w:val="00F4449B"/>
    <w:rsid w:val="00F44729"/>
    <w:rsid w:val="00F44F02"/>
    <w:rsid w:val="00F45281"/>
    <w:rsid w:val="00F45748"/>
    <w:rsid w:val="00F45D7A"/>
    <w:rsid w:val="00F46246"/>
    <w:rsid w:val="00F465A7"/>
    <w:rsid w:val="00F468CF"/>
    <w:rsid w:val="00F46B0B"/>
    <w:rsid w:val="00F472D2"/>
    <w:rsid w:val="00F47357"/>
    <w:rsid w:val="00F47BAF"/>
    <w:rsid w:val="00F47CEF"/>
    <w:rsid w:val="00F5016B"/>
    <w:rsid w:val="00F5069B"/>
    <w:rsid w:val="00F50B75"/>
    <w:rsid w:val="00F50B7C"/>
    <w:rsid w:val="00F51107"/>
    <w:rsid w:val="00F51410"/>
    <w:rsid w:val="00F516D1"/>
    <w:rsid w:val="00F5182F"/>
    <w:rsid w:val="00F52048"/>
    <w:rsid w:val="00F52B87"/>
    <w:rsid w:val="00F52EC4"/>
    <w:rsid w:val="00F531CE"/>
    <w:rsid w:val="00F533B6"/>
    <w:rsid w:val="00F533FE"/>
    <w:rsid w:val="00F5374A"/>
    <w:rsid w:val="00F538D3"/>
    <w:rsid w:val="00F53C0D"/>
    <w:rsid w:val="00F53E88"/>
    <w:rsid w:val="00F53F70"/>
    <w:rsid w:val="00F54029"/>
    <w:rsid w:val="00F54393"/>
    <w:rsid w:val="00F544AB"/>
    <w:rsid w:val="00F54B70"/>
    <w:rsid w:val="00F55076"/>
    <w:rsid w:val="00F550E6"/>
    <w:rsid w:val="00F55A41"/>
    <w:rsid w:val="00F5605B"/>
    <w:rsid w:val="00F563A9"/>
    <w:rsid w:val="00F565B4"/>
    <w:rsid w:val="00F567C6"/>
    <w:rsid w:val="00F56912"/>
    <w:rsid w:val="00F56CE3"/>
    <w:rsid w:val="00F5776D"/>
    <w:rsid w:val="00F579BC"/>
    <w:rsid w:val="00F600B7"/>
    <w:rsid w:val="00F600BB"/>
    <w:rsid w:val="00F60316"/>
    <w:rsid w:val="00F6031C"/>
    <w:rsid w:val="00F6040F"/>
    <w:rsid w:val="00F60752"/>
    <w:rsid w:val="00F61638"/>
    <w:rsid w:val="00F61655"/>
    <w:rsid w:val="00F617DE"/>
    <w:rsid w:val="00F617E2"/>
    <w:rsid w:val="00F618FD"/>
    <w:rsid w:val="00F61E9C"/>
    <w:rsid w:val="00F620F1"/>
    <w:rsid w:val="00F62352"/>
    <w:rsid w:val="00F6249B"/>
    <w:rsid w:val="00F62CFB"/>
    <w:rsid w:val="00F62DB7"/>
    <w:rsid w:val="00F62E08"/>
    <w:rsid w:val="00F63104"/>
    <w:rsid w:val="00F6329C"/>
    <w:rsid w:val="00F633E4"/>
    <w:rsid w:val="00F6341D"/>
    <w:rsid w:val="00F63531"/>
    <w:rsid w:val="00F63F8F"/>
    <w:rsid w:val="00F6452B"/>
    <w:rsid w:val="00F645DF"/>
    <w:rsid w:val="00F6461A"/>
    <w:rsid w:val="00F64F01"/>
    <w:rsid w:val="00F65296"/>
    <w:rsid w:val="00F6546B"/>
    <w:rsid w:val="00F662F5"/>
    <w:rsid w:val="00F66AE6"/>
    <w:rsid w:val="00F66E1C"/>
    <w:rsid w:val="00F67181"/>
    <w:rsid w:val="00F671E4"/>
    <w:rsid w:val="00F67913"/>
    <w:rsid w:val="00F67ABC"/>
    <w:rsid w:val="00F67C01"/>
    <w:rsid w:val="00F67F65"/>
    <w:rsid w:val="00F703D0"/>
    <w:rsid w:val="00F70452"/>
    <w:rsid w:val="00F707C9"/>
    <w:rsid w:val="00F70D96"/>
    <w:rsid w:val="00F710DF"/>
    <w:rsid w:val="00F71505"/>
    <w:rsid w:val="00F71550"/>
    <w:rsid w:val="00F7175E"/>
    <w:rsid w:val="00F71AD5"/>
    <w:rsid w:val="00F71B0C"/>
    <w:rsid w:val="00F720B8"/>
    <w:rsid w:val="00F72C41"/>
    <w:rsid w:val="00F73033"/>
    <w:rsid w:val="00F73320"/>
    <w:rsid w:val="00F73C45"/>
    <w:rsid w:val="00F73CD7"/>
    <w:rsid w:val="00F73CF8"/>
    <w:rsid w:val="00F740DB"/>
    <w:rsid w:val="00F7429D"/>
    <w:rsid w:val="00F74345"/>
    <w:rsid w:val="00F7495F"/>
    <w:rsid w:val="00F7504B"/>
    <w:rsid w:val="00F755C6"/>
    <w:rsid w:val="00F75C68"/>
    <w:rsid w:val="00F75D74"/>
    <w:rsid w:val="00F76456"/>
    <w:rsid w:val="00F764C9"/>
    <w:rsid w:val="00F76760"/>
    <w:rsid w:val="00F76CC1"/>
    <w:rsid w:val="00F76D14"/>
    <w:rsid w:val="00F77046"/>
    <w:rsid w:val="00F770D8"/>
    <w:rsid w:val="00F77205"/>
    <w:rsid w:val="00F773C5"/>
    <w:rsid w:val="00F776D0"/>
    <w:rsid w:val="00F77760"/>
    <w:rsid w:val="00F77C75"/>
    <w:rsid w:val="00F800D9"/>
    <w:rsid w:val="00F8013D"/>
    <w:rsid w:val="00F80A0A"/>
    <w:rsid w:val="00F80C5E"/>
    <w:rsid w:val="00F80C6D"/>
    <w:rsid w:val="00F80F25"/>
    <w:rsid w:val="00F8167D"/>
    <w:rsid w:val="00F81AD6"/>
    <w:rsid w:val="00F8211C"/>
    <w:rsid w:val="00F8213F"/>
    <w:rsid w:val="00F82A43"/>
    <w:rsid w:val="00F82B19"/>
    <w:rsid w:val="00F82F29"/>
    <w:rsid w:val="00F8328B"/>
    <w:rsid w:val="00F83449"/>
    <w:rsid w:val="00F835DB"/>
    <w:rsid w:val="00F83766"/>
    <w:rsid w:val="00F83E63"/>
    <w:rsid w:val="00F84838"/>
    <w:rsid w:val="00F85322"/>
    <w:rsid w:val="00F853A6"/>
    <w:rsid w:val="00F85748"/>
    <w:rsid w:val="00F858C9"/>
    <w:rsid w:val="00F85A1A"/>
    <w:rsid w:val="00F85CE3"/>
    <w:rsid w:val="00F85EBD"/>
    <w:rsid w:val="00F85FA1"/>
    <w:rsid w:val="00F860E8"/>
    <w:rsid w:val="00F860FA"/>
    <w:rsid w:val="00F861A2"/>
    <w:rsid w:val="00F86704"/>
    <w:rsid w:val="00F86707"/>
    <w:rsid w:val="00F86B49"/>
    <w:rsid w:val="00F86C1C"/>
    <w:rsid w:val="00F87668"/>
    <w:rsid w:val="00F877E8"/>
    <w:rsid w:val="00F87CA1"/>
    <w:rsid w:val="00F87F5E"/>
    <w:rsid w:val="00F902B0"/>
    <w:rsid w:val="00F90647"/>
    <w:rsid w:val="00F90922"/>
    <w:rsid w:val="00F90AE6"/>
    <w:rsid w:val="00F9102B"/>
    <w:rsid w:val="00F913CE"/>
    <w:rsid w:val="00F9143E"/>
    <w:rsid w:val="00F917DE"/>
    <w:rsid w:val="00F91D3C"/>
    <w:rsid w:val="00F9212D"/>
    <w:rsid w:val="00F922B8"/>
    <w:rsid w:val="00F924B0"/>
    <w:rsid w:val="00F9289A"/>
    <w:rsid w:val="00F92912"/>
    <w:rsid w:val="00F92F65"/>
    <w:rsid w:val="00F93D0E"/>
    <w:rsid w:val="00F94C67"/>
    <w:rsid w:val="00F94FAB"/>
    <w:rsid w:val="00F9521B"/>
    <w:rsid w:val="00F952C7"/>
    <w:rsid w:val="00F95662"/>
    <w:rsid w:val="00F95A95"/>
    <w:rsid w:val="00F965DA"/>
    <w:rsid w:val="00F9669D"/>
    <w:rsid w:val="00F96834"/>
    <w:rsid w:val="00F96A83"/>
    <w:rsid w:val="00F96F6C"/>
    <w:rsid w:val="00F97205"/>
    <w:rsid w:val="00F97282"/>
    <w:rsid w:val="00F9755E"/>
    <w:rsid w:val="00F977A4"/>
    <w:rsid w:val="00F97ED1"/>
    <w:rsid w:val="00FA012C"/>
    <w:rsid w:val="00FA018E"/>
    <w:rsid w:val="00FA08B7"/>
    <w:rsid w:val="00FA0A25"/>
    <w:rsid w:val="00FA0B97"/>
    <w:rsid w:val="00FA10B9"/>
    <w:rsid w:val="00FA16A0"/>
    <w:rsid w:val="00FA2375"/>
    <w:rsid w:val="00FA23A6"/>
    <w:rsid w:val="00FA23C5"/>
    <w:rsid w:val="00FA2689"/>
    <w:rsid w:val="00FA27A8"/>
    <w:rsid w:val="00FA31ED"/>
    <w:rsid w:val="00FA406A"/>
    <w:rsid w:val="00FA4344"/>
    <w:rsid w:val="00FA48BF"/>
    <w:rsid w:val="00FA4962"/>
    <w:rsid w:val="00FA4971"/>
    <w:rsid w:val="00FA4A69"/>
    <w:rsid w:val="00FA4A82"/>
    <w:rsid w:val="00FA4D30"/>
    <w:rsid w:val="00FA4F63"/>
    <w:rsid w:val="00FA52C7"/>
    <w:rsid w:val="00FA5583"/>
    <w:rsid w:val="00FA5584"/>
    <w:rsid w:val="00FA55C8"/>
    <w:rsid w:val="00FA55E3"/>
    <w:rsid w:val="00FA5903"/>
    <w:rsid w:val="00FA66E5"/>
    <w:rsid w:val="00FA6BD4"/>
    <w:rsid w:val="00FA70DC"/>
    <w:rsid w:val="00FA72B5"/>
    <w:rsid w:val="00FA7352"/>
    <w:rsid w:val="00FA73DE"/>
    <w:rsid w:val="00FA7624"/>
    <w:rsid w:val="00FA7788"/>
    <w:rsid w:val="00FB016B"/>
    <w:rsid w:val="00FB0619"/>
    <w:rsid w:val="00FB06DC"/>
    <w:rsid w:val="00FB0749"/>
    <w:rsid w:val="00FB090A"/>
    <w:rsid w:val="00FB0B45"/>
    <w:rsid w:val="00FB0B9D"/>
    <w:rsid w:val="00FB0B9E"/>
    <w:rsid w:val="00FB0D03"/>
    <w:rsid w:val="00FB0F56"/>
    <w:rsid w:val="00FB1109"/>
    <w:rsid w:val="00FB138B"/>
    <w:rsid w:val="00FB13D3"/>
    <w:rsid w:val="00FB19E0"/>
    <w:rsid w:val="00FB1B31"/>
    <w:rsid w:val="00FB1F15"/>
    <w:rsid w:val="00FB1F9A"/>
    <w:rsid w:val="00FB1FA5"/>
    <w:rsid w:val="00FB247E"/>
    <w:rsid w:val="00FB2606"/>
    <w:rsid w:val="00FB2B5D"/>
    <w:rsid w:val="00FB2E22"/>
    <w:rsid w:val="00FB31A8"/>
    <w:rsid w:val="00FB343F"/>
    <w:rsid w:val="00FB388A"/>
    <w:rsid w:val="00FB424E"/>
    <w:rsid w:val="00FB48EA"/>
    <w:rsid w:val="00FB503A"/>
    <w:rsid w:val="00FB516C"/>
    <w:rsid w:val="00FB5212"/>
    <w:rsid w:val="00FB54C7"/>
    <w:rsid w:val="00FB598B"/>
    <w:rsid w:val="00FB5B52"/>
    <w:rsid w:val="00FB6741"/>
    <w:rsid w:val="00FB68C6"/>
    <w:rsid w:val="00FB6B36"/>
    <w:rsid w:val="00FB6B9E"/>
    <w:rsid w:val="00FB753D"/>
    <w:rsid w:val="00FB76A7"/>
    <w:rsid w:val="00FB77ED"/>
    <w:rsid w:val="00FC061D"/>
    <w:rsid w:val="00FC12AC"/>
    <w:rsid w:val="00FC26B3"/>
    <w:rsid w:val="00FC27CF"/>
    <w:rsid w:val="00FC2A59"/>
    <w:rsid w:val="00FC2AC8"/>
    <w:rsid w:val="00FC2DF5"/>
    <w:rsid w:val="00FC2E8F"/>
    <w:rsid w:val="00FC2EF0"/>
    <w:rsid w:val="00FC2F64"/>
    <w:rsid w:val="00FC3808"/>
    <w:rsid w:val="00FC3D22"/>
    <w:rsid w:val="00FC4721"/>
    <w:rsid w:val="00FC4C79"/>
    <w:rsid w:val="00FC4D7D"/>
    <w:rsid w:val="00FC502E"/>
    <w:rsid w:val="00FC5648"/>
    <w:rsid w:val="00FC5843"/>
    <w:rsid w:val="00FC5967"/>
    <w:rsid w:val="00FC5F9E"/>
    <w:rsid w:val="00FC6502"/>
    <w:rsid w:val="00FC662A"/>
    <w:rsid w:val="00FC6F83"/>
    <w:rsid w:val="00FC71FD"/>
    <w:rsid w:val="00FC7219"/>
    <w:rsid w:val="00FC7A3E"/>
    <w:rsid w:val="00FD0236"/>
    <w:rsid w:val="00FD02E1"/>
    <w:rsid w:val="00FD0711"/>
    <w:rsid w:val="00FD0F30"/>
    <w:rsid w:val="00FD0F57"/>
    <w:rsid w:val="00FD1439"/>
    <w:rsid w:val="00FD1574"/>
    <w:rsid w:val="00FD16D9"/>
    <w:rsid w:val="00FD18F4"/>
    <w:rsid w:val="00FD1FD8"/>
    <w:rsid w:val="00FD2035"/>
    <w:rsid w:val="00FD2211"/>
    <w:rsid w:val="00FD243F"/>
    <w:rsid w:val="00FD2441"/>
    <w:rsid w:val="00FD24B8"/>
    <w:rsid w:val="00FD2B7A"/>
    <w:rsid w:val="00FD2E7D"/>
    <w:rsid w:val="00FD3189"/>
    <w:rsid w:val="00FD377E"/>
    <w:rsid w:val="00FD38A1"/>
    <w:rsid w:val="00FD405F"/>
    <w:rsid w:val="00FD4410"/>
    <w:rsid w:val="00FD52CE"/>
    <w:rsid w:val="00FD54DB"/>
    <w:rsid w:val="00FD595F"/>
    <w:rsid w:val="00FD5EAC"/>
    <w:rsid w:val="00FD619F"/>
    <w:rsid w:val="00FD631C"/>
    <w:rsid w:val="00FD6328"/>
    <w:rsid w:val="00FD6333"/>
    <w:rsid w:val="00FD6343"/>
    <w:rsid w:val="00FD6E76"/>
    <w:rsid w:val="00FD6F9F"/>
    <w:rsid w:val="00FD7567"/>
    <w:rsid w:val="00FD7827"/>
    <w:rsid w:val="00FD7861"/>
    <w:rsid w:val="00FD78E1"/>
    <w:rsid w:val="00FE033F"/>
    <w:rsid w:val="00FE0384"/>
    <w:rsid w:val="00FE03A2"/>
    <w:rsid w:val="00FE064D"/>
    <w:rsid w:val="00FE0E32"/>
    <w:rsid w:val="00FE139F"/>
    <w:rsid w:val="00FE1B1A"/>
    <w:rsid w:val="00FE201F"/>
    <w:rsid w:val="00FE2020"/>
    <w:rsid w:val="00FE230A"/>
    <w:rsid w:val="00FE2399"/>
    <w:rsid w:val="00FE23B5"/>
    <w:rsid w:val="00FE2626"/>
    <w:rsid w:val="00FE2741"/>
    <w:rsid w:val="00FE2F27"/>
    <w:rsid w:val="00FE354D"/>
    <w:rsid w:val="00FE37AE"/>
    <w:rsid w:val="00FE4265"/>
    <w:rsid w:val="00FE43F1"/>
    <w:rsid w:val="00FE4575"/>
    <w:rsid w:val="00FE494A"/>
    <w:rsid w:val="00FE5B54"/>
    <w:rsid w:val="00FE6C02"/>
    <w:rsid w:val="00FE6C78"/>
    <w:rsid w:val="00FE70EC"/>
    <w:rsid w:val="00FE726A"/>
    <w:rsid w:val="00FE7573"/>
    <w:rsid w:val="00FE772B"/>
    <w:rsid w:val="00FE7950"/>
    <w:rsid w:val="00FE7FC6"/>
    <w:rsid w:val="00FF02A0"/>
    <w:rsid w:val="00FF03E0"/>
    <w:rsid w:val="00FF0715"/>
    <w:rsid w:val="00FF0809"/>
    <w:rsid w:val="00FF0EF7"/>
    <w:rsid w:val="00FF112A"/>
    <w:rsid w:val="00FF1800"/>
    <w:rsid w:val="00FF197D"/>
    <w:rsid w:val="00FF26C9"/>
    <w:rsid w:val="00FF2895"/>
    <w:rsid w:val="00FF2BCA"/>
    <w:rsid w:val="00FF3092"/>
    <w:rsid w:val="00FF354C"/>
    <w:rsid w:val="00FF3825"/>
    <w:rsid w:val="00FF4298"/>
    <w:rsid w:val="00FF4687"/>
    <w:rsid w:val="00FF47CB"/>
    <w:rsid w:val="00FF4A37"/>
    <w:rsid w:val="00FF4EAF"/>
    <w:rsid w:val="00FF4FC7"/>
    <w:rsid w:val="00FF510F"/>
    <w:rsid w:val="00FF527A"/>
    <w:rsid w:val="00FF55FF"/>
    <w:rsid w:val="00FF58D1"/>
    <w:rsid w:val="00FF5B20"/>
    <w:rsid w:val="00FF60E5"/>
    <w:rsid w:val="00FF6D05"/>
    <w:rsid w:val="00FF72D3"/>
    <w:rsid w:val="01076498"/>
    <w:rsid w:val="01290F7E"/>
    <w:rsid w:val="01422176"/>
    <w:rsid w:val="015D1E09"/>
    <w:rsid w:val="017A0366"/>
    <w:rsid w:val="019E414F"/>
    <w:rsid w:val="01B6069E"/>
    <w:rsid w:val="01CE0508"/>
    <w:rsid w:val="01D54ECF"/>
    <w:rsid w:val="01D57419"/>
    <w:rsid w:val="01FC0296"/>
    <w:rsid w:val="01FF48DE"/>
    <w:rsid w:val="02697903"/>
    <w:rsid w:val="02A72A9D"/>
    <w:rsid w:val="02B250DA"/>
    <w:rsid w:val="02BF77F6"/>
    <w:rsid w:val="02C40969"/>
    <w:rsid w:val="02D95230"/>
    <w:rsid w:val="02DC2EA3"/>
    <w:rsid w:val="02F96569"/>
    <w:rsid w:val="03422868"/>
    <w:rsid w:val="03582B96"/>
    <w:rsid w:val="03C35E5D"/>
    <w:rsid w:val="03EA7B21"/>
    <w:rsid w:val="04B213C1"/>
    <w:rsid w:val="04C374C4"/>
    <w:rsid w:val="04F40FAB"/>
    <w:rsid w:val="052B2F14"/>
    <w:rsid w:val="055F137A"/>
    <w:rsid w:val="05671A55"/>
    <w:rsid w:val="057D1479"/>
    <w:rsid w:val="05D152B5"/>
    <w:rsid w:val="05DE7F94"/>
    <w:rsid w:val="05EF21A1"/>
    <w:rsid w:val="05F634E7"/>
    <w:rsid w:val="05F83EAE"/>
    <w:rsid w:val="06021CF7"/>
    <w:rsid w:val="063B7246"/>
    <w:rsid w:val="063E7D85"/>
    <w:rsid w:val="067E2606"/>
    <w:rsid w:val="06935222"/>
    <w:rsid w:val="070D4C7B"/>
    <w:rsid w:val="07293586"/>
    <w:rsid w:val="07295285"/>
    <w:rsid w:val="07636392"/>
    <w:rsid w:val="0764271A"/>
    <w:rsid w:val="07770C56"/>
    <w:rsid w:val="077D3DDC"/>
    <w:rsid w:val="07926EDC"/>
    <w:rsid w:val="07A2707C"/>
    <w:rsid w:val="07E541B6"/>
    <w:rsid w:val="08542357"/>
    <w:rsid w:val="086D1880"/>
    <w:rsid w:val="08CC0577"/>
    <w:rsid w:val="090B065C"/>
    <w:rsid w:val="09173EE8"/>
    <w:rsid w:val="09212671"/>
    <w:rsid w:val="092217DD"/>
    <w:rsid w:val="093A7294"/>
    <w:rsid w:val="094615B4"/>
    <w:rsid w:val="09954E0D"/>
    <w:rsid w:val="09EE16D5"/>
    <w:rsid w:val="0A263993"/>
    <w:rsid w:val="0A2D3AC2"/>
    <w:rsid w:val="0A423521"/>
    <w:rsid w:val="0AA755DF"/>
    <w:rsid w:val="0ADB2875"/>
    <w:rsid w:val="0AEE6ECB"/>
    <w:rsid w:val="0AFC119D"/>
    <w:rsid w:val="0B120D44"/>
    <w:rsid w:val="0BA11EB3"/>
    <w:rsid w:val="0BA72079"/>
    <w:rsid w:val="0BD27BF6"/>
    <w:rsid w:val="0C272694"/>
    <w:rsid w:val="0C3B3C7D"/>
    <w:rsid w:val="0C446C92"/>
    <w:rsid w:val="0C71390F"/>
    <w:rsid w:val="0C9E047D"/>
    <w:rsid w:val="0CA300AE"/>
    <w:rsid w:val="0CAB2EAE"/>
    <w:rsid w:val="0CAE0749"/>
    <w:rsid w:val="0CB16402"/>
    <w:rsid w:val="0CE70FB4"/>
    <w:rsid w:val="0D0238E4"/>
    <w:rsid w:val="0D137EAA"/>
    <w:rsid w:val="0D4146D6"/>
    <w:rsid w:val="0D621C7D"/>
    <w:rsid w:val="0D95362E"/>
    <w:rsid w:val="0E1263A5"/>
    <w:rsid w:val="0E252E97"/>
    <w:rsid w:val="0E395A5C"/>
    <w:rsid w:val="0E512CDA"/>
    <w:rsid w:val="0E73034D"/>
    <w:rsid w:val="0EC00B7E"/>
    <w:rsid w:val="0EFF3471"/>
    <w:rsid w:val="0F0A7F03"/>
    <w:rsid w:val="0F13775A"/>
    <w:rsid w:val="0F1B3897"/>
    <w:rsid w:val="0F475533"/>
    <w:rsid w:val="0F5F45FE"/>
    <w:rsid w:val="0F67724C"/>
    <w:rsid w:val="0F9A112B"/>
    <w:rsid w:val="0F9E0A6B"/>
    <w:rsid w:val="10036F74"/>
    <w:rsid w:val="101672D5"/>
    <w:rsid w:val="106D2F64"/>
    <w:rsid w:val="10745A0F"/>
    <w:rsid w:val="1080627D"/>
    <w:rsid w:val="10B63710"/>
    <w:rsid w:val="10B676AE"/>
    <w:rsid w:val="10F10820"/>
    <w:rsid w:val="111C2F7A"/>
    <w:rsid w:val="113D64B6"/>
    <w:rsid w:val="11665CA1"/>
    <w:rsid w:val="11CA00DF"/>
    <w:rsid w:val="11D93F7F"/>
    <w:rsid w:val="120637EF"/>
    <w:rsid w:val="121D6FC5"/>
    <w:rsid w:val="126331BC"/>
    <w:rsid w:val="126D1C32"/>
    <w:rsid w:val="127C6DC5"/>
    <w:rsid w:val="12D27CF0"/>
    <w:rsid w:val="12F0149C"/>
    <w:rsid w:val="13296F82"/>
    <w:rsid w:val="13376859"/>
    <w:rsid w:val="13912AE9"/>
    <w:rsid w:val="13936861"/>
    <w:rsid w:val="13951726"/>
    <w:rsid w:val="13FA0E5D"/>
    <w:rsid w:val="141067B2"/>
    <w:rsid w:val="14396509"/>
    <w:rsid w:val="14767A7A"/>
    <w:rsid w:val="14DD2C3C"/>
    <w:rsid w:val="14F21366"/>
    <w:rsid w:val="152C2008"/>
    <w:rsid w:val="15A22623"/>
    <w:rsid w:val="15C30AD4"/>
    <w:rsid w:val="1605433C"/>
    <w:rsid w:val="16087E1D"/>
    <w:rsid w:val="162B0FD3"/>
    <w:rsid w:val="16483360"/>
    <w:rsid w:val="17701D14"/>
    <w:rsid w:val="17735226"/>
    <w:rsid w:val="1868291B"/>
    <w:rsid w:val="189F624C"/>
    <w:rsid w:val="18BC23B6"/>
    <w:rsid w:val="18D53478"/>
    <w:rsid w:val="19033720"/>
    <w:rsid w:val="191B157B"/>
    <w:rsid w:val="194B2321"/>
    <w:rsid w:val="19687E48"/>
    <w:rsid w:val="19B32B29"/>
    <w:rsid w:val="19CA5938"/>
    <w:rsid w:val="1A0844D3"/>
    <w:rsid w:val="1A106FFC"/>
    <w:rsid w:val="1A1B1D8A"/>
    <w:rsid w:val="1A1C66C0"/>
    <w:rsid w:val="1A2A17B6"/>
    <w:rsid w:val="1A42393B"/>
    <w:rsid w:val="1A50687F"/>
    <w:rsid w:val="1AAB26AB"/>
    <w:rsid w:val="1AAD45DE"/>
    <w:rsid w:val="1ACE017F"/>
    <w:rsid w:val="1B046F80"/>
    <w:rsid w:val="1B0915A1"/>
    <w:rsid w:val="1B0F5795"/>
    <w:rsid w:val="1B106AB4"/>
    <w:rsid w:val="1B3267B5"/>
    <w:rsid w:val="1B40161D"/>
    <w:rsid w:val="1B441859"/>
    <w:rsid w:val="1B607311"/>
    <w:rsid w:val="1B6606B1"/>
    <w:rsid w:val="1B754691"/>
    <w:rsid w:val="1B870C9E"/>
    <w:rsid w:val="1BB43819"/>
    <w:rsid w:val="1BE17777"/>
    <w:rsid w:val="1C471EA8"/>
    <w:rsid w:val="1C5E7925"/>
    <w:rsid w:val="1CBD494F"/>
    <w:rsid w:val="1CDD6688"/>
    <w:rsid w:val="1CFD070F"/>
    <w:rsid w:val="1D28626C"/>
    <w:rsid w:val="1D344C11"/>
    <w:rsid w:val="1D5F6196"/>
    <w:rsid w:val="1D6132A5"/>
    <w:rsid w:val="1D6A4088"/>
    <w:rsid w:val="1D8E56D5"/>
    <w:rsid w:val="1DA21F0F"/>
    <w:rsid w:val="1DB93368"/>
    <w:rsid w:val="1DDE2DCF"/>
    <w:rsid w:val="1DE50EAD"/>
    <w:rsid w:val="1E4337F7"/>
    <w:rsid w:val="1E7A43DA"/>
    <w:rsid w:val="1E7D4396"/>
    <w:rsid w:val="1EB51D82"/>
    <w:rsid w:val="1F057F85"/>
    <w:rsid w:val="1F35321D"/>
    <w:rsid w:val="1FE7539E"/>
    <w:rsid w:val="2011763E"/>
    <w:rsid w:val="203A6ACA"/>
    <w:rsid w:val="203B08A2"/>
    <w:rsid w:val="20671BE0"/>
    <w:rsid w:val="2096173F"/>
    <w:rsid w:val="20963CB8"/>
    <w:rsid w:val="20A81A1B"/>
    <w:rsid w:val="20AE4CDA"/>
    <w:rsid w:val="20B07FB6"/>
    <w:rsid w:val="20B646FB"/>
    <w:rsid w:val="20E44EAB"/>
    <w:rsid w:val="20F01C5A"/>
    <w:rsid w:val="21006EE5"/>
    <w:rsid w:val="210356A5"/>
    <w:rsid w:val="2127757A"/>
    <w:rsid w:val="213B74B1"/>
    <w:rsid w:val="213C72A6"/>
    <w:rsid w:val="215A2310"/>
    <w:rsid w:val="21C31AA4"/>
    <w:rsid w:val="21C67BA7"/>
    <w:rsid w:val="21DE318A"/>
    <w:rsid w:val="21EB5BA8"/>
    <w:rsid w:val="21EF5B80"/>
    <w:rsid w:val="223A5617"/>
    <w:rsid w:val="22477195"/>
    <w:rsid w:val="22576990"/>
    <w:rsid w:val="22B13EF7"/>
    <w:rsid w:val="22DD3655"/>
    <w:rsid w:val="22F47480"/>
    <w:rsid w:val="22F77CE7"/>
    <w:rsid w:val="23121042"/>
    <w:rsid w:val="23176663"/>
    <w:rsid w:val="23463643"/>
    <w:rsid w:val="23566F63"/>
    <w:rsid w:val="23C14D25"/>
    <w:rsid w:val="23DE1C48"/>
    <w:rsid w:val="23E066EE"/>
    <w:rsid w:val="23E65EA9"/>
    <w:rsid w:val="240210CD"/>
    <w:rsid w:val="240F51A5"/>
    <w:rsid w:val="244B0A92"/>
    <w:rsid w:val="2490510D"/>
    <w:rsid w:val="24907C13"/>
    <w:rsid w:val="24BF09F7"/>
    <w:rsid w:val="24EA3BC4"/>
    <w:rsid w:val="252235A1"/>
    <w:rsid w:val="252D53FE"/>
    <w:rsid w:val="25EC2D81"/>
    <w:rsid w:val="26064C71"/>
    <w:rsid w:val="2640043D"/>
    <w:rsid w:val="268661F7"/>
    <w:rsid w:val="26A1386B"/>
    <w:rsid w:val="26A56376"/>
    <w:rsid w:val="26C442FF"/>
    <w:rsid w:val="26E7154D"/>
    <w:rsid w:val="272D3ADF"/>
    <w:rsid w:val="277057A2"/>
    <w:rsid w:val="27C60B5C"/>
    <w:rsid w:val="27DC13F0"/>
    <w:rsid w:val="27E2170E"/>
    <w:rsid w:val="2823385E"/>
    <w:rsid w:val="282633A8"/>
    <w:rsid w:val="28416434"/>
    <w:rsid w:val="286A68F6"/>
    <w:rsid w:val="286B30A4"/>
    <w:rsid w:val="287118B1"/>
    <w:rsid w:val="28B5297E"/>
    <w:rsid w:val="28B83516"/>
    <w:rsid w:val="29026BAA"/>
    <w:rsid w:val="2905628F"/>
    <w:rsid w:val="2916341D"/>
    <w:rsid w:val="291E2B18"/>
    <w:rsid w:val="29206EB8"/>
    <w:rsid w:val="293715E5"/>
    <w:rsid w:val="29437515"/>
    <w:rsid w:val="29595666"/>
    <w:rsid w:val="295F594B"/>
    <w:rsid w:val="29656152"/>
    <w:rsid w:val="29874881"/>
    <w:rsid w:val="29B50E88"/>
    <w:rsid w:val="29E325E0"/>
    <w:rsid w:val="29ED0CA5"/>
    <w:rsid w:val="2A021088"/>
    <w:rsid w:val="2A2432E3"/>
    <w:rsid w:val="2A4144C9"/>
    <w:rsid w:val="2A452503"/>
    <w:rsid w:val="2A924626"/>
    <w:rsid w:val="2AB4113F"/>
    <w:rsid w:val="2ABF304C"/>
    <w:rsid w:val="2B2B7A83"/>
    <w:rsid w:val="2B4E08BD"/>
    <w:rsid w:val="2B9B40AD"/>
    <w:rsid w:val="2BA936A8"/>
    <w:rsid w:val="2C082021"/>
    <w:rsid w:val="2C315A5A"/>
    <w:rsid w:val="2C360041"/>
    <w:rsid w:val="2C4B1C25"/>
    <w:rsid w:val="2C5573EA"/>
    <w:rsid w:val="2C7072E8"/>
    <w:rsid w:val="2C8714FE"/>
    <w:rsid w:val="2CA8035F"/>
    <w:rsid w:val="2D133B1C"/>
    <w:rsid w:val="2D193F61"/>
    <w:rsid w:val="2D5349E9"/>
    <w:rsid w:val="2D9E56F5"/>
    <w:rsid w:val="2E2A5174"/>
    <w:rsid w:val="2E667F96"/>
    <w:rsid w:val="2E8226AB"/>
    <w:rsid w:val="2ED32111"/>
    <w:rsid w:val="2EE37D60"/>
    <w:rsid w:val="2F176141"/>
    <w:rsid w:val="2F4553B6"/>
    <w:rsid w:val="2F6219CF"/>
    <w:rsid w:val="2FD065E6"/>
    <w:rsid w:val="2FD951A4"/>
    <w:rsid w:val="2FD96870"/>
    <w:rsid w:val="30580BC9"/>
    <w:rsid w:val="30641B5F"/>
    <w:rsid w:val="311E2ED7"/>
    <w:rsid w:val="315619EE"/>
    <w:rsid w:val="315C449C"/>
    <w:rsid w:val="318A49A8"/>
    <w:rsid w:val="31A45908"/>
    <w:rsid w:val="31B82709"/>
    <w:rsid w:val="31D05482"/>
    <w:rsid w:val="31DD7371"/>
    <w:rsid w:val="31E367AE"/>
    <w:rsid w:val="32400B34"/>
    <w:rsid w:val="329E6876"/>
    <w:rsid w:val="329F26D5"/>
    <w:rsid w:val="32AB2E01"/>
    <w:rsid w:val="32BE76DA"/>
    <w:rsid w:val="32FD5001"/>
    <w:rsid w:val="330B6FE3"/>
    <w:rsid w:val="3311377D"/>
    <w:rsid w:val="33154B7C"/>
    <w:rsid w:val="333015F2"/>
    <w:rsid w:val="334B6320"/>
    <w:rsid w:val="33745697"/>
    <w:rsid w:val="3377088E"/>
    <w:rsid w:val="33D934D4"/>
    <w:rsid w:val="33D94736"/>
    <w:rsid w:val="33FE2F6A"/>
    <w:rsid w:val="340E07E5"/>
    <w:rsid w:val="340F5638"/>
    <w:rsid w:val="34235BF7"/>
    <w:rsid w:val="344D3E5D"/>
    <w:rsid w:val="346C34B7"/>
    <w:rsid w:val="3485040C"/>
    <w:rsid w:val="350C3926"/>
    <w:rsid w:val="35757B2E"/>
    <w:rsid w:val="358C5FA8"/>
    <w:rsid w:val="35A428FB"/>
    <w:rsid w:val="35C15DF1"/>
    <w:rsid w:val="35C417DF"/>
    <w:rsid w:val="35E41835"/>
    <w:rsid w:val="36074A7F"/>
    <w:rsid w:val="362D7FF8"/>
    <w:rsid w:val="36702098"/>
    <w:rsid w:val="36923549"/>
    <w:rsid w:val="36B75FBF"/>
    <w:rsid w:val="36BD0C45"/>
    <w:rsid w:val="36BF1A3D"/>
    <w:rsid w:val="36D13079"/>
    <w:rsid w:val="36D260DF"/>
    <w:rsid w:val="36D6243D"/>
    <w:rsid w:val="36EE6C08"/>
    <w:rsid w:val="37247E82"/>
    <w:rsid w:val="375B6AE7"/>
    <w:rsid w:val="375C6274"/>
    <w:rsid w:val="379E0445"/>
    <w:rsid w:val="37E00298"/>
    <w:rsid w:val="38114D6B"/>
    <w:rsid w:val="38B302F9"/>
    <w:rsid w:val="38F12CD3"/>
    <w:rsid w:val="38F94775"/>
    <w:rsid w:val="391248F6"/>
    <w:rsid w:val="391B05DB"/>
    <w:rsid w:val="392751D2"/>
    <w:rsid w:val="392971ED"/>
    <w:rsid w:val="39325651"/>
    <w:rsid w:val="396C2FB1"/>
    <w:rsid w:val="3A7E52C6"/>
    <w:rsid w:val="3A872856"/>
    <w:rsid w:val="3A982231"/>
    <w:rsid w:val="3AD941DD"/>
    <w:rsid w:val="3AE06829"/>
    <w:rsid w:val="3B365FB0"/>
    <w:rsid w:val="3B3763D1"/>
    <w:rsid w:val="3B801576"/>
    <w:rsid w:val="3B90502E"/>
    <w:rsid w:val="3BB9017A"/>
    <w:rsid w:val="3C020654"/>
    <w:rsid w:val="3C0A7092"/>
    <w:rsid w:val="3C2F6E1E"/>
    <w:rsid w:val="3C4C422A"/>
    <w:rsid w:val="3C4F64BA"/>
    <w:rsid w:val="3C6C0636"/>
    <w:rsid w:val="3C6D565E"/>
    <w:rsid w:val="3C966AA7"/>
    <w:rsid w:val="3CA174DE"/>
    <w:rsid w:val="3CDA245A"/>
    <w:rsid w:val="3D1E06B7"/>
    <w:rsid w:val="3D5324D3"/>
    <w:rsid w:val="3D5440BC"/>
    <w:rsid w:val="3DAE5B37"/>
    <w:rsid w:val="3DEB2027"/>
    <w:rsid w:val="3E2B4428"/>
    <w:rsid w:val="3E2C7EF0"/>
    <w:rsid w:val="3E757233"/>
    <w:rsid w:val="3EDA0523"/>
    <w:rsid w:val="3EFE13FD"/>
    <w:rsid w:val="3F4F595C"/>
    <w:rsid w:val="3FBD419A"/>
    <w:rsid w:val="3FD44B21"/>
    <w:rsid w:val="402A378B"/>
    <w:rsid w:val="407A6407"/>
    <w:rsid w:val="40BA64A7"/>
    <w:rsid w:val="40E63BC5"/>
    <w:rsid w:val="40FE77D8"/>
    <w:rsid w:val="41314A6F"/>
    <w:rsid w:val="418036D2"/>
    <w:rsid w:val="4200449D"/>
    <w:rsid w:val="423A3BCC"/>
    <w:rsid w:val="424E57D2"/>
    <w:rsid w:val="429540C6"/>
    <w:rsid w:val="42B26C49"/>
    <w:rsid w:val="43397FDC"/>
    <w:rsid w:val="433A6FE6"/>
    <w:rsid w:val="43480868"/>
    <w:rsid w:val="4350713C"/>
    <w:rsid w:val="436653E0"/>
    <w:rsid w:val="43881AF8"/>
    <w:rsid w:val="43C4431A"/>
    <w:rsid w:val="446077EA"/>
    <w:rsid w:val="44B951CC"/>
    <w:rsid w:val="44CD14E0"/>
    <w:rsid w:val="44F20B0B"/>
    <w:rsid w:val="45044D79"/>
    <w:rsid w:val="45296670"/>
    <w:rsid w:val="452E5F4C"/>
    <w:rsid w:val="45612018"/>
    <w:rsid w:val="458946E9"/>
    <w:rsid w:val="45905EAD"/>
    <w:rsid w:val="45A47C0E"/>
    <w:rsid w:val="45AA3413"/>
    <w:rsid w:val="45FC54B6"/>
    <w:rsid w:val="46032497"/>
    <w:rsid w:val="46577FD6"/>
    <w:rsid w:val="465821BA"/>
    <w:rsid w:val="46D955A7"/>
    <w:rsid w:val="46E22739"/>
    <w:rsid w:val="47133957"/>
    <w:rsid w:val="477C493B"/>
    <w:rsid w:val="47A07E0C"/>
    <w:rsid w:val="47AF47EF"/>
    <w:rsid w:val="47DD4206"/>
    <w:rsid w:val="47FC1154"/>
    <w:rsid w:val="48014E13"/>
    <w:rsid w:val="48175C18"/>
    <w:rsid w:val="4870272E"/>
    <w:rsid w:val="48855A71"/>
    <w:rsid w:val="4899297C"/>
    <w:rsid w:val="48DF6D20"/>
    <w:rsid w:val="4979529A"/>
    <w:rsid w:val="498521CD"/>
    <w:rsid w:val="49D576DC"/>
    <w:rsid w:val="49DC7715"/>
    <w:rsid w:val="49E94D7C"/>
    <w:rsid w:val="4A023139"/>
    <w:rsid w:val="4A431740"/>
    <w:rsid w:val="4A7B576F"/>
    <w:rsid w:val="4A840601"/>
    <w:rsid w:val="4AB73CC5"/>
    <w:rsid w:val="4AF561A9"/>
    <w:rsid w:val="4B252B19"/>
    <w:rsid w:val="4B385E15"/>
    <w:rsid w:val="4B83098E"/>
    <w:rsid w:val="4BA50311"/>
    <w:rsid w:val="4BE61556"/>
    <w:rsid w:val="4BE710D5"/>
    <w:rsid w:val="4BFF0BF2"/>
    <w:rsid w:val="4C4874E2"/>
    <w:rsid w:val="4C4A0649"/>
    <w:rsid w:val="4C5534DC"/>
    <w:rsid w:val="4C72630D"/>
    <w:rsid w:val="4C7D6EE1"/>
    <w:rsid w:val="4C7E5ECA"/>
    <w:rsid w:val="4C8348B4"/>
    <w:rsid w:val="4C876AA5"/>
    <w:rsid w:val="4C975D73"/>
    <w:rsid w:val="4CDD5B58"/>
    <w:rsid w:val="4D0553D3"/>
    <w:rsid w:val="4D0E00FB"/>
    <w:rsid w:val="4D176606"/>
    <w:rsid w:val="4D1F68D0"/>
    <w:rsid w:val="4D623B2F"/>
    <w:rsid w:val="4DDE5ABF"/>
    <w:rsid w:val="4DE44FE8"/>
    <w:rsid w:val="4DEC4FB0"/>
    <w:rsid w:val="4DF521E1"/>
    <w:rsid w:val="4DFD2848"/>
    <w:rsid w:val="4E075D8A"/>
    <w:rsid w:val="4E363B7F"/>
    <w:rsid w:val="4E45017D"/>
    <w:rsid w:val="4E7E71EB"/>
    <w:rsid w:val="4E9E604F"/>
    <w:rsid w:val="4EC00FAD"/>
    <w:rsid w:val="4EE759F5"/>
    <w:rsid w:val="4F635353"/>
    <w:rsid w:val="4F8545A9"/>
    <w:rsid w:val="4F9843DC"/>
    <w:rsid w:val="4FA17635"/>
    <w:rsid w:val="4FC62A8C"/>
    <w:rsid w:val="4FE20F0D"/>
    <w:rsid w:val="4FE51552"/>
    <w:rsid w:val="4FF53BCD"/>
    <w:rsid w:val="5032028D"/>
    <w:rsid w:val="50504C4B"/>
    <w:rsid w:val="509C6E7C"/>
    <w:rsid w:val="50F83BA9"/>
    <w:rsid w:val="51081827"/>
    <w:rsid w:val="51095929"/>
    <w:rsid w:val="51257DF2"/>
    <w:rsid w:val="5162104E"/>
    <w:rsid w:val="519A511B"/>
    <w:rsid w:val="51CA6F3A"/>
    <w:rsid w:val="51F4642A"/>
    <w:rsid w:val="51F93483"/>
    <w:rsid w:val="525E35BB"/>
    <w:rsid w:val="52BB2B9E"/>
    <w:rsid w:val="52FC4B82"/>
    <w:rsid w:val="536C2239"/>
    <w:rsid w:val="53773370"/>
    <w:rsid w:val="53A039CC"/>
    <w:rsid w:val="53A1505A"/>
    <w:rsid w:val="54063E08"/>
    <w:rsid w:val="54224ABC"/>
    <w:rsid w:val="543437E8"/>
    <w:rsid w:val="54501629"/>
    <w:rsid w:val="54EE639B"/>
    <w:rsid w:val="54F73313"/>
    <w:rsid w:val="54F80955"/>
    <w:rsid w:val="555170A7"/>
    <w:rsid w:val="556119D6"/>
    <w:rsid w:val="556A6F67"/>
    <w:rsid w:val="5587536D"/>
    <w:rsid w:val="55935C72"/>
    <w:rsid w:val="559B174B"/>
    <w:rsid w:val="55B160F8"/>
    <w:rsid w:val="55BA1450"/>
    <w:rsid w:val="55BC3BA0"/>
    <w:rsid w:val="55CE0CF4"/>
    <w:rsid w:val="55FB0A49"/>
    <w:rsid w:val="56717635"/>
    <w:rsid w:val="5684380C"/>
    <w:rsid w:val="56B22A9C"/>
    <w:rsid w:val="56D937CE"/>
    <w:rsid w:val="56E16569"/>
    <w:rsid w:val="56E46059"/>
    <w:rsid w:val="57075EF7"/>
    <w:rsid w:val="57114E15"/>
    <w:rsid w:val="57340416"/>
    <w:rsid w:val="57592CB3"/>
    <w:rsid w:val="57686C8A"/>
    <w:rsid w:val="576C0528"/>
    <w:rsid w:val="57AE6086"/>
    <w:rsid w:val="57B72A76"/>
    <w:rsid w:val="57C3426C"/>
    <w:rsid w:val="57CA63B1"/>
    <w:rsid w:val="57CE1F93"/>
    <w:rsid w:val="57DF519E"/>
    <w:rsid w:val="57F81DBC"/>
    <w:rsid w:val="583D15A4"/>
    <w:rsid w:val="58615BB3"/>
    <w:rsid w:val="5867772B"/>
    <w:rsid w:val="58753DB9"/>
    <w:rsid w:val="588743D1"/>
    <w:rsid w:val="5887701A"/>
    <w:rsid w:val="58A66192"/>
    <w:rsid w:val="58B33F35"/>
    <w:rsid w:val="590B7252"/>
    <w:rsid w:val="59366E73"/>
    <w:rsid w:val="59376914"/>
    <w:rsid w:val="59C0439F"/>
    <w:rsid w:val="59C52379"/>
    <w:rsid w:val="59FD6812"/>
    <w:rsid w:val="5A0D52C7"/>
    <w:rsid w:val="5A3E04DF"/>
    <w:rsid w:val="5A7B1977"/>
    <w:rsid w:val="5A937587"/>
    <w:rsid w:val="5A963BF2"/>
    <w:rsid w:val="5AAE2C06"/>
    <w:rsid w:val="5ABE2233"/>
    <w:rsid w:val="5B0166A4"/>
    <w:rsid w:val="5B802289"/>
    <w:rsid w:val="5BA46CE2"/>
    <w:rsid w:val="5BC147D0"/>
    <w:rsid w:val="5BDF5D95"/>
    <w:rsid w:val="5BFE7528"/>
    <w:rsid w:val="5C0B1FE3"/>
    <w:rsid w:val="5C653798"/>
    <w:rsid w:val="5C7F0CFE"/>
    <w:rsid w:val="5C9568D2"/>
    <w:rsid w:val="5CD13449"/>
    <w:rsid w:val="5D133170"/>
    <w:rsid w:val="5D635F29"/>
    <w:rsid w:val="5D6C29E3"/>
    <w:rsid w:val="5D6C526B"/>
    <w:rsid w:val="5DA16A52"/>
    <w:rsid w:val="5DB379C1"/>
    <w:rsid w:val="5DBE13B2"/>
    <w:rsid w:val="5DE27796"/>
    <w:rsid w:val="5E2467F1"/>
    <w:rsid w:val="5E3F763B"/>
    <w:rsid w:val="5E543AC4"/>
    <w:rsid w:val="5E81506C"/>
    <w:rsid w:val="5E8C7878"/>
    <w:rsid w:val="5ED82947"/>
    <w:rsid w:val="5ED864A3"/>
    <w:rsid w:val="5F1A2B43"/>
    <w:rsid w:val="5F4572D0"/>
    <w:rsid w:val="5F4914FA"/>
    <w:rsid w:val="5F5F6BC4"/>
    <w:rsid w:val="5FAB4705"/>
    <w:rsid w:val="5FB837BB"/>
    <w:rsid w:val="5FEB0246"/>
    <w:rsid w:val="604B23F6"/>
    <w:rsid w:val="604F3B35"/>
    <w:rsid w:val="608C7802"/>
    <w:rsid w:val="60940F62"/>
    <w:rsid w:val="60B92304"/>
    <w:rsid w:val="60CC405A"/>
    <w:rsid w:val="60E47381"/>
    <w:rsid w:val="619358BA"/>
    <w:rsid w:val="61D6686C"/>
    <w:rsid w:val="61E215D8"/>
    <w:rsid w:val="61FC694D"/>
    <w:rsid w:val="621B3775"/>
    <w:rsid w:val="6220088D"/>
    <w:rsid w:val="623065F6"/>
    <w:rsid w:val="62364782"/>
    <w:rsid w:val="624A1A99"/>
    <w:rsid w:val="62665CD5"/>
    <w:rsid w:val="6282340C"/>
    <w:rsid w:val="62E535D5"/>
    <w:rsid w:val="638117C8"/>
    <w:rsid w:val="6394356A"/>
    <w:rsid w:val="639965BC"/>
    <w:rsid w:val="63C61B2C"/>
    <w:rsid w:val="63CE0F2D"/>
    <w:rsid w:val="63D40BE9"/>
    <w:rsid w:val="6408229C"/>
    <w:rsid w:val="64102431"/>
    <w:rsid w:val="64683DEB"/>
    <w:rsid w:val="649E1D48"/>
    <w:rsid w:val="64A5243A"/>
    <w:rsid w:val="64F531DE"/>
    <w:rsid w:val="65373578"/>
    <w:rsid w:val="65523A59"/>
    <w:rsid w:val="65543EAF"/>
    <w:rsid w:val="65825AAB"/>
    <w:rsid w:val="65E676F8"/>
    <w:rsid w:val="66A40047"/>
    <w:rsid w:val="66A575B3"/>
    <w:rsid w:val="66C20165"/>
    <w:rsid w:val="66CF7411"/>
    <w:rsid w:val="66D32372"/>
    <w:rsid w:val="66E9168B"/>
    <w:rsid w:val="671B5AC7"/>
    <w:rsid w:val="671F124A"/>
    <w:rsid w:val="673F4726"/>
    <w:rsid w:val="67446219"/>
    <w:rsid w:val="677A33C6"/>
    <w:rsid w:val="67B37AAD"/>
    <w:rsid w:val="67B45721"/>
    <w:rsid w:val="67BB41C4"/>
    <w:rsid w:val="681F6961"/>
    <w:rsid w:val="6837022F"/>
    <w:rsid w:val="68477112"/>
    <w:rsid w:val="68610A2F"/>
    <w:rsid w:val="68776D2D"/>
    <w:rsid w:val="68805514"/>
    <w:rsid w:val="68BC4327"/>
    <w:rsid w:val="68BE251D"/>
    <w:rsid w:val="68E121C6"/>
    <w:rsid w:val="68E63EB3"/>
    <w:rsid w:val="69044348"/>
    <w:rsid w:val="69051B7B"/>
    <w:rsid w:val="69114ABF"/>
    <w:rsid w:val="69316E2F"/>
    <w:rsid w:val="69450BD9"/>
    <w:rsid w:val="694E2071"/>
    <w:rsid w:val="69766163"/>
    <w:rsid w:val="697A3B33"/>
    <w:rsid w:val="697B284D"/>
    <w:rsid w:val="69821E2D"/>
    <w:rsid w:val="69965899"/>
    <w:rsid w:val="69D44760"/>
    <w:rsid w:val="6A38073E"/>
    <w:rsid w:val="6A520EC7"/>
    <w:rsid w:val="6A541CDB"/>
    <w:rsid w:val="6A69512B"/>
    <w:rsid w:val="6ACA3BB1"/>
    <w:rsid w:val="6AD37813"/>
    <w:rsid w:val="6AF87E20"/>
    <w:rsid w:val="6B322639"/>
    <w:rsid w:val="6B474E54"/>
    <w:rsid w:val="6B6C4235"/>
    <w:rsid w:val="6B7F7CC9"/>
    <w:rsid w:val="6BAE331E"/>
    <w:rsid w:val="6BDD159D"/>
    <w:rsid w:val="6C515AE7"/>
    <w:rsid w:val="6C636C38"/>
    <w:rsid w:val="6C7D450C"/>
    <w:rsid w:val="6C7D4B2E"/>
    <w:rsid w:val="6CB73B9C"/>
    <w:rsid w:val="6CB92B4E"/>
    <w:rsid w:val="6CB97B51"/>
    <w:rsid w:val="6D013069"/>
    <w:rsid w:val="6D0A25E7"/>
    <w:rsid w:val="6D553922"/>
    <w:rsid w:val="6D6830E8"/>
    <w:rsid w:val="6DB11A40"/>
    <w:rsid w:val="6DB34098"/>
    <w:rsid w:val="6DB545B6"/>
    <w:rsid w:val="6DE02FB4"/>
    <w:rsid w:val="6E1F5F7B"/>
    <w:rsid w:val="6E2C2952"/>
    <w:rsid w:val="6E377095"/>
    <w:rsid w:val="6E514CED"/>
    <w:rsid w:val="6E593408"/>
    <w:rsid w:val="6EB563D5"/>
    <w:rsid w:val="6ECF67F1"/>
    <w:rsid w:val="6ED92677"/>
    <w:rsid w:val="6F1C1A5D"/>
    <w:rsid w:val="6F225983"/>
    <w:rsid w:val="6F305E87"/>
    <w:rsid w:val="6FC70EAB"/>
    <w:rsid w:val="6FDA2E93"/>
    <w:rsid w:val="6FDB24D7"/>
    <w:rsid w:val="6FE75E59"/>
    <w:rsid w:val="6FFC5590"/>
    <w:rsid w:val="70182BA3"/>
    <w:rsid w:val="7055514F"/>
    <w:rsid w:val="70657DB3"/>
    <w:rsid w:val="706D1DD0"/>
    <w:rsid w:val="707D2D6D"/>
    <w:rsid w:val="70856B87"/>
    <w:rsid w:val="70A94468"/>
    <w:rsid w:val="70C2135B"/>
    <w:rsid w:val="70D527EE"/>
    <w:rsid w:val="715B5300"/>
    <w:rsid w:val="71D27F8A"/>
    <w:rsid w:val="723B60D1"/>
    <w:rsid w:val="72553024"/>
    <w:rsid w:val="725A3947"/>
    <w:rsid w:val="727879B6"/>
    <w:rsid w:val="727C3775"/>
    <w:rsid w:val="727D3192"/>
    <w:rsid w:val="72D945E1"/>
    <w:rsid w:val="73122968"/>
    <w:rsid w:val="731F5D5E"/>
    <w:rsid w:val="73296A9B"/>
    <w:rsid w:val="7360065E"/>
    <w:rsid w:val="73814C50"/>
    <w:rsid w:val="73925DF3"/>
    <w:rsid w:val="73C51AD5"/>
    <w:rsid w:val="741E793C"/>
    <w:rsid w:val="745E3944"/>
    <w:rsid w:val="74880559"/>
    <w:rsid w:val="75500990"/>
    <w:rsid w:val="756F1F12"/>
    <w:rsid w:val="75840CDB"/>
    <w:rsid w:val="76065B94"/>
    <w:rsid w:val="7635099D"/>
    <w:rsid w:val="76726D86"/>
    <w:rsid w:val="76786AE3"/>
    <w:rsid w:val="768E357A"/>
    <w:rsid w:val="76C921E0"/>
    <w:rsid w:val="76D90BB3"/>
    <w:rsid w:val="771D6E84"/>
    <w:rsid w:val="773A3D47"/>
    <w:rsid w:val="773C7644"/>
    <w:rsid w:val="77635563"/>
    <w:rsid w:val="77762421"/>
    <w:rsid w:val="778A2FC1"/>
    <w:rsid w:val="77AA1BA9"/>
    <w:rsid w:val="77B15401"/>
    <w:rsid w:val="77B358A8"/>
    <w:rsid w:val="77B56B1F"/>
    <w:rsid w:val="77E3618D"/>
    <w:rsid w:val="77F95D7A"/>
    <w:rsid w:val="780F09F4"/>
    <w:rsid w:val="78344CFD"/>
    <w:rsid w:val="784976AB"/>
    <w:rsid w:val="78A90480"/>
    <w:rsid w:val="78FA4337"/>
    <w:rsid w:val="790A2D04"/>
    <w:rsid w:val="791B2061"/>
    <w:rsid w:val="795A247F"/>
    <w:rsid w:val="799424EC"/>
    <w:rsid w:val="799F7E92"/>
    <w:rsid w:val="79D815F5"/>
    <w:rsid w:val="7A1545F8"/>
    <w:rsid w:val="7A364017"/>
    <w:rsid w:val="7A6B246A"/>
    <w:rsid w:val="7A8265E1"/>
    <w:rsid w:val="7A88301C"/>
    <w:rsid w:val="7AB145C7"/>
    <w:rsid w:val="7ABF6589"/>
    <w:rsid w:val="7AFD784E"/>
    <w:rsid w:val="7B2747CE"/>
    <w:rsid w:val="7B686D42"/>
    <w:rsid w:val="7B6C44DD"/>
    <w:rsid w:val="7B707DC5"/>
    <w:rsid w:val="7B841746"/>
    <w:rsid w:val="7B9259F0"/>
    <w:rsid w:val="7BBF0CBF"/>
    <w:rsid w:val="7BD32074"/>
    <w:rsid w:val="7BF36627"/>
    <w:rsid w:val="7BF46A56"/>
    <w:rsid w:val="7C1728A9"/>
    <w:rsid w:val="7C29438A"/>
    <w:rsid w:val="7C4A3F5C"/>
    <w:rsid w:val="7C6C5AC7"/>
    <w:rsid w:val="7C776EA4"/>
    <w:rsid w:val="7C8C2CA7"/>
    <w:rsid w:val="7CC561EE"/>
    <w:rsid w:val="7CC6544B"/>
    <w:rsid w:val="7CE209E7"/>
    <w:rsid w:val="7D0239FF"/>
    <w:rsid w:val="7D5E40CD"/>
    <w:rsid w:val="7D7D26B4"/>
    <w:rsid w:val="7D9178EA"/>
    <w:rsid w:val="7DCD56F2"/>
    <w:rsid w:val="7DCE20BC"/>
    <w:rsid w:val="7DCF7359"/>
    <w:rsid w:val="7E463F70"/>
    <w:rsid w:val="7E6F077A"/>
    <w:rsid w:val="7EDE1564"/>
    <w:rsid w:val="7F001CE7"/>
    <w:rsid w:val="7F231A30"/>
    <w:rsid w:val="7F3344D2"/>
    <w:rsid w:val="7FE47E50"/>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qFormat="1"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qFormat="1" w:unhideWhenUsed="0" w:uiPriority="0" w:semiHidden="0" w:name="Table Classic 1" w:locked="1"/>
    <w:lsdException w:uiPriority="0" w:name="Table Classic 2" w:locked="1"/>
    <w:lsdException w:qFormat="1" w:unhideWhenUsed="0" w:uiPriority="0" w:semiHidden="0" w:name="Table Classic 3" w:locked="1"/>
    <w:lsdException w:qFormat="1" w:unhideWhenUsed="0" w:uiPriority="0" w:semiHidden="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qFormat="1" w:unhideWhenUsed="0" w:uiPriority="0" w:semiHidden="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line="360" w:lineRule="auto"/>
      <w:ind w:firstLine="200" w:firstLineChars="200"/>
      <w:jc w:val="both"/>
    </w:pPr>
    <w:rPr>
      <w:rFonts w:ascii="Times New Roman" w:hAnsi="Times New Roman" w:eastAsia="宋体" w:cs="Times New Roman"/>
      <w:sz w:val="24"/>
      <w:szCs w:val="24"/>
      <w:lang w:val="en-US" w:eastAsia="zh-CN" w:bidi="ar-SA"/>
    </w:rPr>
  </w:style>
  <w:style w:type="paragraph" w:styleId="2">
    <w:name w:val="heading 1"/>
    <w:basedOn w:val="1"/>
    <w:next w:val="1"/>
    <w:link w:val="37"/>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4"/>
    <w:next w:val="1"/>
    <w:link w:val="38"/>
    <w:qFormat/>
    <w:locked/>
    <w:uiPriority w:val="0"/>
    <w:pPr>
      <w:pageBreakBefore/>
      <w:widowControl/>
      <w:tabs>
        <w:tab w:val="right" w:leader="dot" w:pos="8165"/>
      </w:tabs>
      <w:adjustRightInd w:val="0"/>
      <w:spacing w:before="0" w:beforeLines="0" w:line="480" w:lineRule="atLeast"/>
      <w:ind w:left="0" w:leftChars="0" w:firstLine="0" w:firstLineChars="0"/>
      <w:jc w:val="left"/>
      <w:outlineLvl w:val="1"/>
    </w:pPr>
    <w:rPr>
      <w:rFonts w:ascii="黑体" w:hAnsi="Arial" w:eastAsia="黑体" w:cs="Arial Unicode MS"/>
      <w:szCs w:val="20"/>
    </w:rPr>
  </w:style>
  <w:style w:type="paragraph" w:styleId="5">
    <w:name w:val="heading 3"/>
    <w:basedOn w:val="1"/>
    <w:next w:val="1"/>
    <w:link w:val="39"/>
    <w:qFormat/>
    <w:locked/>
    <w:uiPriority w:val="0"/>
    <w:pPr>
      <w:keepNext/>
      <w:keepLines/>
      <w:spacing w:before="260" w:after="260" w:line="416" w:lineRule="auto"/>
      <w:outlineLvl w:val="2"/>
    </w:pPr>
    <w:rPr>
      <w:b/>
      <w:bCs/>
      <w:sz w:val="32"/>
      <w:szCs w:val="32"/>
    </w:rPr>
  </w:style>
  <w:style w:type="character" w:default="1" w:styleId="31">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locked/>
    <w:uiPriority w:val="0"/>
    <w:pPr>
      <w:ind w:left="420" w:leftChars="200"/>
    </w:pPr>
  </w:style>
  <w:style w:type="paragraph" w:styleId="6">
    <w:name w:val="Normal Indent"/>
    <w:basedOn w:val="1"/>
    <w:link w:val="40"/>
    <w:qFormat/>
    <w:locked/>
    <w:uiPriority w:val="0"/>
    <w:pPr>
      <w:widowControl/>
      <w:spacing w:before="0" w:beforeLines="0" w:line="240" w:lineRule="auto"/>
      <w:ind w:firstLine="420" w:firstLineChars="0"/>
      <w:jc w:val="left"/>
    </w:pPr>
    <w:rPr>
      <w:sz w:val="28"/>
      <w:szCs w:val="20"/>
    </w:rPr>
  </w:style>
  <w:style w:type="paragraph" w:styleId="7">
    <w:name w:val="caption"/>
    <w:basedOn w:val="1"/>
    <w:next w:val="1"/>
    <w:qFormat/>
    <w:locked/>
    <w:uiPriority w:val="0"/>
    <w:pPr>
      <w:spacing w:before="0" w:beforeLines="0" w:line="240" w:lineRule="auto"/>
      <w:ind w:firstLine="0" w:firstLineChars="0"/>
    </w:pPr>
    <w:rPr>
      <w:rFonts w:ascii="Arial" w:hAnsi="Arial" w:eastAsia="黑体" w:cs="Arial"/>
      <w:kern w:val="2"/>
      <w:sz w:val="20"/>
      <w:szCs w:val="20"/>
    </w:rPr>
  </w:style>
  <w:style w:type="paragraph" w:styleId="8">
    <w:name w:val="annotation text"/>
    <w:basedOn w:val="1"/>
    <w:link w:val="41"/>
    <w:semiHidden/>
    <w:qFormat/>
    <w:uiPriority w:val="0"/>
    <w:pPr>
      <w:jc w:val="left"/>
    </w:pPr>
    <w:rPr>
      <w:szCs w:val="20"/>
    </w:rPr>
  </w:style>
  <w:style w:type="paragraph" w:styleId="9">
    <w:name w:val="index 6"/>
    <w:basedOn w:val="1"/>
    <w:next w:val="1"/>
    <w:qFormat/>
    <w:locked/>
    <w:uiPriority w:val="0"/>
    <w:pPr>
      <w:ind w:left="1000" w:leftChars="1000" w:firstLine="0"/>
    </w:pPr>
  </w:style>
  <w:style w:type="paragraph" w:styleId="10">
    <w:name w:val="Body Text 3"/>
    <w:basedOn w:val="1"/>
    <w:link w:val="42"/>
    <w:qFormat/>
    <w:locked/>
    <w:uiPriority w:val="0"/>
    <w:pPr>
      <w:snapToGrid w:val="0"/>
      <w:spacing w:after="120" w:line="400" w:lineRule="atLeast"/>
      <w:ind w:firstLine="567"/>
    </w:pPr>
    <w:rPr>
      <w:sz w:val="16"/>
      <w:szCs w:val="16"/>
    </w:rPr>
  </w:style>
  <w:style w:type="paragraph" w:styleId="11">
    <w:name w:val="Body Text"/>
    <w:basedOn w:val="1"/>
    <w:link w:val="43"/>
    <w:qFormat/>
    <w:uiPriority w:val="0"/>
    <w:pPr>
      <w:widowControl/>
      <w:snapToGrid w:val="0"/>
      <w:spacing w:before="60" w:after="160" w:line="259" w:lineRule="auto"/>
      <w:ind w:right="113"/>
    </w:pPr>
    <w:rPr>
      <w:sz w:val="18"/>
      <w:szCs w:val="20"/>
    </w:rPr>
  </w:style>
  <w:style w:type="paragraph" w:styleId="12">
    <w:name w:val="Body Text Indent"/>
    <w:basedOn w:val="1"/>
    <w:link w:val="44"/>
    <w:qFormat/>
    <w:uiPriority w:val="0"/>
    <w:pPr>
      <w:spacing w:after="120"/>
      <w:ind w:left="420" w:leftChars="200"/>
    </w:pPr>
    <w:rPr>
      <w:szCs w:val="20"/>
    </w:rPr>
  </w:style>
  <w:style w:type="paragraph" w:styleId="13">
    <w:name w:val="Date"/>
    <w:basedOn w:val="1"/>
    <w:next w:val="1"/>
    <w:link w:val="45"/>
    <w:qFormat/>
    <w:uiPriority w:val="0"/>
    <w:pPr>
      <w:ind w:left="100" w:leftChars="2500"/>
    </w:pPr>
    <w:rPr>
      <w:szCs w:val="20"/>
    </w:rPr>
  </w:style>
  <w:style w:type="paragraph" w:styleId="14">
    <w:name w:val="Balloon Text"/>
    <w:basedOn w:val="1"/>
    <w:link w:val="46"/>
    <w:semiHidden/>
    <w:qFormat/>
    <w:uiPriority w:val="0"/>
    <w:rPr>
      <w:sz w:val="18"/>
      <w:szCs w:val="20"/>
    </w:rPr>
  </w:style>
  <w:style w:type="paragraph" w:styleId="15">
    <w:name w:val="footer"/>
    <w:basedOn w:val="1"/>
    <w:link w:val="47"/>
    <w:qFormat/>
    <w:uiPriority w:val="99"/>
    <w:pPr>
      <w:tabs>
        <w:tab w:val="center" w:pos="4153"/>
        <w:tab w:val="right" w:pos="8306"/>
      </w:tabs>
      <w:snapToGrid w:val="0"/>
      <w:jc w:val="left"/>
    </w:pPr>
    <w:rPr>
      <w:sz w:val="18"/>
      <w:szCs w:val="20"/>
    </w:rPr>
  </w:style>
  <w:style w:type="paragraph" w:styleId="16">
    <w:name w:val="header"/>
    <w:basedOn w:val="1"/>
    <w:link w:val="48"/>
    <w:qFormat/>
    <w:uiPriority w:val="99"/>
    <w:pPr>
      <w:pBdr>
        <w:bottom w:val="single" w:color="auto" w:sz="6" w:space="1"/>
      </w:pBdr>
      <w:tabs>
        <w:tab w:val="center" w:pos="4153"/>
        <w:tab w:val="right" w:pos="8306"/>
      </w:tabs>
      <w:snapToGrid w:val="0"/>
      <w:jc w:val="center"/>
    </w:pPr>
    <w:rPr>
      <w:sz w:val="18"/>
      <w:szCs w:val="20"/>
    </w:rPr>
  </w:style>
  <w:style w:type="paragraph" w:styleId="17">
    <w:name w:val="Subtitle"/>
    <w:basedOn w:val="1"/>
    <w:next w:val="1"/>
    <w:link w:val="49"/>
    <w:qFormat/>
    <w:locked/>
    <w:uiPriority w:val="0"/>
    <w:pPr>
      <w:spacing w:line="240" w:lineRule="auto"/>
      <w:ind w:firstLine="0" w:firstLineChars="0"/>
      <w:jc w:val="center"/>
    </w:pPr>
    <w:rPr>
      <w:bCs/>
      <w:kern w:val="28"/>
      <w:sz w:val="21"/>
      <w:szCs w:val="32"/>
    </w:rPr>
  </w:style>
  <w:style w:type="paragraph" w:styleId="18">
    <w:name w:val="Normal (Web)"/>
    <w:basedOn w:val="1"/>
    <w:link w:val="50"/>
    <w:qFormat/>
    <w:uiPriority w:val="99"/>
    <w:pPr>
      <w:widowControl/>
      <w:spacing w:before="100" w:beforeAutospacing="1" w:after="100" w:afterAutospacing="1"/>
      <w:jc w:val="left"/>
    </w:pPr>
    <w:rPr>
      <w:rFonts w:ascii="宋体" w:hAnsi="宋体"/>
      <w:szCs w:val="20"/>
    </w:rPr>
  </w:style>
  <w:style w:type="paragraph" w:styleId="19">
    <w:name w:val="Title"/>
    <w:basedOn w:val="1"/>
    <w:next w:val="1"/>
    <w:link w:val="51"/>
    <w:qFormat/>
    <w:locked/>
    <w:uiPriority w:val="0"/>
    <w:pPr>
      <w:spacing w:before="0" w:beforeLines="0"/>
      <w:ind w:firstLine="0" w:firstLineChars="0"/>
      <w:jc w:val="center"/>
      <w:outlineLvl w:val="0"/>
    </w:pPr>
    <w:rPr>
      <w:bCs/>
      <w:sz w:val="21"/>
      <w:szCs w:val="32"/>
    </w:rPr>
  </w:style>
  <w:style w:type="paragraph" w:styleId="20">
    <w:name w:val="annotation subject"/>
    <w:basedOn w:val="8"/>
    <w:next w:val="8"/>
    <w:link w:val="52"/>
    <w:semiHidden/>
    <w:qFormat/>
    <w:uiPriority w:val="0"/>
    <w:rPr>
      <w:b/>
    </w:rPr>
  </w:style>
  <w:style w:type="paragraph" w:styleId="21">
    <w:name w:val="Body Text First Indent 2"/>
    <w:basedOn w:val="12"/>
    <w:link w:val="104"/>
    <w:qFormat/>
    <w:locked/>
    <w:uiPriority w:val="0"/>
    <w:pPr>
      <w:ind w:firstLine="420"/>
    </w:pPr>
    <w:rPr>
      <w:szCs w:val="24"/>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Theme"/>
    <w:basedOn w:val="22"/>
    <w:qFormat/>
    <w:locked/>
    <w:uiPriority w:val="0"/>
    <w:pPr>
      <w:widowControl w:val="0"/>
      <w:spacing w:before="50" w:beforeLines="50"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Elegant"/>
    <w:basedOn w:val="22"/>
    <w:qFormat/>
    <w:locked/>
    <w:uiPriority w:val="0"/>
    <w:pPr>
      <w:widowControl w:val="0"/>
      <w:spacing w:before="50" w:beforeLines="50" w:line="360" w:lineRule="auto"/>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26">
    <w:name w:val="Table Classic 1"/>
    <w:basedOn w:val="22"/>
    <w:qFormat/>
    <w:locked/>
    <w:uiPriority w:val="0"/>
    <w:pPr>
      <w:widowControl w:val="0"/>
      <w:spacing w:before="50" w:beforeLines="50" w:line="360"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7">
    <w:name w:val="Table Classic 3"/>
    <w:basedOn w:val="22"/>
    <w:qFormat/>
    <w:locked/>
    <w:uiPriority w:val="0"/>
    <w:pPr>
      <w:widowControl w:val="0"/>
      <w:spacing w:before="50" w:beforeLines="50" w:line="360" w:lineRule="auto"/>
      <w:ind w:firstLine="20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28">
    <w:name w:val="Table Classic 4"/>
    <w:basedOn w:val="22"/>
    <w:qFormat/>
    <w:locked/>
    <w:uiPriority w:val="0"/>
    <w:pPr>
      <w:widowControl w:val="0"/>
      <w:spacing w:before="50" w:beforeLines="50" w:line="360" w:lineRule="auto"/>
      <w:ind w:firstLine="20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9">
    <w:name w:val="Table List 3"/>
    <w:basedOn w:val="22"/>
    <w:qFormat/>
    <w:locked/>
    <w:uiPriority w:val="0"/>
    <w:pPr>
      <w:widowControl w:val="0"/>
      <w:spacing w:before="50" w:beforeLines="50" w:line="360" w:lineRule="auto"/>
      <w:ind w:firstLine="200" w:firstLineChars="20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30">
    <w:name w:val="Table Grid 5"/>
    <w:basedOn w:val="22"/>
    <w:qFormat/>
    <w:locked/>
    <w:uiPriority w:val="0"/>
    <w:pPr>
      <w:widowControl w:val="0"/>
      <w:spacing w:before="50" w:beforeLines="50" w:line="360" w:lineRule="auto"/>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2">
    <w:name w:val="page number"/>
    <w:qFormat/>
    <w:locked/>
    <w:uiPriority w:val="0"/>
  </w:style>
  <w:style w:type="character" w:styleId="33">
    <w:name w:val="Emphasis"/>
    <w:qFormat/>
    <w:locked/>
    <w:uiPriority w:val="20"/>
    <w:rPr>
      <w:i/>
    </w:rPr>
  </w:style>
  <w:style w:type="character" w:styleId="34">
    <w:name w:val="line number"/>
    <w:basedOn w:val="31"/>
    <w:qFormat/>
    <w:locked/>
    <w:uiPriority w:val="0"/>
  </w:style>
  <w:style w:type="character" w:styleId="35">
    <w:name w:val="Hyperlink"/>
    <w:unhideWhenUsed/>
    <w:qFormat/>
    <w:locked/>
    <w:uiPriority w:val="0"/>
    <w:rPr>
      <w:color w:val="0000FF"/>
      <w:u w:val="single"/>
    </w:rPr>
  </w:style>
  <w:style w:type="character" w:styleId="36">
    <w:name w:val="annotation reference"/>
    <w:semiHidden/>
    <w:qFormat/>
    <w:uiPriority w:val="0"/>
    <w:rPr>
      <w:sz w:val="21"/>
    </w:rPr>
  </w:style>
  <w:style w:type="character" w:customStyle="1" w:styleId="37">
    <w:name w:val="标题 1 字符"/>
    <w:link w:val="2"/>
    <w:qFormat/>
    <w:uiPriority w:val="99"/>
    <w:rPr>
      <w:rFonts w:eastAsia="黑体"/>
      <w:b/>
      <w:bCs/>
      <w:color w:val="000000"/>
      <w:kern w:val="44"/>
      <w:sz w:val="30"/>
      <w:szCs w:val="30"/>
    </w:rPr>
  </w:style>
  <w:style w:type="character" w:customStyle="1" w:styleId="38">
    <w:name w:val="标题 2 字符1"/>
    <w:link w:val="3"/>
    <w:qFormat/>
    <w:uiPriority w:val="0"/>
    <w:rPr>
      <w:rFonts w:ascii="黑体" w:hAnsi="Arial" w:eastAsia="黑体" w:cs="Arial Unicode MS"/>
      <w:sz w:val="24"/>
    </w:rPr>
  </w:style>
  <w:style w:type="character" w:customStyle="1" w:styleId="39">
    <w:name w:val="标题 3 字符"/>
    <w:link w:val="5"/>
    <w:semiHidden/>
    <w:qFormat/>
    <w:uiPriority w:val="0"/>
    <w:rPr>
      <w:b/>
      <w:bCs/>
      <w:kern w:val="2"/>
      <w:sz w:val="32"/>
      <w:szCs w:val="32"/>
    </w:rPr>
  </w:style>
  <w:style w:type="character" w:customStyle="1" w:styleId="40">
    <w:name w:val="正文缩进 字符"/>
    <w:link w:val="6"/>
    <w:qFormat/>
    <w:uiPriority w:val="0"/>
    <w:rPr>
      <w:kern w:val="2"/>
      <w:sz w:val="28"/>
    </w:rPr>
  </w:style>
  <w:style w:type="character" w:customStyle="1" w:styleId="41">
    <w:name w:val="批注文字 字符"/>
    <w:link w:val="8"/>
    <w:qFormat/>
    <w:locked/>
    <w:uiPriority w:val="0"/>
    <w:rPr>
      <w:rFonts w:ascii="Times New Roman" w:hAnsi="Times New Roman" w:eastAsia="宋体"/>
      <w:sz w:val="24"/>
    </w:rPr>
  </w:style>
  <w:style w:type="character" w:customStyle="1" w:styleId="42">
    <w:name w:val="正文文本 3 字符"/>
    <w:link w:val="10"/>
    <w:qFormat/>
    <w:uiPriority w:val="0"/>
    <w:rPr>
      <w:kern w:val="2"/>
      <w:sz w:val="16"/>
      <w:szCs w:val="16"/>
    </w:rPr>
  </w:style>
  <w:style w:type="character" w:customStyle="1" w:styleId="43">
    <w:name w:val="正文文本 字符"/>
    <w:link w:val="11"/>
    <w:qFormat/>
    <w:locked/>
    <w:uiPriority w:val="0"/>
    <w:rPr>
      <w:sz w:val="18"/>
    </w:rPr>
  </w:style>
  <w:style w:type="character" w:customStyle="1" w:styleId="44">
    <w:name w:val="正文文本缩进 字符"/>
    <w:link w:val="12"/>
    <w:qFormat/>
    <w:locked/>
    <w:uiPriority w:val="0"/>
    <w:rPr>
      <w:rFonts w:ascii="Times New Roman" w:hAnsi="Times New Roman" w:eastAsia="宋体"/>
      <w:sz w:val="24"/>
    </w:rPr>
  </w:style>
  <w:style w:type="character" w:customStyle="1" w:styleId="45">
    <w:name w:val="日期 字符1"/>
    <w:link w:val="13"/>
    <w:qFormat/>
    <w:locked/>
    <w:uiPriority w:val="0"/>
    <w:rPr>
      <w:rFonts w:ascii="Times New Roman" w:hAnsi="Times New Roman" w:eastAsia="宋体"/>
      <w:sz w:val="24"/>
    </w:rPr>
  </w:style>
  <w:style w:type="character" w:customStyle="1" w:styleId="46">
    <w:name w:val="批注框文本 字符"/>
    <w:link w:val="14"/>
    <w:semiHidden/>
    <w:qFormat/>
    <w:locked/>
    <w:uiPriority w:val="0"/>
    <w:rPr>
      <w:rFonts w:ascii="Times New Roman" w:hAnsi="Times New Roman" w:eastAsia="宋体"/>
      <w:sz w:val="18"/>
    </w:rPr>
  </w:style>
  <w:style w:type="character" w:customStyle="1" w:styleId="47">
    <w:name w:val="页脚 字符1"/>
    <w:link w:val="15"/>
    <w:qFormat/>
    <w:locked/>
    <w:uiPriority w:val="99"/>
    <w:rPr>
      <w:sz w:val="18"/>
    </w:rPr>
  </w:style>
  <w:style w:type="character" w:customStyle="1" w:styleId="48">
    <w:name w:val="页眉 字符"/>
    <w:link w:val="16"/>
    <w:qFormat/>
    <w:locked/>
    <w:uiPriority w:val="99"/>
    <w:rPr>
      <w:sz w:val="18"/>
    </w:rPr>
  </w:style>
  <w:style w:type="character" w:customStyle="1" w:styleId="49">
    <w:name w:val="副标题 字符"/>
    <w:link w:val="17"/>
    <w:qFormat/>
    <w:uiPriority w:val="0"/>
    <w:rPr>
      <w:rFonts w:cs="Times New Roman"/>
      <w:bCs/>
      <w:kern w:val="28"/>
      <w:sz w:val="21"/>
      <w:szCs w:val="32"/>
    </w:rPr>
  </w:style>
  <w:style w:type="character" w:customStyle="1" w:styleId="50">
    <w:name w:val="普通(网站) 字符"/>
    <w:link w:val="18"/>
    <w:qFormat/>
    <w:locked/>
    <w:uiPriority w:val="0"/>
    <w:rPr>
      <w:rFonts w:ascii="宋体" w:hAnsi="宋体" w:eastAsia="宋体"/>
      <w:sz w:val="24"/>
    </w:rPr>
  </w:style>
  <w:style w:type="character" w:customStyle="1" w:styleId="51">
    <w:name w:val="标题 字符"/>
    <w:link w:val="19"/>
    <w:qFormat/>
    <w:uiPriority w:val="0"/>
    <w:rPr>
      <w:rFonts w:cs="Times New Roman"/>
      <w:bCs/>
      <w:kern w:val="2"/>
      <w:sz w:val="21"/>
      <w:szCs w:val="32"/>
    </w:rPr>
  </w:style>
  <w:style w:type="character" w:customStyle="1" w:styleId="52">
    <w:name w:val="批注主题 字符"/>
    <w:link w:val="20"/>
    <w:semiHidden/>
    <w:qFormat/>
    <w:locked/>
    <w:uiPriority w:val="0"/>
    <w:rPr>
      <w:rFonts w:ascii="Times New Roman" w:hAnsi="Times New Roman" w:eastAsia="宋体"/>
      <w:b/>
      <w:kern w:val="2"/>
      <w:sz w:val="24"/>
    </w:rPr>
  </w:style>
  <w:style w:type="character" w:customStyle="1" w:styleId="53">
    <w:name w:val="页脚 字符"/>
    <w:qFormat/>
    <w:uiPriority w:val="99"/>
  </w:style>
  <w:style w:type="character" w:customStyle="1" w:styleId="54">
    <w:name w:val="正文文本 字符1"/>
    <w:semiHidden/>
    <w:qFormat/>
    <w:uiPriority w:val="0"/>
    <w:rPr>
      <w:rFonts w:ascii="Times New Roman" w:hAnsi="Times New Roman" w:eastAsia="宋体"/>
      <w:sz w:val="24"/>
    </w:rPr>
  </w:style>
  <w:style w:type="character" w:customStyle="1" w:styleId="55">
    <w:name w:val="表格 Char"/>
    <w:link w:val="56"/>
    <w:qFormat/>
    <w:locked/>
    <w:uiPriority w:val="0"/>
    <w:rPr>
      <w:rFonts w:ascii="宋体"/>
      <w:sz w:val="21"/>
    </w:rPr>
  </w:style>
  <w:style w:type="paragraph" w:customStyle="1" w:styleId="56">
    <w:name w:val="表格"/>
    <w:basedOn w:val="1"/>
    <w:next w:val="1"/>
    <w:link w:val="55"/>
    <w:qFormat/>
    <w:uiPriority w:val="0"/>
    <w:pPr>
      <w:adjustRightInd w:val="0"/>
      <w:snapToGrid w:val="0"/>
      <w:spacing w:beforeLines="10" w:afterLines="10" w:line="259" w:lineRule="auto"/>
      <w:jc w:val="center"/>
    </w:pPr>
    <w:rPr>
      <w:rFonts w:ascii="宋体"/>
      <w:szCs w:val="20"/>
    </w:rPr>
  </w:style>
  <w:style w:type="character" w:customStyle="1" w:styleId="57">
    <w:name w:val="日期 字符"/>
    <w:semiHidden/>
    <w:qFormat/>
    <w:uiPriority w:val="0"/>
    <w:rPr>
      <w:rFonts w:ascii="Times New Roman" w:hAnsi="Times New Roman" w:eastAsia="宋体"/>
      <w:sz w:val="24"/>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61">
    <w:name w:val="不明显参考1"/>
    <w:qFormat/>
    <w:uiPriority w:val="31"/>
    <w:rPr>
      <w:smallCaps/>
      <w:color w:val="C0504D"/>
      <w:u w:val="single"/>
    </w:rPr>
  </w:style>
  <w:style w:type="character" w:customStyle="1" w:styleId="62">
    <w:name w:val="明显强调1"/>
    <w:qFormat/>
    <w:uiPriority w:val="21"/>
    <w:rPr>
      <w:b/>
      <w:bCs/>
      <w:i/>
      <w:iCs/>
      <w:color w:val="4F81BD"/>
    </w:rPr>
  </w:style>
  <w:style w:type="paragraph" w:styleId="63">
    <w:name w:val="Quote"/>
    <w:basedOn w:val="1"/>
    <w:next w:val="1"/>
    <w:link w:val="64"/>
    <w:qFormat/>
    <w:uiPriority w:val="29"/>
    <w:rPr>
      <w:i/>
      <w:iCs/>
      <w:color w:val="000000"/>
    </w:rPr>
  </w:style>
  <w:style w:type="character" w:customStyle="1" w:styleId="64">
    <w:name w:val="引用 字符"/>
    <w:link w:val="63"/>
    <w:qFormat/>
    <w:uiPriority w:val="29"/>
    <w:rPr>
      <w:i/>
      <w:iCs/>
      <w:color w:val="000000"/>
      <w:kern w:val="2"/>
      <w:sz w:val="21"/>
      <w:szCs w:val="24"/>
    </w:rPr>
  </w:style>
  <w:style w:type="paragraph" w:customStyle="1" w:styleId="65">
    <w:name w:val="Char Char5 Char Char Char Char"/>
    <w:basedOn w:val="1"/>
    <w:qFormat/>
    <w:uiPriority w:val="0"/>
    <w:rPr>
      <w:szCs w:val="21"/>
    </w:rPr>
  </w:style>
  <w:style w:type="character" w:customStyle="1" w:styleId="66">
    <w:name w:val="mjb2018 Char"/>
    <w:link w:val="67"/>
    <w:qFormat/>
    <w:uiPriority w:val="0"/>
    <w:rPr>
      <w:sz w:val="24"/>
      <w:szCs w:val="22"/>
    </w:rPr>
  </w:style>
  <w:style w:type="paragraph" w:customStyle="1" w:styleId="67">
    <w:name w:val="mjb2018"/>
    <w:basedOn w:val="1"/>
    <w:next w:val="1"/>
    <w:link w:val="66"/>
    <w:qFormat/>
    <w:uiPriority w:val="0"/>
    <w:rPr>
      <w:szCs w:val="22"/>
    </w:rPr>
  </w:style>
  <w:style w:type="character" w:customStyle="1" w:styleId="68">
    <w:name w:val="批注文字 Char1"/>
    <w:semiHidden/>
    <w:qFormat/>
    <w:uiPriority w:val="99"/>
    <w:rPr>
      <w:rFonts w:ascii="Times New Roman" w:hAnsi="Times New Roman" w:eastAsia="宋体" w:cs="Times New Roman"/>
      <w:szCs w:val="24"/>
    </w:rPr>
  </w:style>
  <w:style w:type="paragraph" w:customStyle="1" w:styleId="69">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70">
    <w:name w:val="Table Paragraph"/>
    <w:basedOn w:val="1"/>
    <w:qFormat/>
    <w:uiPriority w:val="1"/>
    <w:pPr>
      <w:autoSpaceDE w:val="0"/>
      <w:autoSpaceDN w:val="0"/>
      <w:jc w:val="left"/>
    </w:pPr>
    <w:rPr>
      <w:rFonts w:ascii="宋体" w:hAnsi="宋体" w:cs="宋体"/>
      <w:sz w:val="22"/>
      <w:szCs w:val="22"/>
      <w:lang w:eastAsia="en-US"/>
    </w:rPr>
  </w:style>
  <w:style w:type="paragraph" w:styleId="71">
    <w:name w:val="List Paragraph"/>
    <w:basedOn w:val="1"/>
    <w:qFormat/>
    <w:uiPriority w:val="34"/>
    <w:pPr>
      <w:autoSpaceDE w:val="0"/>
      <w:autoSpaceDN w:val="0"/>
      <w:ind w:left="1441" w:hanging="601"/>
      <w:jc w:val="left"/>
    </w:pPr>
    <w:rPr>
      <w:rFonts w:ascii="宋体" w:hAnsi="宋体" w:cs="宋体"/>
      <w:sz w:val="22"/>
      <w:szCs w:val="22"/>
      <w:lang w:eastAsia="en-US"/>
    </w:rPr>
  </w:style>
  <w:style w:type="table" w:customStyle="1" w:styleId="72">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73">
    <w:name w:val="正文文本 (2)_"/>
    <w:link w:val="74"/>
    <w:qFormat/>
    <w:uiPriority w:val="0"/>
    <w:rPr>
      <w:rFonts w:ascii="MingLiU" w:eastAsia="MingLiU"/>
      <w:sz w:val="22"/>
      <w:szCs w:val="22"/>
      <w:shd w:val="clear" w:color="auto" w:fill="FFFFFF"/>
    </w:rPr>
  </w:style>
  <w:style w:type="paragraph" w:customStyle="1" w:styleId="74">
    <w:name w:val="正文文本 (2)1"/>
    <w:basedOn w:val="1"/>
    <w:link w:val="73"/>
    <w:qFormat/>
    <w:uiPriority w:val="0"/>
    <w:pPr>
      <w:widowControl/>
      <w:shd w:val="clear" w:color="auto" w:fill="FFFFFF"/>
      <w:spacing w:before="0" w:beforeLines="0" w:line="240" w:lineRule="auto"/>
      <w:ind w:hanging="500" w:firstLineChars="0"/>
      <w:jc w:val="left"/>
    </w:pPr>
    <w:rPr>
      <w:rFonts w:ascii="MingLiU" w:eastAsia="MingLiU"/>
      <w:sz w:val="22"/>
      <w:szCs w:val="22"/>
    </w:rPr>
  </w:style>
  <w:style w:type="character" w:customStyle="1" w:styleId="75">
    <w:name w:val="正文文本 (2) + 9.5 pt"/>
    <w:qFormat/>
    <w:uiPriority w:val="0"/>
    <w:rPr>
      <w:rFonts w:ascii="MingLiU" w:eastAsia="MingLiU" w:cs="MingLiU"/>
      <w:sz w:val="19"/>
      <w:szCs w:val="19"/>
      <w:u w:val="none"/>
      <w:lang w:bidi="ar-SA"/>
    </w:rPr>
  </w:style>
  <w:style w:type="character" w:customStyle="1" w:styleId="76">
    <w:name w:val="ca_5"/>
    <w:qFormat/>
    <w:uiPriority w:val="0"/>
  </w:style>
  <w:style w:type="paragraph" w:customStyle="1" w:styleId="77">
    <w:name w:val="报告表正文"/>
    <w:basedOn w:val="1"/>
    <w:qFormat/>
    <w:uiPriority w:val="0"/>
    <w:pPr>
      <w:widowControl/>
      <w:adjustRightInd w:val="0"/>
      <w:spacing w:before="0" w:beforeLines="0" w:line="312" w:lineRule="auto"/>
      <w:ind w:left="113" w:right="113" w:firstLine="482" w:firstLineChars="0"/>
      <w:jc w:val="left"/>
      <w:textAlignment w:val="baseline"/>
    </w:pPr>
    <w:rPr>
      <w:szCs w:val="20"/>
    </w:rPr>
  </w:style>
  <w:style w:type="paragraph" w:customStyle="1" w:styleId="78">
    <w:name w:val="图表"/>
    <w:basedOn w:val="1"/>
    <w:link w:val="79"/>
    <w:qFormat/>
    <w:uiPriority w:val="0"/>
    <w:pPr>
      <w:spacing w:before="0" w:beforeLines="0" w:line="240" w:lineRule="auto"/>
      <w:ind w:firstLine="0" w:firstLineChars="0"/>
      <w:jc w:val="center"/>
    </w:pPr>
    <w:rPr>
      <w:snapToGrid w:val="0"/>
      <w:sz w:val="21"/>
    </w:rPr>
  </w:style>
  <w:style w:type="character" w:customStyle="1" w:styleId="79">
    <w:name w:val="图表 字符"/>
    <w:link w:val="78"/>
    <w:qFormat/>
    <w:uiPriority w:val="0"/>
    <w:rPr>
      <w:snapToGrid/>
      <w:kern w:val="2"/>
      <w:sz w:val="21"/>
      <w:szCs w:val="24"/>
    </w:rPr>
  </w:style>
  <w:style w:type="character" w:customStyle="1" w:styleId="80">
    <w:name w:val="标题 2 字符"/>
    <w:semiHidden/>
    <w:qFormat/>
    <w:uiPriority w:val="0"/>
    <w:rPr>
      <w:rFonts w:ascii="等线 Light" w:hAnsi="等线 Light" w:eastAsia="等线 Light" w:cs="Times New Roman"/>
      <w:b/>
      <w:bCs/>
      <w:kern w:val="2"/>
      <w:sz w:val="32"/>
      <w:szCs w:val="32"/>
    </w:rPr>
  </w:style>
  <w:style w:type="paragraph" w:customStyle="1" w:styleId="81">
    <w:name w:val="段"/>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82">
    <w:name w:val="表格名称 Char Char"/>
    <w:link w:val="83"/>
    <w:qFormat/>
    <w:uiPriority w:val="0"/>
    <w:rPr>
      <w:kern w:val="2"/>
      <w:sz w:val="21"/>
      <w:szCs w:val="24"/>
    </w:rPr>
  </w:style>
  <w:style w:type="paragraph" w:customStyle="1" w:styleId="83">
    <w:name w:val="表格名称"/>
    <w:basedOn w:val="1"/>
    <w:link w:val="82"/>
    <w:qFormat/>
    <w:uiPriority w:val="0"/>
    <w:pPr>
      <w:keepNext/>
      <w:keepLines/>
      <w:wordWrap w:val="0"/>
      <w:topLinePunct/>
      <w:spacing w:before="0" w:beforeLines="0"/>
      <w:ind w:firstLine="0" w:firstLineChars="0"/>
      <w:jc w:val="center"/>
    </w:pPr>
    <w:rPr>
      <w:kern w:val="2"/>
      <w:sz w:val="21"/>
    </w:rPr>
  </w:style>
  <w:style w:type="paragraph" w:customStyle="1" w:styleId="84">
    <w:name w:val="表格内容居中"/>
    <w:qFormat/>
    <w:uiPriority w:val="0"/>
    <w:pPr>
      <w:jc w:val="center"/>
    </w:pPr>
    <w:rPr>
      <w:rFonts w:ascii="Times New Roman" w:hAnsi="Times New Roman" w:eastAsia="宋体" w:cs="Times New Roman"/>
      <w:snapToGrid w:val="0"/>
      <w:sz w:val="24"/>
      <w:szCs w:val="21"/>
      <w:lang w:val="en-US" w:eastAsia="zh-CN" w:bidi="ar-SA"/>
    </w:rPr>
  </w:style>
  <w:style w:type="paragraph" w:customStyle="1" w:styleId="85">
    <w:name w:val="_Style 5"/>
    <w:next w:val="9"/>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86">
    <w:name w:val="表格内容 字符"/>
    <w:link w:val="87"/>
    <w:qFormat/>
    <w:locked/>
    <w:uiPriority w:val="0"/>
    <w:rPr>
      <w:sz w:val="21"/>
    </w:rPr>
  </w:style>
  <w:style w:type="paragraph" w:customStyle="1" w:styleId="87">
    <w:name w:val="表格内容"/>
    <w:basedOn w:val="1"/>
    <w:next w:val="1"/>
    <w:link w:val="86"/>
    <w:qFormat/>
    <w:uiPriority w:val="0"/>
    <w:pPr>
      <w:spacing w:before="0" w:beforeLines="0" w:line="240" w:lineRule="auto"/>
      <w:ind w:firstLine="0" w:firstLineChars="0"/>
      <w:jc w:val="center"/>
    </w:pPr>
    <w:rPr>
      <w:sz w:val="21"/>
      <w:szCs w:val="20"/>
    </w:rPr>
  </w:style>
  <w:style w:type="character" w:customStyle="1" w:styleId="88">
    <w:name w:val="font41"/>
    <w:qFormat/>
    <w:uiPriority w:val="0"/>
    <w:rPr>
      <w:rFonts w:hint="eastAsia" w:ascii="宋体" w:hAnsi="宋体" w:eastAsia="宋体" w:cs="宋体"/>
      <w:color w:val="000000"/>
      <w:sz w:val="28"/>
      <w:szCs w:val="28"/>
      <w:u w:val="none"/>
    </w:rPr>
  </w:style>
  <w:style w:type="character" w:customStyle="1" w:styleId="89">
    <w:name w:val="页脚 Char"/>
    <w:qFormat/>
    <w:locked/>
    <w:uiPriority w:val="99"/>
    <w:rPr>
      <w:sz w:val="18"/>
    </w:rPr>
  </w:style>
  <w:style w:type="character" w:customStyle="1" w:styleId="90">
    <w:name w:val="正文文本 Char"/>
    <w:qFormat/>
    <w:locked/>
    <w:uiPriority w:val="0"/>
    <w:rPr>
      <w:sz w:val="18"/>
    </w:rPr>
  </w:style>
  <w:style w:type="paragraph" w:customStyle="1" w:styleId="91">
    <w:name w:val="Char Char Char Char Char Char Char Char Char Char Char Char"/>
    <w:basedOn w:val="1"/>
    <w:qFormat/>
    <w:uiPriority w:val="0"/>
    <w:pPr>
      <w:spacing w:before="0" w:beforeLines="0" w:line="240" w:lineRule="auto"/>
      <w:ind w:firstLine="0" w:firstLineChars="0"/>
    </w:pPr>
    <w:rPr>
      <w:rFonts w:eastAsia="Times New Roman"/>
    </w:rPr>
  </w:style>
  <w:style w:type="paragraph" w:customStyle="1" w:styleId="92">
    <w:name w:val="小四缩进2"/>
    <w:basedOn w:val="1"/>
    <w:qFormat/>
    <w:uiPriority w:val="0"/>
    <w:pPr>
      <w:spacing w:before="0" w:beforeLines="0"/>
      <w:ind w:firstLine="480"/>
    </w:pPr>
    <w:rPr>
      <w:rFonts w:cs="仿宋_GB2312"/>
      <w:kern w:val="2"/>
    </w:rPr>
  </w:style>
  <w:style w:type="paragraph" w:customStyle="1" w:styleId="93">
    <w:name w:val="表序"/>
    <w:basedOn w:val="1"/>
    <w:next w:val="1"/>
    <w:qFormat/>
    <w:uiPriority w:val="0"/>
    <w:pPr>
      <w:adjustRightInd w:val="0"/>
      <w:spacing w:before="0" w:beforeLines="0" w:line="240" w:lineRule="auto"/>
      <w:ind w:firstLine="0" w:firstLineChars="0"/>
      <w:jc w:val="center"/>
    </w:pPr>
    <w:rPr>
      <w:rFonts w:eastAsia="黑体" w:cs="仿宋_GB2312"/>
      <w:kern w:val="2"/>
      <w:sz w:val="21"/>
    </w:rPr>
  </w:style>
  <w:style w:type="character" w:customStyle="1" w:styleId="94">
    <w:name w:val="Huo 表内文字 小五 Char"/>
    <w:link w:val="95"/>
    <w:qFormat/>
    <w:uiPriority w:val="0"/>
    <w:rPr>
      <w:bCs/>
      <w:kern w:val="2"/>
      <w:sz w:val="18"/>
      <w:szCs w:val="21"/>
    </w:rPr>
  </w:style>
  <w:style w:type="paragraph" w:customStyle="1" w:styleId="95">
    <w:name w:val="Huo 表内文字 小五"/>
    <w:basedOn w:val="1"/>
    <w:link w:val="94"/>
    <w:qFormat/>
    <w:uiPriority w:val="0"/>
    <w:pPr>
      <w:spacing w:before="0" w:beforeLines="0" w:line="300" w:lineRule="exact"/>
      <w:ind w:firstLine="0" w:firstLineChars="0"/>
      <w:jc w:val="center"/>
    </w:pPr>
    <w:rPr>
      <w:bCs/>
      <w:kern w:val="2"/>
      <w:sz w:val="18"/>
      <w:szCs w:val="21"/>
    </w:rPr>
  </w:style>
  <w:style w:type="character" w:customStyle="1" w:styleId="96">
    <w:name w:val="Huo 表内文字 Char"/>
    <w:link w:val="97"/>
    <w:qFormat/>
    <w:uiPriority w:val="0"/>
    <w:rPr>
      <w:bCs/>
      <w:kern w:val="2"/>
      <w:sz w:val="21"/>
      <w:szCs w:val="21"/>
    </w:rPr>
  </w:style>
  <w:style w:type="paragraph" w:customStyle="1" w:styleId="97">
    <w:name w:val="Huo 表内文字"/>
    <w:basedOn w:val="1"/>
    <w:link w:val="96"/>
    <w:qFormat/>
    <w:uiPriority w:val="0"/>
    <w:pPr>
      <w:spacing w:before="0" w:beforeLines="0" w:line="360" w:lineRule="exact"/>
      <w:ind w:firstLine="0" w:firstLineChars="0"/>
      <w:jc w:val="center"/>
    </w:pPr>
    <w:rPr>
      <w:bCs/>
      <w:kern w:val="2"/>
      <w:sz w:val="21"/>
      <w:szCs w:val="21"/>
    </w:rPr>
  </w:style>
  <w:style w:type="character" w:customStyle="1" w:styleId="98">
    <w:name w:val="表内文字 Char"/>
    <w:link w:val="99"/>
    <w:qFormat/>
    <w:uiPriority w:val="0"/>
    <w:rPr>
      <w:rFonts w:cs="仿宋_GB2312"/>
      <w:kern w:val="2"/>
      <w:sz w:val="21"/>
      <w:szCs w:val="21"/>
    </w:rPr>
  </w:style>
  <w:style w:type="paragraph" w:customStyle="1" w:styleId="99">
    <w:name w:val="表内文字"/>
    <w:basedOn w:val="1"/>
    <w:next w:val="1"/>
    <w:link w:val="98"/>
    <w:qFormat/>
    <w:uiPriority w:val="0"/>
    <w:pPr>
      <w:spacing w:before="0" w:beforeLines="0" w:line="360" w:lineRule="exact"/>
      <w:ind w:firstLine="0" w:firstLineChars="0"/>
      <w:jc w:val="center"/>
    </w:pPr>
    <w:rPr>
      <w:rFonts w:cs="仿宋_GB2312"/>
      <w:kern w:val="2"/>
      <w:sz w:val="21"/>
      <w:szCs w:val="21"/>
    </w:rPr>
  </w:style>
  <w:style w:type="paragraph" w:customStyle="1" w:styleId="100">
    <w:name w:val="表内文字 小五"/>
    <w:basedOn w:val="1"/>
    <w:qFormat/>
    <w:uiPriority w:val="0"/>
    <w:pPr>
      <w:spacing w:before="0" w:beforeLines="0" w:line="300" w:lineRule="exact"/>
      <w:ind w:firstLine="0" w:firstLineChars="0"/>
      <w:jc w:val="center"/>
    </w:pPr>
    <w:rPr>
      <w:bCs/>
      <w:sz w:val="18"/>
      <w:szCs w:val="18"/>
    </w:rPr>
  </w:style>
  <w:style w:type="paragraph" w:customStyle="1" w:styleId="101">
    <w:name w:val="Huo表 表内文字"/>
    <w:basedOn w:val="1"/>
    <w:qFormat/>
    <w:uiPriority w:val="0"/>
    <w:pPr>
      <w:spacing w:before="0" w:beforeLines="0" w:line="360" w:lineRule="exact"/>
      <w:ind w:firstLine="0" w:firstLineChars="0"/>
      <w:jc w:val="center"/>
    </w:pPr>
    <w:rPr>
      <w:kern w:val="2"/>
      <w:sz w:val="21"/>
      <w:szCs w:val="21"/>
    </w:rPr>
  </w:style>
  <w:style w:type="paragraph" w:customStyle="1" w:styleId="102">
    <w:name w:val="Huo 表 五号居中"/>
    <w:basedOn w:val="1"/>
    <w:qFormat/>
    <w:uiPriority w:val="0"/>
    <w:pPr>
      <w:spacing w:before="0" w:beforeLines="0" w:line="360" w:lineRule="exact"/>
      <w:ind w:firstLine="0" w:firstLineChars="0"/>
      <w:jc w:val="center"/>
    </w:pPr>
    <w:rPr>
      <w:rFonts w:cs="仿宋_GB2312"/>
      <w:kern w:val="2"/>
      <w:sz w:val="21"/>
    </w:rPr>
  </w:style>
  <w:style w:type="paragraph" w:customStyle="1" w:styleId="103">
    <w:name w:val="样式 正文首行缩进 2 + 首行缩进:  2 字符1 Char"/>
    <w:basedOn w:val="21"/>
    <w:qFormat/>
    <w:uiPriority w:val="0"/>
    <w:pPr>
      <w:tabs>
        <w:tab w:val="left" w:pos="4200"/>
      </w:tabs>
      <w:spacing w:before="0" w:beforeLines="0"/>
      <w:ind w:left="0" w:leftChars="0" w:firstLine="480"/>
    </w:pPr>
    <w:rPr>
      <w:rFonts w:hAnsi="宋体" w:cs="宋体"/>
      <w:szCs w:val="20"/>
    </w:rPr>
  </w:style>
  <w:style w:type="character" w:customStyle="1" w:styleId="104">
    <w:name w:val="正文文本首行缩进 2 字符"/>
    <w:link w:val="21"/>
    <w:qFormat/>
    <w:uiPriority w:val="0"/>
    <w:rPr>
      <w:rFonts w:ascii="Times New Roman" w:hAnsi="Times New Roman" w:eastAsia="宋体"/>
      <w:sz w:val="24"/>
      <w:szCs w:val="24"/>
    </w:rPr>
  </w:style>
  <w:style w:type="paragraph" w:customStyle="1" w:styleId="105">
    <w:name w:val="表格通用"/>
    <w:basedOn w:val="1"/>
    <w:next w:val="1"/>
    <w:qFormat/>
    <w:uiPriority w:val="0"/>
    <w:pPr>
      <w:spacing w:before="1" w:beforeLines="1" w:line="240" w:lineRule="auto"/>
      <w:ind w:firstLine="0" w:firstLineChars="0"/>
      <w:jc w:val="center"/>
    </w:pPr>
    <w:rPr>
      <w:kern w:val="2"/>
      <w:sz w:val="21"/>
    </w:rPr>
  </w:style>
  <w:style w:type="paragraph" w:customStyle="1" w:styleId="106">
    <w:name w:val="修订2"/>
    <w:hidden/>
    <w:semiHidden/>
    <w:qFormat/>
    <w:uiPriority w:val="99"/>
    <w:rPr>
      <w:rFonts w:ascii="Times New Roman" w:hAnsi="Times New Roman" w:eastAsia="宋体" w:cs="Times New Roman"/>
      <w:sz w:val="24"/>
      <w:szCs w:val="24"/>
      <w:lang w:val="en-US" w:eastAsia="zh-CN" w:bidi="ar-SA"/>
    </w:rPr>
  </w:style>
  <w:style w:type="paragraph" w:customStyle="1" w:styleId="107">
    <w:name w:val="修订3"/>
    <w:hidden/>
    <w:semiHidden/>
    <w:qFormat/>
    <w:uiPriority w:val="99"/>
    <w:rPr>
      <w:rFonts w:ascii="Times New Roman" w:hAnsi="Times New Roman" w:eastAsia="宋体" w:cs="Times New Roman"/>
      <w:sz w:val="24"/>
      <w:szCs w:val="24"/>
      <w:lang w:val="en-US" w:eastAsia="zh-CN" w:bidi="ar-SA"/>
    </w:rPr>
  </w:style>
  <w:style w:type="paragraph" w:customStyle="1" w:styleId="108">
    <w:name w:val="修订4"/>
    <w:hidden/>
    <w:semiHidden/>
    <w:qFormat/>
    <w:uiPriority w:val="99"/>
    <w:rPr>
      <w:rFonts w:ascii="Times New Roman" w:hAnsi="Times New Roman" w:eastAsia="宋体" w:cs="Times New Roman"/>
      <w:sz w:val="24"/>
      <w:szCs w:val="24"/>
      <w:lang w:val="en-US" w:eastAsia="zh-CN" w:bidi="ar-SA"/>
    </w:rPr>
  </w:style>
  <w:style w:type="paragraph" w:customStyle="1" w:styleId="109">
    <w:name w:val="正文1"/>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40CB70-1BD5-44FF-9742-D7B59D7C21F7}">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88</Pages>
  <Words>6874</Words>
  <Characters>39182</Characters>
  <Lines>326</Lines>
  <Paragraphs>91</Paragraphs>
  <TotalTime>66</TotalTime>
  <ScaleCrop>false</ScaleCrop>
  <LinksUpToDate>false</LinksUpToDate>
  <CharactersWithSpaces>45965</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2022-10-24T05:24:00Z</dcterms:created>
  <dc:creator>hthg</dc:creator>
  <cp:lastModifiedBy>Administrator</cp:lastModifiedBy>
  <cp:lastPrinted>2022-08-20T00:57:00Z</cp:lastPrinted>
  <dcterms:modified xsi:type="dcterms:W3CDTF">2025-08-06T08:14:48Z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F7D037CD0BC747839EFFB76D9A704FB4</vt:lpwstr>
  </property>
</Properties>
</file>