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CBD68A">
      <w:pPr>
        <w:pStyle w:val="2"/>
      </w:pPr>
      <w:bookmarkStart w:id="0" w:name="_Hlk143435356"/>
      <w:bookmarkStart w:id="1" w:name="_Toc132305743"/>
      <w:bookmarkStart w:id="2" w:name="_Toc141887840"/>
      <w:bookmarkStart w:id="3" w:name="_Toc13317"/>
      <w:bookmarkStart w:id="4" w:name="_Toc129877223"/>
      <w:bookmarkStart w:id="5" w:name="_Toc88472356"/>
    </w:p>
    <w:p w14:paraId="3099B0DC">
      <w:pPr>
        <w:spacing w:after="32" w:afterLines="10" w:line="360" w:lineRule="auto"/>
        <w:ind w:firstLine="0" w:firstLineChars="0"/>
        <w:jc w:val="center"/>
        <w:rPr>
          <w:rFonts w:ascii="黑体" w:hAnsi="黑体" w:eastAsia="黑体" w:cs="黑体"/>
          <w:kern w:val="0"/>
          <w:sz w:val="48"/>
          <w:szCs w:val="48"/>
        </w:rPr>
      </w:pPr>
    </w:p>
    <w:p w14:paraId="3FF5A79A">
      <w:pPr>
        <w:spacing w:line="360" w:lineRule="auto"/>
        <w:ind w:firstLine="0" w:firstLineChars="0"/>
        <w:jc w:val="center"/>
        <w:rPr>
          <w:rFonts w:ascii="黑体" w:hAnsi="黑体" w:eastAsia="黑体" w:cs="黑体"/>
          <w:kern w:val="0"/>
          <w:sz w:val="52"/>
          <w:szCs w:val="52"/>
        </w:rPr>
      </w:pPr>
    </w:p>
    <w:p w14:paraId="2636AD8F">
      <w:pPr>
        <w:spacing w:line="360" w:lineRule="auto"/>
        <w:ind w:firstLine="0" w:firstLineChars="0"/>
        <w:jc w:val="center"/>
        <w:rPr>
          <w:rFonts w:ascii="黑体" w:hAnsi="黑体" w:eastAsia="黑体" w:cs="黑体"/>
          <w:kern w:val="0"/>
          <w:sz w:val="52"/>
          <w:szCs w:val="52"/>
        </w:rPr>
      </w:pPr>
      <w:r>
        <w:rPr>
          <w:rFonts w:hint="eastAsia" w:ascii="黑体" w:hAnsi="黑体" w:eastAsia="黑体" w:cs="黑体"/>
          <w:kern w:val="0"/>
          <w:sz w:val="52"/>
          <w:szCs w:val="52"/>
        </w:rPr>
        <w:t>仁化县国土空间总体规划</w:t>
      </w:r>
    </w:p>
    <w:p w14:paraId="509E259A">
      <w:pPr>
        <w:spacing w:line="360" w:lineRule="auto"/>
        <w:ind w:firstLine="0" w:firstLineChars="0"/>
        <w:jc w:val="center"/>
        <w:rPr>
          <w:rFonts w:ascii="黑体" w:hAnsi="黑体" w:eastAsia="黑体" w:cs="黑体"/>
          <w:kern w:val="0"/>
          <w:sz w:val="52"/>
          <w:szCs w:val="52"/>
        </w:rPr>
      </w:pPr>
      <w:r>
        <w:rPr>
          <w:rFonts w:ascii="黑体" w:hAnsi="黑体" w:eastAsia="黑体" w:cs="黑体"/>
          <w:kern w:val="0"/>
          <w:sz w:val="52"/>
          <w:szCs w:val="52"/>
        </w:rPr>
        <w:t>（</w:t>
      </w:r>
      <w:r>
        <w:rPr>
          <w:rFonts w:ascii="Times New Roman" w:hAnsi="Times New Roman" w:eastAsia="黑体" w:cs="Times New Roman"/>
          <w:kern w:val="0"/>
          <w:sz w:val="52"/>
          <w:szCs w:val="52"/>
        </w:rPr>
        <w:t>2021</w:t>
      </w:r>
      <w:r>
        <w:rPr>
          <w:rFonts w:hint="eastAsia" w:ascii="黑体" w:hAnsi="黑体" w:eastAsia="黑体" w:cs="黑体"/>
          <w:kern w:val="0"/>
          <w:sz w:val="52"/>
          <w:szCs w:val="52"/>
        </w:rPr>
        <w:t>—</w:t>
      </w:r>
      <w:r>
        <w:rPr>
          <w:rFonts w:ascii="Times New Roman" w:hAnsi="Times New Roman" w:eastAsia="黑体" w:cs="Times New Roman"/>
          <w:kern w:val="0"/>
          <w:sz w:val="52"/>
          <w:szCs w:val="52"/>
        </w:rPr>
        <w:t>2035</w:t>
      </w:r>
      <w:r>
        <w:rPr>
          <w:rFonts w:hint="eastAsia" w:ascii="黑体" w:hAnsi="黑体" w:eastAsia="黑体" w:cs="黑体"/>
          <w:kern w:val="0"/>
          <w:sz w:val="52"/>
          <w:szCs w:val="52"/>
        </w:rPr>
        <w:t>年）</w:t>
      </w:r>
    </w:p>
    <w:p w14:paraId="0E40706C">
      <w:pPr>
        <w:spacing w:line="360" w:lineRule="auto"/>
        <w:ind w:firstLine="0" w:firstLineChars="0"/>
        <w:jc w:val="center"/>
        <w:rPr>
          <w:rFonts w:ascii="黑体" w:hAnsi="黑体" w:eastAsia="黑体" w:cs="黑体"/>
          <w:b/>
          <w:bCs/>
          <w:kern w:val="0"/>
          <w:sz w:val="52"/>
          <w:szCs w:val="52"/>
        </w:rPr>
      </w:pPr>
    </w:p>
    <w:p w14:paraId="30D6D3D3">
      <w:pPr>
        <w:spacing w:line="360" w:lineRule="auto"/>
        <w:ind w:firstLine="0" w:firstLineChars="0"/>
        <w:jc w:val="center"/>
        <w:rPr>
          <w:rFonts w:ascii="黑体" w:hAnsi="黑体" w:eastAsia="黑体" w:cs="黑体"/>
          <w:kern w:val="0"/>
          <w:sz w:val="52"/>
          <w:szCs w:val="52"/>
        </w:rPr>
      </w:pPr>
      <w:r>
        <w:rPr>
          <w:rFonts w:hint="eastAsia" w:ascii="黑体" w:hAnsi="黑体" w:eastAsia="黑体" w:cs="黑体"/>
          <w:kern w:val="0"/>
          <w:sz w:val="52"/>
          <w:szCs w:val="52"/>
        </w:rPr>
        <w:t>文 本</w:t>
      </w:r>
    </w:p>
    <w:p w14:paraId="52FA40D6">
      <w:pPr>
        <w:spacing w:line="360" w:lineRule="auto"/>
        <w:ind w:firstLine="0" w:firstLineChars="0"/>
        <w:jc w:val="center"/>
        <w:rPr>
          <w:rFonts w:ascii="Times New Roman" w:hAnsi="Times New Roman" w:eastAsia="等线" w:cs="Times New Roman"/>
          <w:kern w:val="0"/>
          <w:sz w:val="52"/>
          <w:szCs w:val="52"/>
        </w:rPr>
      </w:pPr>
    </w:p>
    <w:p w14:paraId="05E187A6">
      <w:pPr>
        <w:spacing w:line="360" w:lineRule="auto"/>
        <w:ind w:firstLine="0" w:firstLineChars="0"/>
        <w:jc w:val="center"/>
        <w:rPr>
          <w:rFonts w:ascii="Times New Roman" w:hAnsi="Times New Roman" w:eastAsia="等线" w:cs="Times New Roman"/>
          <w:kern w:val="0"/>
          <w:sz w:val="52"/>
          <w:szCs w:val="52"/>
        </w:rPr>
      </w:pPr>
    </w:p>
    <w:p w14:paraId="5DC31CF2">
      <w:pPr>
        <w:spacing w:line="360" w:lineRule="auto"/>
        <w:ind w:firstLine="0" w:firstLineChars="0"/>
        <w:jc w:val="center"/>
        <w:rPr>
          <w:rFonts w:ascii="Times New Roman" w:hAnsi="Times New Roman" w:eastAsia="等线" w:cs="Times New Roman"/>
          <w:kern w:val="0"/>
          <w:sz w:val="52"/>
          <w:szCs w:val="52"/>
        </w:rPr>
      </w:pPr>
    </w:p>
    <w:p w14:paraId="07DE3F88">
      <w:pPr>
        <w:spacing w:line="360" w:lineRule="auto"/>
        <w:ind w:firstLine="0" w:firstLineChars="0"/>
        <w:jc w:val="center"/>
        <w:rPr>
          <w:rFonts w:ascii="Times New Roman" w:hAnsi="Times New Roman" w:eastAsia="等线" w:cs="Times New Roman"/>
          <w:kern w:val="0"/>
          <w:sz w:val="52"/>
          <w:szCs w:val="52"/>
        </w:rPr>
      </w:pPr>
    </w:p>
    <w:p w14:paraId="55D8340C">
      <w:pPr>
        <w:spacing w:line="360" w:lineRule="auto"/>
        <w:ind w:firstLine="0" w:firstLineChars="0"/>
        <w:jc w:val="center"/>
        <w:rPr>
          <w:rFonts w:ascii="Times New Roman" w:hAnsi="Times New Roman" w:eastAsia="等线" w:cs="Times New Roman"/>
          <w:kern w:val="0"/>
          <w:sz w:val="52"/>
          <w:szCs w:val="52"/>
        </w:rPr>
      </w:pPr>
    </w:p>
    <w:p w14:paraId="7EE53EE3">
      <w:pPr>
        <w:spacing w:line="360" w:lineRule="auto"/>
        <w:ind w:firstLine="0" w:firstLineChars="0"/>
        <w:jc w:val="center"/>
        <w:rPr>
          <w:rFonts w:ascii="Times New Roman" w:hAnsi="Times New Roman" w:eastAsia="等线" w:cs="Times New Roman"/>
          <w:kern w:val="0"/>
          <w:sz w:val="72"/>
          <w:szCs w:val="72"/>
        </w:rPr>
      </w:pPr>
    </w:p>
    <w:p w14:paraId="5BA8AAA1">
      <w:pPr>
        <w:spacing w:line="360" w:lineRule="auto"/>
        <w:ind w:firstLine="0" w:firstLineChars="0"/>
        <w:jc w:val="center"/>
        <w:rPr>
          <w:rFonts w:ascii="等线" w:hAnsi="等线" w:eastAsia="等线" w:cs="Times New Roman"/>
          <w:sz w:val="52"/>
          <w:szCs w:val="52"/>
        </w:rPr>
      </w:pPr>
    </w:p>
    <w:p w14:paraId="0BEEE02F">
      <w:pPr>
        <w:spacing w:line="360" w:lineRule="auto"/>
        <w:ind w:firstLine="0" w:firstLineChars="0"/>
        <w:jc w:val="center"/>
        <w:rPr>
          <w:rFonts w:ascii="黑体" w:hAnsi="黑体" w:eastAsia="黑体" w:cs="黑体"/>
          <w:sz w:val="32"/>
          <w:szCs w:val="32"/>
        </w:rPr>
      </w:pPr>
      <w:r>
        <w:rPr>
          <w:rFonts w:hint="eastAsia" w:ascii="黑体" w:hAnsi="黑体" w:eastAsia="黑体" w:cs="黑体"/>
          <w:sz w:val="32"/>
          <w:szCs w:val="32"/>
        </w:rPr>
        <w:t>仁化县人民政府</w:t>
      </w:r>
    </w:p>
    <w:bookmarkEnd w:id="0"/>
    <w:sdt>
      <w:sdtPr>
        <w:rPr>
          <w:rFonts w:ascii="宋体" w:hAnsi="宋体" w:eastAsia="仿宋_GB2312" w:cstheme="minorBidi"/>
          <w:color w:val="auto"/>
          <w:kern w:val="2"/>
          <w:sz w:val="30"/>
          <w:szCs w:val="22"/>
          <w:lang w:val="zh-CN"/>
        </w:rPr>
        <w:id w:val="-448547942"/>
        <w:docPartObj>
          <w:docPartGallery w:val="Table of Contents"/>
          <w:docPartUnique/>
        </w:docPartObj>
      </w:sdtPr>
      <w:sdtEndPr>
        <w:rPr>
          <w:rFonts w:ascii="宋体" w:hAnsi="宋体" w:eastAsia="仿宋_GB2312" w:cstheme="minorBidi"/>
          <w:b/>
          <w:bCs/>
          <w:color w:val="auto"/>
          <w:kern w:val="2"/>
          <w:sz w:val="30"/>
          <w:szCs w:val="22"/>
          <w:lang w:val="zh-CN"/>
        </w:rPr>
      </w:sdtEndPr>
      <w:sdtContent>
        <w:p w14:paraId="02BC8118">
          <w:pPr>
            <w:pStyle w:val="183"/>
            <w:spacing w:before="0" w:line="240" w:lineRule="auto"/>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lang w:val="zh-CN"/>
              <w14:textFill>
                <w14:solidFill>
                  <w14:schemeClr w14:val="tx1"/>
                </w14:solidFill>
              </w14:textFill>
            </w:rPr>
            <w:t>目</w:t>
          </w:r>
          <w:r>
            <w:rPr>
              <w:rFonts w:hint="eastAsia" w:ascii="黑体" w:hAnsi="黑体" w:eastAsia="黑体"/>
              <w:color w:val="000000" w:themeColor="text1"/>
              <w:lang w:val="zh-CN"/>
              <w14:textFill>
                <w14:solidFill>
                  <w14:schemeClr w14:val="tx1"/>
                </w14:solidFill>
              </w14:textFill>
            </w:rPr>
            <w:t xml:space="preserve"> </w:t>
          </w:r>
          <w:r>
            <w:rPr>
              <w:rFonts w:ascii="黑体" w:hAnsi="黑体" w:eastAsia="黑体"/>
              <w:color w:val="000000" w:themeColor="text1"/>
              <w:lang w:val="zh-CN"/>
              <w14:textFill>
                <w14:solidFill>
                  <w14:schemeClr w14:val="tx1"/>
                </w14:solidFill>
              </w14:textFill>
            </w:rPr>
            <w:t>录</w:t>
          </w:r>
        </w:p>
        <w:p w14:paraId="5735573E">
          <w:pPr>
            <w:pStyle w:val="27"/>
            <w:tabs>
              <w:tab w:val="right" w:leader="dot" w:pos="9060"/>
            </w:tabs>
            <w:snapToGrid/>
            <w:spacing w:before="142" w:after="142"/>
            <w:contextualSpacing w:val="0"/>
            <w:rPr>
              <w:rFonts w:asciiTheme="minorHAnsi" w:hAnsiTheme="minorHAnsi" w:eastAsiaTheme="minorEastAsia"/>
              <w:bCs w:val="0"/>
              <w:caps w:val="0"/>
              <w:sz w:val="21"/>
              <w:szCs w:val="22"/>
              <w14:ligatures w14:val="standardContextual"/>
            </w:rPr>
          </w:pPr>
          <w:r>
            <w:rPr>
              <w:bCs w:val="0"/>
              <w:caps w:val="0"/>
            </w:rPr>
            <w:fldChar w:fldCharType="begin"/>
          </w:r>
          <w:r>
            <w:rPr>
              <w:bCs w:val="0"/>
              <w:caps w:val="0"/>
            </w:rPr>
            <w:instrText xml:space="preserve"> TOC \o "1-2" \h \z \u </w:instrText>
          </w:r>
          <w:r>
            <w:rPr>
              <w:bCs w:val="0"/>
              <w:caps w:val="0"/>
            </w:rPr>
            <w:fldChar w:fldCharType="separate"/>
          </w:r>
          <w:r>
            <w:fldChar w:fldCharType="begin"/>
          </w:r>
          <w:r>
            <w:instrText xml:space="preserve"> HYPERLINK \l "_Toc167271376" </w:instrText>
          </w:r>
          <w:r>
            <w:fldChar w:fldCharType="separate"/>
          </w:r>
          <w:r>
            <w:rPr>
              <w:rStyle w:val="44"/>
            </w:rPr>
            <w:t>前</w:t>
          </w:r>
          <w:r>
            <w:rPr>
              <w:rStyle w:val="44"/>
              <w:rFonts w:ascii="黑体" w:hAnsi="黑体"/>
            </w:rPr>
            <w:t xml:space="preserve">  </w:t>
          </w:r>
          <w:r>
            <w:rPr>
              <w:rStyle w:val="44"/>
            </w:rPr>
            <w:t>言</w:t>
          </w:r>
          <w:r>
            <w:tab/>
          </w:r>
          <w:r>
            <w:fldChar w:fldCharType="begin"/>
          </w:r>
          <w:r>
            <w:instrText xml:space="preserve"> PAGEREF _Toc167271376 \h </w:instrText>
          </w:r>
          <w:r>
            <w:fldChar w:fldCharType="separate"/>
          </w:r>
          <w:r>
            <w:t>1</w:t>
          </w:r>
          <w:r>
            <w:fldChar w:fldCharType="end"/>
          </w:r>
          <w:r>
            <w:fldChar w:fldCharType="end"/>
          </w:r>
        </w:p>
        <w:p w14:paraId="61E34C38">
          <w:pPr>
            <w:pStyle w:val="27"/>
            <w:tabs>
              <w:tab w:val="right" w:leader="dot" w:pos="9060"/>
            </w:tabs>
            <w:snapToGrid/>
            <w:spacing w:before="142" w:after="142"/>
            <w:contextualSpacing w:val="0"/>
            <w:rPr>
              <w:rFonts w:asciiTheme="minorHAnsi" w:hAnsiTheme="minorHAnsi" w:eastAsiaTheme="minorEastAsia"/>
              <w:bCs w:val="0"/>
              <w:caps w:val="0"/>
              <w:sz w:val="21"/>
              <w:szCs w:val="22"/>
              <w14:ligatures w14:val="standardContextual"/>
            </w:rPr>
          </w:pPr>
          <w:r>
            <w:fldChar w:fldCharType="begin"/>
          </w:r>
          <w:r>
            <w:instrText xml:space="preserve"> HYPERLINK \l "_Toc167271377" </w:instrText>
          </w:r>
          <w:r>
            <w:fldChar w:fldCharType="separate"/>
          </w:r>
          <w:r>
            <w:rPr>
              <w:rStyle w:val="44"/>
            </w:rPr>
            <w:t>第一章 总则</w:t>
          </w:r>
          <w:r>
            <w:tab/>
          </w:r>
          <w:r>
            <w:fldChar w:fldCharType="begin"/>
          </w:r>
          <w:r>
            <w:instrText xml:space="preserve"> PAGEREF _Toc167271377 \h </w:instrText>
          </w:r>
          <w:r>
            <w:fldChar w:fldCharType="separate"/>
          </w:r>
          <w:r>
            <w:t>2</w:t>
          </w:r>
          <w:r>
            <w:fldChar w:fldCharType="end"/>
          </w:r>
          <w:r>
            <w:fldChar w:fldCharType="end"/>
          </w:r>
        </w:p>
        <w:p w14:paraId="7CC0C667">
          <w:pPr>
            <w:pStyle w:val="27"/>
            <w:tabs>
              <w:tab w:val="right" w:leader="dot" w:pos="9060"/>
            </w:tabs>
            <w:snapToGrid/>
            <w:spacing w:before="142" w:after="142"/>
            <w:contextualSpacing w:val="0"/>
            <w:rPr>
              <w:rFonts w:asciiTheme="minorHAnsi" w:hAnsiTheme="minorHAnsi" w:eastAsiaTheme="minorEastAsia"/>
              <w:bCs w:val="0"/>
              <w:caps w:val="0"/>
              <w:sz w:val="21"/>
              <w:szCs w:val="22"/>
              <w14:ligatures w14:val="standardContextual"/>
            </w:rPr>
          </w:pPr>
          <w:r>
            <w:fldChar w:fldCharType="begin"/>
          </w:r>
          <w:r>
            <w:instrText xml:space="preserve"> HYPERLINK \l "_Toc167271378" </w:instrText>
          </w:r>
          <w:r>
            <w:fldChar w:fldCharType="separate"/>
          </w:r>
          <w:r>
            <w:rPr>
              <w:rStyle w:val="44"/>
            </w:rPr>
            <w:t>第二章 现状基础与风险识别</w:t>
          </w:r>
          <w:r>
            <w:tab/>
          </w:r>
          <w:r>
            <w:fldChar w:fldCharType="begin"/>
          </w:r>
          <w:r>
            <w:instrText xml:space="preserve"> PAGEREF _Toc167271378 \h </w:instrText>
          </w:r>
          <w:r>
            <w:fldChar w:fldCharType="separate"/>
          </w:r>
          <w:r>
            <w:t>7</w:t>
          </w:r>
          <w:r>
            <w:fldChar w:fldCharType="end"/>
          </w:r>
          <w:r>
            <w:fldChar w:fldCharType="end"/>
          </w:r>
        </w:p>
        <w:p w14:paraId="639FF4A9">
          <w:pPr>
            <w:pStyle w:val="27"/>
            <w:tabs>
              <w:tab w:val="right" w:leader="dot" w:pos="9060"/>
            </w:tabs>
            <w:snapToGrid/>
            <w:spacing w:before="142" w:after="142"/>
            <w:contextualSpacing w:val="0"/>
            <w:rPr>
              <w:rFonts w:asciiTheme="minorHAnsi" w:hAnsiTheme="minorHAnsi" w:eastAsiaTheme="minorEastAsia"/>
              <w:bCs w:val="0"/>
              <w:caps w:val="0"/>
              <w:sz w:val="21"/>
              <w:szCs w:val="22"/>
              <w14:ligatures w14:val="standardContextual"/>
            </w:rPr>
          </w:pPr>
          <w:r>
            <w:fldChar w:fldCharType="begin"/>
          </w:r>
          <w:r>
            <w:instrText xml:space="preserve"> HYPERLINK \l "_Toc167271379" </w:instrText>
          </w:r>
          <w:r>
            <w:fldChar w:fldCharType="separate"/>
          </w:r>
          <w:r>
            <w:rPr>
              <w:rStyle w:val="44"/>
            </w:rPr>
            <w:t>第三章 目标定位与空间策略</w:t>
          </w:r>
          <w:r>
            <w:tab/>
          </w:r>
          <w:r>
            <w:fldChar w:fldCharType="begin"/>
          </w:r>
          <w:r>
            <w:instrText xml:space="preserve"> PAGEREF _Toc167271379 \h </w:instrText>
          </w:r>
          <w:r>
            <w:fldChar w:fldCharType="separate"/>
          </w:r>
          <w:r>
            <w:t>9</w:t>
          </w:r>
          <w:r>
            <w:fldChar w:fldCharType="end"/>
          </w:r>
          <w:r>
            <w:fldChar w:fldCharType="end"/>
          </w:r>
        </w:p>
        <w:p w14:paraId="3B415062">
          <w:pPr>
            <w:pStyle w:val="27"/>
            <w:tabs>
              <w:tab w:val="right" w:leader="dot" w:pos="9060"/>
            </w:tabs>
            <w:snapToGrid/>
            <w:spacing w:before="81" w:beforeLines="20" w:after="81" w:afterLines="20"/>
            <w:contextualSpacing w:val="0"/>
            <w:rPr>
              <w:rFonts w:asciiTheme="minorHAnsi" w:hAnsiTheme="minorHAnsi" w:eastAsiaTheme="minorEastAsia"/>
              <w:bCs w:val="0"/>
              <w:caps w:val="0"/>
              <w:sz w:val="21"/>
              <w:szCs w:val="22"/>
              <w14:ligatures w14:val="standardContextual"/>
            </w:rPr>
          </w:pPr>
          <w:r>
            <w:fldChar w:fldCharType="begin"/>
          </w:r>
          <w:r>
            <w:instrText xml:space="preserve"> HYPERLINK \l "_Toc167271380" </w:instrText>
          </w:r>
          <w:r>
            <w:fldChar w:fldCharType="separate"/>
          </w:r>
          <w:r>
            <w:rPr>
              <w:rStyle w:val="44"/>
            </w:rPr>
            <w:t>第四章 构建国土空间开发保护格局</w:t>
          </w:r>
          <w:r>
            <w:tab/>
          </w:r>
          <w:r>
            <w:fldChar w:fldCharType="begin"/>
          </w:r>
          <w:r>
            <w:instrText xml:space="preserve"> PAGEREF _Toc167271380 \h </w:instrText>
          </w:r>
          <w:r>
            <w:fldChar w:fldCharType="separate"/>
          </w:r>
          <w:r>
            <w:t>12</w:t>
          </w:r>
          <w:r>
            <w:fldChar w:fldCharType="end"/>
          </w:r>
          <w:r>
            <w:fldChar w:fldCharType="end"/>
          </w:r>
        </w:p>
        <w:p w14:paraId="3CE855B6">
          <w:pPr>
            <w:pStyle w:val="32"/>
            <w:tabs>
              <w:tab w:val="right" w:leader="dot" w:pos="9060"/>
            </w:tabs>
            <w:ind w:firstLine="480"/>
            <w:rPr>
              <w:rFonts w:asciiTheme="minorHAnsi" w:hAnsiTheme="minorHAnsi" w:eastAsiaTheme="minorEastAsia"/>
              <w:smallCaps w:val="0"/>
              <w:sz w:val="21"/>
              <w:szCs w:val="22"/>
              <w14:ligatures w14:val="standardContextual"/>
            </w:rPr>
          </w:pPr>
          <w:r>
            <w:fldChar w:fldCharType="begin"/>
          </w:r>
          <w:r>
            <w:instrText xml:space="preserve"> HYPERLINK \l "_Toc167271381" </w:instrText>
          </w:r>
          <w:r>
            <w:fldChar w:fldCharType="separate"/>
          </w:r>
          <w:r>
            <w:rPr>
              <w:rStyle w:val="44"/>
            </w:rPr>
            <w:t>第一节 三条控制线划定与管控</w:t>
          </w:r>
          <w:r>
            <w:tab/>
          </w:r>
          <w:r>
            <w:fldChar w:fldCharType="begin"/>
          </w:r>
          <w:r>
            <w:instrText xml:space="preserve"> PAGEREF _Toc167271381 \h </w:instrText>
          </w:r>
          <w:r>
            <w:fldChar w:fldCharType="separate"/>
          </w:r>
          <w:r>
            <w:t>12</w:t>
          </w:r>
          <w:r>
            <w:fldChar w:fldCharType="end"/>
          </w:r>
          <w:r>
            <w:fldChar w:fldCharType="end"/>
          </w:r>
        </w:p>
        <w:p w14:paraId="286F8F22">
          <w:pPr>
            <w:pStyle w:val="32"/>
            <w:tabs>
              <w:tab w:val="right" w:leader="dot" w:pos="9060"/>
            </w:tabs>
            <w:ind w:firstLine="480"/>
            <w:rPr>
              <w:rFonts w:asciiTheme="minorHAnsi" w:hAnsiTheme="minorHAnsi" w:eastAsiaTheme="minorEastAsia"/>
              <w:smallCaps w:val="0"/>
              <w:sz w:val="21"/>
              <w:szCs w:val="22"/>
              <w14:ligatures w14:val="standardContextual"/>
            </w:rPr>
          </w:pPr>
          <w:r>
            <w:fldChar w:fldCharType="begin"/>
          </w:r>
          <w:r>
            <w:instrText xml:space="preserve"> HYPERLINK \l "_Toc167271382" </w:instrText>
          </w:r>
          <w:r>
            <w:fldChar w:fldCharType="separate"/>
          </w:r>
          <w:r>
            <w:rPr>
              <w:rStyle w:val="44"/>
            </w:rPr>
            <w:t>第二节 国土空间开发保护格局</w:t>
          </w:r>
          <w:r>
            <w:tab/>
          </w:r>
          <w:r>
            <w:fldChar w:fldCharType="begin"/>
          </w:r>
          <w:r>
            <w:instrText xml:space="preserve"> PAGEREF _Toc167271382 \h </w:instrText>
          </w:r>
          <w:r>
            <w:fldChar w:fldCharType="separate"/>
          </w:r>
          <w:r>
            <w:t>13</w:t>
          </w:r>
          <w:r>
            <w:fldChar w:fldCharType="end"/>
          </w:r>
          <w:r>
            <w:fldChar w:fldCharType="end"/>
          </w:r>
        </w:p>
        <w:p w14:paraId="234710ED">
          <w:pPr>
            <w:pStyle w:val="32"/>
            <w:tabs>
              <w:tab w:val="right" w:leader="dot" w:pos="9060"/>
            </w:tabs>
            <w:ind w:firstLine="480"/>
            <w:rPr>
              <w:rFonts w:asciiTheme="minorHAnsi" w:hAnsiTheme="minorHAnsi" w:eastAsiaTheme="minorEastAsia"/>
              <w:smallCaps w:val="0"/>
              <w:sz w:val="21"/>
              <w:szCs w:val="22"/>
              <w14:ligatures w14:val="standardContextual"/>
            </w:rPr>
          </w:pPr>
          <w:r>
            <w:fldChar w:fldCharType="begin"/>
          </w:r>
          <w:r>
            <w:instrText xml:space="preserve"> HYPERLINK \l "_Toc167271383" </w:instrText>
          </w:r>
          <w:r>
            <w:fldChar w:fldCharType="separate"/>
          </w:r>
          <w:r>
            <w:rPr>
              <w:rStyle w:val="44"/>
            </w:rPr>
            <w:t>第三节 国土空间规划分区与用途结构</w:t>
          </w:r>
          <w:r>
            <w:tab/>
          </w:r>
          <w:r>
            <w:fldChar w:fldCharType="begin"/>
          </w:r>
          <w:r>
            <w:instrText xml:space="preserve"> PAGEREF _Toc167271383 \h </w:instrText>
          </w:r>
          <w:r>
            <w:fldChar w:fldCharType="separate"/>
          </w:r>
          <w:r>
            <w:t>15</w:t>
          </w:r>
          <w:r>
            <w:fldChar w:fldCharType="end"/>
          </w:r>
          <w:r>
            <w:fldChar w:fldCharType="end"/>
          </w:r>
        </w:p>
        <w:p w14:paraId="039554DA">
          <w:pPr>
            <w:pStyle w:val="27"/>
            <w:tabs>
              <w:tab w:val="right" w:leader="dot" w:pos="9060"/>
            </w:tabs>
            <w:snapToGrid/>
            <w:spacing w:before="142" w:after="142"/>
            <w:contextualSpacing w:val="0"/>
            <w:rPr>
              <w:rFonts w:asciiTheme="minorHAnsi" w:hAnsiTheme="minorHAnsi" w:eastAsiaTheme="minorEastAsia"/>
              <w:bCs w:val="0"/>
              <w:caps w:val="0"/>
              <w:sz w:val="21"/>
              <w:szCs w:val="22"/>
              <w14:ligatures w14:val="standardContextual"/>
            </w:rPr>
          </w:pPr>
          <w:r>
            <w:fldChar w:fldCharType="begin"/>
          </w:r>
          <w:r>
            <w:instrText xml:space="preserve"> HYPERLINK \l "_Toc167271384" </w:instrText>
          </w:r>
          <w:r>
            <w:fldChar w:fldCharType="separate"/>
          </w:r>
          <w:r>
            <w:rPr>
              <w:rStyle w:val="44"/>
            </w:rPr>
            <w:t>第五章 营造精致高效的农业空间</w:t>
          </w:r>
          <w:r>
            <w:tab/>
          </w:r>
          <w:r>
            <w:fldChar w:fldCharType="begin"/>
          </w:r>
          <w:r>
            <w:instrText xml:space="preserve"> PAGEREF _Toc167271384 \h </w:instrText>
          </w:r>
          <w:r>
            <w:fldChar w:fldCharType="separate"/>
          </w:r>
          <w:r>
            <w:t>18</w:t>
          </w:r>
          <w:r>
            <w:fldChar w:fldCharType="end"/>
          </w:r>
          <w:r>
            <w:fldChar w:fldCharType="end"/>
          </w:r>
        </w:p>
        <w:p w14:paraId="0B86F5F4">
          <w:pPr>
            <w:pStyle w:val="32"/>
            <w:tabs>
              <w:tab w:val="right" w:leader="dot" w:pos="9060"/>
            </w:tabs>
            <w:ind w:firstLine="480"/>
            <w:rPr>
              <w:rFonts w:asciiTheme="minorHAnsi" w:hAnsiTheme="minorHAnsi" w:eastAsiaTheme="minorEastAsia"/>
              <w:smallCaps w:val="0"/>
              <w:sz w:val="21"/>
              <w:szCs w:val="22"/>
              <w14:ligatures w14:val="standardContextual"/>
            </w:rPr>
          </w:pPr>
          <w:r>
            <w:fldChar w:fldCharType="begin"/>
          </w:r>
          <w:r>
            <w:instrText xml:space="preserve"> HYPERLINK \l "_Toc167271385" </w:instrText>
          </w:r>
          <w:r>
            <w:fldChar w:fldCharType="separate"/>
          </w:r>
          <w:r>
            <w:rPr>
              <w:rStyle w:val="44"/>
            </w:rPr>
            <w:t>第一节 优化农业空间格局</w:t>
          </w:r>
          <w:r>
            <w:tab/>
          </w:r>
          <w:r>
            <w:fldChar w:fldCharType="begin"/>
          </w:r>
          <w:r>
            <w:instrText xml:space="preserve"> PAGEREF _Toc167271385 \h </w:instrText>
          </w:r>
          <w:r>
            <w:fldChar w:fldCharType="separate"/>
          </w:r>
          <w:r>
            <w:t>18</w:t>
          </w:r>
          <w:r>
            <w:fldChar w:fldCharType="end"/>
          </w:r>
          <w:r>
            <w:fldChar w:fldCharType="end"/>
          </w:r>
        </w:p>
        <w:p w14:paraId="7FCAC3A8">
          <w:pPr>
            <w:pStyle w:val="32"/>
            <w:tabs>
              <w:tab w:val="right" w:leader="dot" w:pos="9060"/>
            </w:tabs>
            <w:ind w:firstLine="480"/>
            <w:rPr>
              <w:rFonts w:asciiTheme="minorHAnsi" w:hAnsiTheme="minorHAnsi" w:eastAsiaTheme="minorEastAsia"/>
              <w:smallCaps w:val="0"/>
              <w:sz w:val="21"/>
              <w:szCs w:val="22"/>
              <w14:ligatures w14:val="standardContextual"/>
            </w:rPr>
          </w:pPr>
          <w:r>
            <w:fldChar w:fldCharType="begin"/>
          </w:r>
          <w:r>
            <w:instrText xml:space="preserve"> HYPERLINK \l "_Toc167271386" </w:instrText>
          </w:r>
          <w:r>
            <w:fldChar w:fldCharType="separate"/>
          </w:r>
          <w:r>
            <w:rPr>
              <w:rStyle w:val="44"/>
            </w:rPr>
            <w:t>第二节 严格保护耕地</w:t>
          </w:r>
          <w:r>
            <w:tab/>
          </w:r>
          <w:r>
            <w:fldChar w:fldCharType="begin"/>
          </w:r>
          <w:r>
            <w:instrText xml:space="preserve"> PAGEREF _Toc167271386 \h </w:instrText>
          </w:r>
          <w:r>
            <w:fldChar w:fldCharType="separate"/>
          </w:r>
          <w:r>
            <w:t>19</w:t>
          </w:r>
          <w:r>
            <w:fldChar w:fldCharType="end"/>
          </w:r>
          <w:r>
            <w:fldChar w:fldCharType="end"/>
          </w:r>
        </w:p>
        <w:p w14:paraId="6C855D09">
          <w:pPr>
            <w:pStyle w:val="32"/>
            <w:tabs>
              <w:tab w:val="right" w:leader="dot" w:pos="9060"/>
            </w:tabs>
            <w:ind w:firstLine="480"/>
            <w:rPr>
              <w:rFonts w:asciiTheme="minorHAnsi" w:hAnsiTheme="minorHAnsi" w:eastAsiaTheme="minorEastAsia"/>
              <w:smallCaps w:val="0"/>
              <w:sz w:val="21"/>
              <w:szCs w:val="22"/>
              <w14:ligatures w14:val="standardContextual"/>
            </w:rPr>
          </w:pPr>
          <w:r>
            <w:fldChar w:fldCharType="begin"/>
          </w:r>
          <w:r>
            <w:instrText xml:space="preserve"> HYPERLINK \l "_Toc167271387" </w:instrText>
          </w:r>
          <w:r>
            <w:fldChar w:fldCharType="separate"/>
          </w:r>
          <w:r>
            <w:rPr>
              <w:rStyle w:val="44"/>
            </w:rPr>
            <w:t>第三节 建设美丽宜居的乡村生活空间</w:t>
          </w:r>
          <w:r>
            <w:tab/>
          </w:r>
          <w:r>
            <w:fldChar w:fldCharType="begin"/>
          </w:r>
          <w:r>
            <w:instrText xml:space="preserve"> PAGEREF _Toc167271387 \h </w:instrText>
          </w:r>
          <w:r>
            <w:fldChar w:fldCharType="separate"/>
          </w:r>
          <w:r>
            <w:t>20</w:t>
          </w:r>
          <w:r>
            <w:fldChar w:fldCharType="end"/>
          </w:r>
          <w:r>
            <w:fldChar w:fldCharType="end"/>
          </w:r>
        </w:p>
        <w:p w14:paraId="54E701A1">
          <w:pPr>
            <w:pStyle w:val="32"/>
            <w:tabs>
              <w:tab w:val="right" w:leader="dot" w:pos="9060"/>
            </w:tabs>
            <w:ind w:firstLine="480"/>
            <w:rPr>
              <w:rFonts w:asciiTheme="minorHAnsi" w:hAnsiTheme="minorHAnsi" w:eastAsiaTheme="minorEastAsia"/>
              <w:smallCaps w:val="0"/>
              <w:sz w:val="21"/>
              <w:szCs w:val="22"/>
              <w14:ligatures w14:val="standardContextual"/>
            </w:rPr>
          </w:pPr>
          <w:r>
            <w:fldChar w:fldCharType="begin"/>
          </w:r>
          <w:r>
            <w:instrText xml:space="preserve"> HYPERLINK \l "_Toc167271388" </w:instrText>
          </w:r>
          <w:r>
            <w:fldChar w:fldCharType="separate"/>
          </w:r>
          <w:r>
            <w:rPr>
              <w:rStyle w:val="44"/>
            </w:rPr>
            <w:t>第四节 保障乡村产业空间</w:t>
          </w:r>
          <w:r>
            <w:tab/>
          </w:r>
          <w:r>
            <w:fldChar w:fldCharType="begin"/>
          </w:r>
          <w:r>
            <w:instrText xml:space="preserve"> PAGEREF _Toc167271388 \h </w:instrText>
          </w:r>
          <w:r>
            <w:fldChar w:fldCharType="separate"/>
          </w:r>
          <w:r>
            <w:t>23</w:t>
          </w:r>
          <w:r>
            <w:fldChar w:fldCharType="end"/>
          </w:r>
          <w:r>
            <w:fldChar w:fldCharType="end"/>
          </w:r>
        </w:p>
        <w:p w14:paraId="3AB09894">
          <w:pPr>
            <w:pStyle w:val="32"/>
            <w:tabs>
              <w:tab w:val="right" w:leader="dot" w:pos="9060"/>
            </w:tabs>
            <w:ind w:firstLine="480"/>
            <w:rPr>
              <w:rFonts w:asciiTheme="minorHAnsi" w:hAnsiTheme="minorHAnsi" w:eastAsiaTheme="minorEastAsia"/>
              <w:smallCaps w:val="0"/>
              <w:sz w:val="21"/>
              <w:szCs w:val="22"/>
              <w14:ligatures w14:val="standardContextual"/>
            </w:rPr>
          </w:pPr>
          <w:r>
            <w:fldChar w:fldCharType="begin"/>
          </w:r>
          <w:r>
            <w:instrText xml:space="preserve"> HYPERLINK \l "_Toc167271389" </w:instrText>
          </w:r>
          <w:r>
            <w:fldChar w:fldCharType="separate"/>
          </w:r>
          <w:r>
            <w:rPr>
              <w:rStyle w:val="44"/>
            </w:rPr>
            <w:t>第五节 支撑城乡高质量融合发展</w:t>
          </w:r>
          <w:r>
            <w:tab/>
          </w:r>
          <w:r>
            <w:fldChar w:fldCharType="begin"/>
          </w:r>
          <w:r>
            <w:instrText xml:space="preserve"> PAGEREF _Toc167271389 \h </w:instrText>
          </w:r>
          <w:r>
            <w:fldChar w:fldCharType="separate"/>
          </w:r>
          <w:r>
            <w:t>25</w:t>
          </w:r>
          <w:r>
            <w:fldChar w:fldCharType="end"/>
          </w:r>
          <w:r>
            <w:fldChar w:fldCharType="end"/>
          </w:r>
        </w:p>
        <w:p w14:paraId="561C8852">
          <w:pPr>
            <w:pStyle w:val="27"/>
            <w:tabs>
              <w:tab w:val="right" w:leader="dot" w:pos="9060"/>
            </w:tabs>
            <w:snapToGrid/>
            <w:spacing w:before="142" w:after="142"/>
            <w:contextualSpacing w:val="0"/>
            <w:rPr>
              <w:rFonts w:asciiTheme="minorHAnsi" w:hAnsiTheme="minorHAnsi" w:eastAsiaTheme="minorEastAsia"/>
              <w:bCs w:val="0"/>
              <w:caps w:val="0"/>
              <w:sz w:val="21"/>
              <w:szCs w:val="22"/>
              <w14:ligatures w14:val="standardContextual"/>
            </w:rPr>
          </w:pPr>
          <w:r>
            <w:fldChar w:fldCharType="begin"/>
          </w:r>
          <w:r>
            <w:instrText xml:space="preserve"> HYPERLINK \l "_Toc167271390" </w:instrText>
          </w:r>
          <w:r>
            <w:fldChar w:fldCharType="separate"/>
          </w:r>
          <w:r>
            <w:rPr>
              <w:rStyle w:val="44"/>
            </w:rPr>
            <w:t>第六章 塑造山明水秀的生态空间</w:t>
          </w:r>
          <w:r>
            <w:tab/>
          </w:r>
          <w:r>
            <w:fldChar w:fldCharType="begin"/>
          </w:r>
          <w:r>
            <w:instrText xml:space="preserve"> PAGEREF _Toc167271390 \h </w:instrText>
          </w:r>
          <w:r>
            <w:fldChar w:fldCharType="separate"/>
          </w:r>
          <w:r>
            <w:t>28</w:t>
          </w:r>
          <w:r>
            <w:fldChar w:fldCharType="end"/>
          </w:r>
          <w:r>
            <w:fldChar w:fldCharType="end"/>
          </w:r>
        </w:p>
        <w:p w14:paraId="2CD041D6">
          <w:pPr>
            <w:pStyle w:val="32"/>
            <w:tabs>
              <w:tab w:val="right" w:leader="dot" w:pos="9060"/>
            </w:tabs>
            <w:ind w:firstLine="480"/>
            <w:rPr>
              <w:rFonts w:asciiTheme="minorHAnsi" w:hAnsiTheme="minorHAnsi" w:eastAsiaTheme="minorEastAsia"/>
              <w:smallCaps w:val="0"/>
              <w:sz w:val="21"/>
              <w:szCs w:val="22"/>
              <w14:ligatures w14:val="standardContextual"/>
            </w:rPr>
          </w:pPr>
          <w:r>
            <w:fldChar w:fldCharType="begin"/>
          </w:r>
          <w:r>
            <w:instrText xml:space="preserve"> HYPERLINK \l "_Toc167271391" </w:instrText>
          </w:r>
          <w:r>
            <w:fldChar w:fldCharType="separate"/>
          </w:r>
          <w:r>
            <w:rPr>
              <w:rStyle w:val="44"/>
            </w:rPr>
            <w:t>第一节 生态保护格局与管控要求</w:t>
          </w:r>
          <w:r>
            <w:tab/>
          </w:r>
          <w:r>
            <w:fldChar w:fldCharType="begin"/>
          </w:r>
          <w:r>
            <w:instrText xml:space="preserve"> PAGEREF _Toc167271391 \h </w:instrText>
          </w:r>
          <w:r>
            <w:fldChar w:fldCharType="separate"/>
          </w:r>
          <w:r>
            <w:t>28</w:t>
          </w:r>
          <w:r>
            <w:fldChar w:fldCharType="end"/>
          </w:r>
          <w:r>
            <w:fldChar w:fldCharType="end"/>
          </w:r>
        </w:p>
        <w:p w14:paraId="30D8368F">
          <w:pPr>
            <w:pStyle w:val="32"/>
            <w:tabs>
              <w:tab w:val="right" w:leader="dot" w:pos="9060"/>
            </w:tabs>
            <w:ind w:firstLine="480"/>
            <w:rPr>
              <w:rFonts w:asciiTheme="minorHAnsi" w:hAnsiTheme="minorHAnsi" w:eastAsiaTheme="minorEastAsia"/>
              <w:smallCaps w:val="0"/>
              <w:sz w:val="21"/>
              <w:szCs w:val="22"/>
              <w14:ligatures w14:val="standardContextual"/>
            </w:rPr>
          </w:pPr>
          <w:r>
            <w:fldChar w:fldCharType="begin"/>
          </w:r>
          <w:r>
            <w:instrText xml:space="preserve"> HYPERLINK \l "_Toc167271392" </w:instrText>
          </w:r>
          <w:r>
            <w:fldChar w:fldCharType="separate"/>
          </w:r>
          <w:r>
            <w:rPr>
              <w:rStyle w:val="44"/>
            </w:rPr>
            <w:t>第二节 强化生物多样性保护</w:t>
          </w:r>
          <w:r>
            <w:tab/>
          </w:r>
          <w:r>
            <w:fldChar w:fldCharType="begin"/>
          </w:r>
          <w:r>
            <w:instrText xml:space="preserve"> PAGEREF _Toc167271392 \h </w:instrText>
          </w:r>
          <w:r>
            <w:fldChar w:fldCharType="separate"/>
          </w:r>
          <w:r>
            <w:t>30</w:t>
          </w:r>
          <w:r>
            <w:fldChar w:fldCharType="end"/>
          </w:r>
          <w:r>
            <w:fldChar w:fldCharType="end"/>
          </w:r>
        </w:p>
        <w:p w14:paraId="50FFCCFF">
          <w:pPr>
            <w:pStyle w:val="32"/>
            <w:tabs>
              <w:tab w:val="right" w:leader="dot" w:pos="9060"/>
            </w:tabs>
            <w:ind w:firstLine="480"/>
            <w:rPr>
              <w:rFonts w:asciiTheme="minorHAnsi" w:hAnsiTheme="minorHAnsi" w:eastAsiaTheme="minorEastAsia"/>
              <w:smallCaps w:val="0"/>
              <w:sz w:val="21"/>
              <w:szCs w:val="22"/>
              <w14:ligatures w14:val="standardContextual"/>
            </w:rPr>
          </w:pPr>
          <w:r>
            <w:fldChar w:fldCharType="begin"/>
          </w:r>
          <w:r>
            <w:instrText xml:space="preserve"> HYPERLINK \l "_Toc167271393" </w:instrText>
          </w:r>
          <w:r>
            <w:fldChar w:fldCharType="separate"/>
          </w:r>
          <w:r>
            <w:rPr>
              <w:rStyle w:val="44"/>
            </w:rPr>
            <w:t>第三节 保护丹霞山特色资源</w:t>
          </w:r>
          <w:r>
            <w:tab/>
          </w:r>
          <w:r>
            <w:fldChar w:fldCharType="begin"/>
          </w:r>
          <w:r>
            <w:instrText xml:space="preserve"> PAGEREF _Toc167271393 \h </w:instrText>
          </w:r>
          <w:r>
            <w:fldChar w:fldCharType="separate"/>
          </w:r>
          <w:r>
            <w:t>30</w:t>
          </w:r>
          <w:r>
            <w:fldChar w:fldCharType="end"/>
          </w:r>
          <w:r>
            <w:fldChar w:fldCharType="end"/>
          </w:r>
        </w:p>
        <w:p w14:paraId="448E79FC">
          <w:pPr>
            <w:pStyle w:val="27"/>
            <w:tabs>
              <w:tab w:val="right" w:leader="dot" w:pos="9060"/>
            </w:tabs>
            <w:snapToGrid/>
            <w:spacing w:before="142" w:after="142"/>
            <w:contextualSpacing w:val="0"/>
            <w:rPr>
              <w:rFonts w:asciiTheme="minorHAnsi" w:hAnsiTheme="minorHAnsi" w:eastAsiaTheme="minorEastAsia"/>
              <w:bCs w:val="0"/>
              <w:caps w:val="0"/>
              <w:sz w:val="21"/>
              <w:szCs w:val="22"/>
              <w14:ligatures w14:val="standardContextual"/>
            </w:rPr>
          </w:pPr>
          <w:r>
            <w:fldChar w:fldCharType="begin"/>
          </w:r>
          <w:r>
            <w:instrText xml:space="preserve"> HYPERLINK \l "_Toc167271394" </w:instrText>
          </w:r>
          <w:r>
            <w:fldChar w:fldCharType="separate"/>
          </w:r>
          <w:r>
            <w:rPr>
              <w:rStyle w:val="44"/>
            </w:rPr>
            <w:t>第七章 打造集约高效的城镇空间</w:t>
          </w:r>
          <w:r>
            <w:tab/>
          </w:r>
          <w:r>
            <w:fldChar w:fldCharType="begin"/>
          </w:r>
          <w:r>
            <w:instrText xml:space="preserve"> PAGEREF _Toc167271394 \h </w:instrText>
          </w:r>
          <w:r>
            <w:fldChar w:fldCharType="separate"/>
          </w:r>
          <w:r>
            <w:t>33</w:t>
          </w:r>
          <w:r>
            <w:fldChar w:fldCharType="end"/>
          </w:r>
          <w:r>
            <w:fldChar w:fldCharType="end"/>
          </w:r>
        </w:p>
        <w:p w14:paraId="6DADF776">
          <w:pPr>
            <w:pStyle w:val="32"/>
            <w:tabs>
              <w:tab w:val="right" w:leader="dot" w:pos="9060"/>
            </w:tabs>
            <w:ind w:firstLine="480"/>
            <w:rPr>
              <w:rFonts w:asciiTheme="minorHAnsi" w:hAnsiTheme="minorHAnsi" w:eastAsiaTheme="minorEastAsia"/>
              <w:smallCaps w:val="0"/>
              <w:sz w:val="21"/>
              <w:szCs w:val="22"/>
              <w14:ligatures w14:val="standardContextual"/>
            </w:rPr>
          </w:pPr>
          <w:r>
            <w:fldChar w:fldCharType="begin"/>
          </w:r>
          <w:r>
            <w:instrText xml:space="preserve"> HYPERLINK \l "_Toc167271395" </w:instrText>
          </w:r>
          <w:r>
            <w:fldChar w:fldCharType="separate"/>
          </w:r>
          <w:r>
            <w:rPr>
              <w:rStyle w:val="44"/>
            </w:rPr>
            <w:t>第一节 完善城镇体系布局</w:t>
          </w:r>
          <w:r>
            <w:tab/>
          </w:r>
          <w:r>
            <w:fldChar w:fldCharType="begin"/>
          </w:r>
          <w:r>
            <w:instrText xml:space="preserve"> PAGEREF _Toc167271395 \h </w:instrText>
          </w:r>
          <w:r>
            <w:fldChar w:fldCharType="separate"/>
          </w:r>
          <w:r>
            <w:t>33</w:t>
          </w:r>
          <w:r>
            <w:fldChar w:fldCharType="end"/>
          </w:r>
          <w:r>
            <w:fldChar w:fldCharType="end"/>
          </w:r>
        </w:p>
        <w:p w14:paraId="4DBDF402">
          <w:pPr>
            <w:pStyle w:val="32"/>
            <w:tabs>
              <w:tab w:val="right" w:leader="dot" w:pos="9060"/>
            </w:tabs>
            <w:ind w:firstLine="480"/>
            <w:rPr>
              <w:rFonts w:asciiTheme="minorHAnsi" w:hAnsiTheme="minorHAnsi" w:eastAsiaTheme="minorEastAsia"/>
              <w:smallCaps w:val="0"/>
              <w:sz w:val="21"/>
              <w:szCs w:val="22"/>
              <w14:ligatures w14:val="standardContextual"/>
            </w:rPr>
          </w:pPr>
          <w:r>
            <w:fldChar w:fldCharType="begin"/>
          </w:r>
          <w:r>
            <w:instrText xml:space="preserve"> HYPERLINK \l "_Toc167271396" </w:instrText>
          </w:r>
          <w:r>
            <w:fldChar w:fldCharType="separate"/>
          </w:r>
          <w:r>
            <w:rPr>
              <w:rStyle w:val="44"/>
            </w:rPr>
            <w:t>第二节 强化建设用地管控</w:t>
          </w:r>
          <w:r>
            <w:tab/>
          </w:r>
          <w:r>
            <w:fldChar w:fldCharType="begin"/>
          </w:r>
          <w:r>
            <w:instrText xml:space="preserve"> PAGEREF _Toc167271396 \h </w:instrText>
          </w:r>
          <w:r>
            <w:fldChar w:fldCharType="separate"/>
          </w:r>
          <w:r>
            <w:t>36</w:t>
          </w:r>
          <w:r>
            <w:fldChar w:fldCharType="end"/>
          </w:r>
          <w:r>
            <w:fldChar w:fldCharType="end"/>
          </w:r>
        </w:p>
        <w:p w14:paraId="3D4BDEEC">
          <w:pPr>
            <w:pStyle w:val="32"/>
            <w:tabs>
              <w:tab w:val="right" w:leader="dot" w:pos="9060"/>
            </w:tabs>
            <w:ind w:firstLine="480"/>
            <w:rPr>
              <w:rFonts w:asciiTheme="minorHAnsi" w:hAnsiTheme="minorHAnsi" w:eastAsiaTheme="minorEastAsia"/>
              <w:smallCaps w:val="0"/>
              <w:sz w:val="21"/>
              <w:szCs w:val="22"/>
              <w14:ligatures w14:val="standardContextual"/>
            </w:rPr>
          </w:pPr>
          <w:r>
            <w:fldChar w:fldCharType="begin"/>
          </w:r>
          <w:r>
            <w:instrText xml:space="preserve"> HYPERLINK \l "_Toc167271397" </w:instrText>
          </w:r>
          <w:r>
            <w:fldChar w:fldCharType="separate"/>
          </w:r>
          <w:r>
            <w:rPr>
              <w:rStyle w:val="44"/>
            </w:rPr>
            <w:t>第三节 产业空间布局与空间保障</w:t>
          </w:r>
          <w:r>
            <w:tab/>
          </w:r>
          <w:r>
            <w:fldChar w:fldCharType="begin"/>
          </w:r>
          <w:r>
            <w:instrText xml:space="preserve"> PAGEREF _Toc167271397 \h </w:instrText>
          </w:r>
          <w:r>
            <w:fldChar w:fldCharType="separate"/>
          </w:r>
          <w:r>
            <w:t>36</w:t>
          </w:r>
          <w:r>
            <w:fldChar w:fldCharType="end"/>
          </w:r>
          <w:r>
            <w:fldChar w:fldCharType="end"/>
          </w:r>
        </w:p>
        <w:p w14:paraId="06286905">
          <w:pPr>
            <w:pStyle w:val="32"/>
            <w:tabs>
              <w:tab w:val="right" w:leader="dot" w:pos="9060"/>
            </w:tabs>
            <w:ind w:firstLine="480"/>
            <w:rPr>
              <w:rFonts w:asciiTheme="minorHAnsi" w:hAnsiTheme="minorHAnsi" w:eastAsiaTheme="minorEastAsia"/>
              <w:smallCaps w:val="0"/>
              <w:sz w:val="21"/>
              <w:szCs w:val="22"/>
              <w14:ligatures w14:val="standardContextual"/>
            </w:rPr>
          </w:pPr>
          <w:r>
            <w:fldChar w:fldCharType="begin"/>
          </w:r>
          <w:r>
            <w:instrText xml:space="preserve"> HYPERLINK \l "_Toc167271398" </w:instrText>
          </w:r>
          <w:r>
            <w:fldChar w:fldCharType="separate"/>
          </w:r>
          <w:r>
            <w:rPr>
              <w:rStyle w:val="44"/>
            </w:rPr>
            <w:t>第四节 居住空间与公共服务</w:t>
          </w:r>
          <w:r>
            <w:tab/>
          </w:r>
          <w:r>
            <w:fldChar w:fldCharType="begin"/>
          </w:r>
          <w:r>
            <w:instrText xml:space="preserve"> PAGEREF _Toc167271398 \h </w:instrText>
          </w:r>
          <w:r>
            <w:fldChar w:fldCharType="separate"/>
          </w:r>
          <w:r>
            <w:t>39</w:t>
          </w:r>
          <w:r>
            <w:fldChar w:fldCharType="end"/>
          </w:r>
          <w:r>
            <w:fldChar w:fldCharType="end"/>
          </w:r>
        </w:p>
        <w:p w14:paraId="2DB7AF0F">
          <w:pPr>
            <w:pStyle w:val="32"/>
            <w:tabs>
              <w:tab w:val="right" w:leader="dot" w:pos="9060"/>
            </w:tabs>
            <w:ind w:firstLine="480"/>
            <w:rPr>
              <w:rFonts w:asciiTheme="minorHAnsi" w:hAnsiTheme="minorHAnsi" w:eastAsiaTheme="minorEastAsia"/>
              <w:smallCaps w:val="0"/>
              <w:sz w:val="21"/>
              <w:szCs w:val="22"/>
              <w14:ligatures w14:val="standardContextual"/>
            </w:rPr>
          </w:pPr>
          <w:r>
            <w:fldChar w:fldCharType="begin"/>
          </w:r>
          <w:r>
            <w:instrText xml:space="preserve"> HYPERLINK \l "_Toc167271399" </w:instrText>
          </w:r>
          <w:r>
            <w:fldChar w:fldCharType="separate"/>
          </w:r>
          <w:r>
            <w:rPr>
              <w:rStyle w:val="44"/>
            </w:rPr>
            <w:t>第五节 提升城镇空间品质</w:t>
          </w:r>
          <w:r>
            <w:tab/>
          </w:r>
          <w:r>
            <w:fldChar w:fldCharType="begin"/>
          </w:r>
          <w:r>
            <w:instrText xml:space="preserve"> PAGEREF _Toc167271399 \h </w:instrText>
          </w:r>
          <w:r>
            <w:fldChar w:fldCharType="separate"/>
          </w:r>
          <w:r>
            <w:t>44</w:t>
          </w:r>
          <w:r>
            <w:fldChar w:fldCharType="end"/>
          </w:r>
          <w:r>
            <w:fldChar w:fldCharType="end"/>
          </w:r>
        </w:p>
        <w:p w14:paraId="596FC005">
          <w:pPr>
            <w:pStyle w:val="27"/>
            <w:tabs>
              <w:tab w:val="right" w:leader="dot" w:pos="9060"/>
            </w:tabs>
            <w:snapToGrid/>
            <w:spacing w:before="142" w:after="142"/>
            <w:contextualSpacing w:val="0"/>
            <w:rPr>
              <w:rFonts w:asciiTheme="minorHAnsi" w:hAnsiTheme="minorHAnsi" w:eastAsiaTheme="minorEastAsia"/>
              <w:bCs w:val="0"/>
              <w:caps w:val="0"/>
              <w:sz w:val="21"/>
              <w:szCs w:val="22"/>
              <w14:ligatures w14:val="standardContextual"/>
            </w:rPr>
          </w:pPr>
          <w:r>
            <w:fldChar w:fldCharType="begin"/>
          </w:r>
          <w:r>
            <w:instrText xml:space="preserve"> HYPERLINK \l "_Toc167271400" </w:instrText>
          </w:r>
          <w:r>
            <w:fldChar w:fldCharType="separate"/>
          </w:r>
          <w:r>
            <w:rPr>
              <w:rStyle w:val="44"/>
            </w:rPr>
            <w:t>第八章 推动中心城区景城一体发展</w:t>
          </w:r>
          <w:r>
            <w:tab/>
          </w:r>
          <w:r>
            <w:fldChar w:fldCharType="begin"/>
          </w:r>
          <w:r>
            <w:instrText xml:space="preserve"> PAGEREF _Toc167271400 \h </w:instrText>
          </w:r>
          <w:r>
            <w:fldChar w:fldCharType="separate"/>
          </w:r>
          <w:r>
            <w:t>46</w:t>
          </w:r>
          <w:r>
            <w:fldChar w:fldCharType="end"/>
          </w:r>
          <w:r>
            <w:fldChar w:fldCharType="end"/>
          </w:r>
        </w:p>
        <w:p w14:paraId="12B2E5B3">
          <w:pPr>
            <w:pStyle w:val="32"/>
            <w:tabs>
              <w:tab w:val="right" w:leader="dot" w:pos="9060"/>
            </w:tabs>
            <w:ind w:firstLine="480"/>
            <w:rPr>
              <w:rFonts w:asciiTheme="minorHAnsi" w:hAnsiTheme="minorHAnsi" w:eastAsiaTheme="minorEastAsia"/>
              <w:smallCaps w:val="0"/>
              <w:sz w:val="21"/>
              <w:szCs w:val="22"/>
              <w14:ligatures w14:val="standardContextual"/>
            </w:rPr>
          </w:pPr>
          <w:r>
            <w:fldChar w:fldCharType="begin"/>
          </w:r>
          <w:r>
            <w:instrText xml:space="preserve"> HYPERLINK \l "_Toc167271401" </w:instrText>
          </w:r>
          <w:r>
            <w:fldChar w:fldCharType="separate"/>
          </w:r>
          <w:r>
            <w:rPr>
              <w:rStyle w:val="44"/>
            </w:rPr>
            <w:t>第一节 优化功能分区与用地布局</w:t>
          </w:r>
          <w:r>
            <w:tab/>
          </w:r>
          <w:r>
            <w:fldChar w:fldCharType="begin"/>
          </w:r>
          <w:r>
            <w:instrText xml:space="preserve"> PAGEREF _Toc167271401 \h </w:instrText>
          </w:r>
          <w:r>
            <w:fldChar w:fldCharType="separate"/>
          </w:r>
          <w:r>
            <w:t>46</w:t>
          </w:r>
          <w:r>
            <w:fldChar w:fldCharType="end"/>
          </w:r>
          <w:r>
            <w:fldChar w:fldCharType="end"/>
          </w:r>
        </w:p>
        <w:p w14:paraId="5A01B9D0">
          <w:pPr>
            <w:pStyle w:val="32"/>
            <w:tabs>
              <w:tab w:val="right" w:leader="dot" w:pos="9060"/>
            </w:tabs>
            <w:ind w:firstLine="480"/>
            <w:rPr>
              <w:rFonts w:asciiTheme="minorHAnsi" w:hAnsiTheme="minorHAnsi" w:eastAsiaTheme="minorEastAsia"/>
              <w:smallCaps w:val="0"/>
              <w:sz w:val="21"/>
              <w:szCs w:val="22"/>
              <w14:ligatures w14:val="standardContextual"/>
            </w:rPr>
          </w:pPr>
          <w:r>
            <w:fldChar w:fldCharType="begin"/>
          </w:r>
          <w:r>
            <w:instrText xml:space="preserve"> HYPERLINK \l "_Toc167271402" </w:instrText>
          </w:r>
          <w:r>
            <w:fldChar w:fldCharType="separate"/>
          </w:r>
          <w:r>
            <w:rPr>
              <w:rStyle w:val="44"/>
            </w:rPr>
            <w:t>第一节 居住与住房保障</w:t>
          </w:r>
          <w:r>
            <w:tab/>
          </w:r>
          <w:r>
            <w:fldChar w:fldCharType="begin"/>
          </w:r>
          <w:r>
            <w:instrText xml:space="preserve"> PAGEREF _Toc167271402 \h </w:instrText>
          </w:r>
          <w:r>
            <w:fldChar w:fldCharType="separate"/>
          </w:r>
          <w:r>
            <w:t>48</w:t>
          </w:r>
          <w:r>
            <w:fldChar w:fldCharType="end"/>
          </w:r>
          <w:r>
            <w:fldChar w:fldCharType="end"/>
          </w:r>
        </w:p>
        <w:p w14:paraId="7FF66DFA">
          <w:pPr>
            <w:pStyle w:val="32"/>
            <w:tabs>
              <w:tab w:val="right" w:leader="dot" w:pos="9060"/>
            </w:tabs>
            <w:ind w:firstLine="480"/>
            <w:rPr>
              <w:rFonts w:asciiTheme="minorHAnsi" w:hAnsiTheme="minorHAnsi" w:eastAsiaTheme="minorEastAsia"/>
              <w:smallCaps w:val="0"/>
              <w:sz w:val="21"/>
              <w:szCs w:val="22"/>
              <w14:ligatures w14:val="standardContextual"/>
            </w:rPr>
          </w:pPr>
          <w:r>
            <w:fldChar w:fldCharType="begin"/>
          </w:r>
          <w:r>
            <w:instrText xml:space="preserve"> HYPERLINK \l "_Toc167271403" </w:instrText>
          </w:r>
          <w:r>
            <w:fldChar w:fldCharType="separate"/>
          </w:r>
          <w:r>
            <w:rPr>
              <w:rStyle w:val="44"/>
            </w:rPr>
            <w:t>第二节 公共服务设施与社区生活圈</w:t>
          </w:r>
          <w:r>
            <w:tab/>
          </w:r>
          <w:r>
            <w:fldChar w:fldCharType="begin"/>
          </w:r>
          <w:r>
            <w:instrText xml:space="preserve"> PAGEREF _Toc167271403 \h </w:instrText>
          </w:r>
          <w:r>
            <w:fldChar w:fldCharType="separate"/>
          </w:r>
          <w:r>
            <w:t>50</w:t>
          </w:r>
          <w:r>
            <w:fldChar w:fldCharType="end"/>
          </w:r>
          <w:r>
            <w:fldChar w:fldCharType="end"/>
          </w:r>
        </w:p>
        <w:p w14:paraId="00676D5A">
          <w:pPr>
            <w:pStyle w:val="32"/>
            <w:tabs>
              <w:tab w:val="right" w:leader="dot" w:pos="9060"/>
            </w:tabs>
            <w:ind w:firstLine="480"/>
            <w:rPr>
              <w:rFonts w:asciiTheme="minorHAnsi" w:hAnsiTheme="minorHAnsi" w:eastAsiaTheme="minorEastAsia"/>
              <w:smallCaps w:val="0"/>
              <w:sz w:val="21"/>
              <w:szCs w:val="22"/>
              <w14:ligatures w14:val="standardContextual"/>
            </w:rPr>
          </w:pPr>
          <w:r>
            <w:fldChar w:fldCharType="begin"/>
          </w:r>
          <w:r>
            <w:instrText xml:space="preserve"> HYPERLINK \l "_Toc167271404" </w:instrText>
          </w:r>
          <w:r>
            <w:fldChar w:fldCharType="separate"/>
          </w:r>
          <w:r>
            <w:rPr>
              <w:rStyle w:val="44"/>
            </w:rPr>
            <w:t>第三节 城市绿地系统与开敞空间</w:t>
          </w:r>
          <w:r>
            <w:tab/>
          </w:r>
          <w:r>
            <w:fldChar w:fldCharType="begin"/>
          </w:r>
          <w:r>
            <w:instrText xml:space="preserve"> PAGEREF _Toc167271404 \h </w:instrText>
          </w:r>
          <w:r>
            <w:fldChar w:fldCharType="separate"/>
          </w:r>
          <w:r>
            <w:t>53</w:t>
          </w:r>
          <w:r>
            <w:fldChar w:fldCharType="end"/>
          </w:r>
          <w:r>
            <w:fldChar w:fldCharType="end"/>
          </w:r>
        </w:p>
        <w:p w14:paraId="274D45AF">
          <w:pPr>
            <w:pStyle w:val="32"/>
            <w:tabs>
              <w:tab w:val="right" w:leader="dot" w:pos="9060"/>
            </w:tabs>
            <w:ind w:firstLine="480"/>
            <w:rPr>
              <w:rFonts w:asciiTheme="minorHAnsi" w:hAnsiTheme="minorHAnsi" w:eastAsiaTheme="minorEastAsia"/>
              <w:smallCaps w:val="0"/>
              <w:sz w:val="21"/>
              <w:szCs w:val="22"/>
              <w14:ligatures w14:val="standardContextual"/>
            </w:rPr>
          </w:pPr>
          <w:r>
            <w:fldChar w:fldCharType="begin"/>
          </w:r>
          <w:r>
            <w:instrText xml:space="preserve"> HYPERLINK \l "_Toc167271405" </w:instrText>
          </w:r>
          <w:r>
            <w:fldChar w:fldCharType="separate"/>
          </w:r>
          <w:r>
            <w:rPr>
              <w:rStyle w:val="44"/>
            </w:rPr>
            <w:t>第四节 城市道路交通</w:t>
          </w:r>
          <w:r>
            <w:tab/>
          </w:r>
          <w:r>
            <w:fldChar w:fldCharType="begin"/>
          </w:r>
          <w:r>
            <w:instrText xml:space="preserve"> PAGEREF _Toc167271405 \h </w:instrText>
          </w:r>
          <w:r>
            <w:fldChar w:fldCharType="separate"/>
          </w:r>
          <w:r>
            <w:t>54</w:t>
          </w:r>
          <w:r>
            <w:fldChar w:fldCharType="end"/>
          </w:r>
          <w:r>
            <w:fldChar w:fldCharType="end"/>
          </w:r>
        </w:p>
        <w:p w14:paraId="0CFF09E0">
          <w:pPr>
            <w:pStyle w:val="32"/>
            <w:tabs>
              <w:tab w:val="right" w:leader="dot" w:pos="9060"/>
            </w:tabs>
            <w:ind w:firstLine="480"/>
            <w:rPr>
              <w:rFonts w:asciiTheme="minorHAnsi" w:hAnsiTheme="minorHAnsi" w:eastAsiaTheme="minorEastAsia"/>
              <w:smallCaps w:val="0"/>
              <w:sz w:val="21"/>
              <w:szCs w:val="22"/>
              <w14:ligatures w14:val="standardContextual"/>
            </w:rPr>
          </w:pPr>
          <w:r>
            <w:fldChar w:fldCharType="begin"/>
          </w:r>
          <w:r>
            <w:instrText xml:space="preserve"> HYPERLINK \l "_Toc167271406" </w:instrText>
          </w:r>
          <w:r>
            <w:fldChar w:fldCharType="separate"/>
          </w:r>
          <w:r>
            <w:rPr>
              <w:rStyle w:val="44"/>
            </w:rPr>
            <w:t>第五节 地下空间安排</w:t>
          </w:r>
          <w:r>
            <w:tab/>
          </w:r>
          <w:r>
            <w:fldChar w:fldCharType="begin"/>
          </w:r>
          <w:r>
            <w:instrText xml:space="preserve"> PAGEREF _Toc167271406 \h </w:instrText>
          </w:r>
          <w:r>
            <w:fldChar w:fldCharType="separate"/>
          </w:r>
          <w:r>
            <w:t>56</w:t>
          </w:r>
          <w:r>
            <w:fldChar w:fldCharType="end"/>
          </w:r>
          <w:r>
            <w:fldChar w:fldCharType="end"/>
          </w:r>
        </w:p>
        <w:p w14:paraId="123E1F35">
          <w:pPr>
            <w:pStyle w:val="32"/>
            <w:tabs>
              <w:tab w:val="right" w:leader="dot" w:pos="9060"/>
            </w:tabs>
            <w:ind w:firstLine="480"/>
            <w:rPr>
              <w:rFonts w:asciiTheme="minorHAnsi" w:hAnsiTheme="minorHAnsi" w:eastAsiaTheme="minorEastAsia"/>
              <w:smallCaps w:val="0"/>
              <w:sz w:val="21"/>
              <w:szCs w:val="22"/>
              <w14:ligatures w14:val="standardContextual"/>
            </w:rPr>
          </w:pPr>
          <w:r>
            <w:fldChar w:fldCharType="begin"/>
          </w:r>
          <w:r>
            <w:instrText xml:space="preserve"> HYPERLINK \l "_Toc167271407" </w:instrText>
          </w:r>
          <w:r>
            <w:fldChar w:fldCharType="separate"/>
          </w:r>
          <w:r>
            <w:rPr>
              <w:rStyle w:val="44"/>
            </w:rPr>
            <w:t>第六节 城市基础设施与防灾减灾设施布局</w:t>
          </w:r>
          <w:r>
            <w:tab/>
          </w:r>
          <w:r>
            <w:fldChar w:fldCharType="begin"/>
          </w:r>
          <w:r>
            <w:instrText xml:space="preserve"> PAGEREF _Toc167271407 \h </w:instrText>
          </w:r>
          <w:r>
            <w:fldChar w:fldCharType="separate"/>
          </w:r>
          <w:r>
            <w:t>57</w:t>
          </w:r>
          <w:r>
            <w:fldChar w:fldCharType="end"/>
          </w:r>
          <w:r>
            <w:fldChar w:fldCharType="end"/>
          </w:r>
        </w:p>
        <w:p w14:paraId="661CB265">
          <w:pPr>
            <w:pStyle w:val="32"/>
            <w:tabs>
              <w:tab w:val="right" w:leader="dot" w:pos="9060"/>
            </w:tabs>
            <w:ind w:firstLine="480"/>
            <w:rPr>
              <w:rFonts w:asciiTheme="minorHAnsi" w:hAnsiTheme="minorHAnsi" w:eastAsiaTheme="minorEastAsia"/>
              <w:smallCaps w:val="0"/>
              <w:sz w:val="21"/>
              <w:szCs w:val="22"/>
              <w14:ligatures w14:val="standardContextual"/>
            </w:rPr>
          </w:pPr>
          <w:r>
            <w:fldChar w:fldCharType="begin"/>
          </w:r>
          <w:r>
            <w:instrText xml:space="preserve"> HYPERLINK \l "_Toc167271408" </w:instrText>
          </w:r>
          <w:r>
            <w:fldChar w:fldCharType="separate"/>
          </w:r>
          <w:r>
            <w:rPr>
              <w:rStyle w:val="44"/>
            </w:rPr>
            <w:t>第七节 城市设计与景观风貌</w:t>
          </w:r>
          <w:r>
            <w:tab/>
          </w:r>
          <w:r>
            <w:fldChar w:fldCharType="begin"/>
          </w:r>
          <w:r>
            <w:instrText xml:space="preserve"> PAGEREF _Toc167271408 \h </w:instrText>
          </w:r>
          <w:r>
            <w:fldChar w:fldCharType="separate"/>
          </w:r>
          <w:r>
            <w:t>61</w:t>
          </w:r>
          <w:r>
            <w:fldChar w:fldCharType="end"/>
          </w:r>
          <w:r>
            <w:fldChar w:fldCharType="end"/>
          </w:r>
        </w:p>
        <w:p w14:paraId="2E87040C">
          <w:pPr>
            <w:pStyle w:val="32"/>
            <w:tabs>
              <w:tab w:val="right" w:leader="dot" w:pos="9060"/>
            </w:tabs>
            <w:ind w:firstLine="480"/>
            <w:rPr>
              <w:rFonts w:asciiTheme="minorHAnsi" w:hAnsiTheme="minorHAnsi" w:eastAsiaTheme="minorEastAsia"/>
              <w:smallCaps w:val="0"/>
              <w:sz w:val="21"/>
              <w:szCs w:val="22"/>
              <w14:ligatures w14:val="standardContextual"/>
            </w:rPr>
          </w:pPr>
          <w:r>
            <w:fldChar w:fldCharType="begin"/>
          </w:r>
          <w:r>
            <w:instrText xml:space="preserve"> HYPERLINK \l "_Toc167271409" </w:instrText>
          </w:r>
          <w:r>
            <w:fldChar w:fldCharType="separate"/>
          </w:r>
          <w:r>
            <w:rPr>
              <w:rStyle w:val="44"/>
            </w:rPr>
            <w:t>第八节 其他各类控制线</w:t>
          </w:r>
          <w:r>
            <w:tab/>
          </w:r>
          <w:r>
            <w:fldChar w:fldCharType="begin"/>
          </w:r>
          <w:r>
            <w:instrText xml:space="preserve"> PAGEREF _Toc167271409 \h </w:instrText>
          </w:r>
          <w:r>
            <w:fldChar w:fldCharType="separate"/>
          </w:r>
          <w:r>
            <w:t>64</w:t>
          </w:r>
          <w:r>
            <w:fldChar w:fldCharType="end"/>
          </w:r>
          <w:r>
            <w:fldChar w:fldCharType="end"/>
          </w:r>
        </w:p>
        <w:p w14:paraId="7EA9A52D">
          <w:pPr>
            <w:pStyle w:val="32"/>
            <w:tabs>
              <w:tab w:val="right" w:leader="dot" w:pos="9060"/>
            </w:tabs>
            <w:ind w:firstLine="480"/>
            <w:rPr>
              <w:rFonts w:asciiTheme="minorHAnsi" w:hAnsiTheme="minorHAnsi" w:eastAsiaTheme="minorEastAsia"/>
              <w:smallCaps w:val="0"/>
              <w:sz w:val="21"/>
              <w:szCs w:val="22"/>
              <w14:ligatures w14:val="standardContextual"/>
            </w:rPr>
          </w:pPr>
          <w:r>
            <w:fldChar w:fldCharType="begin"/>
          </w:r>
          <w:r>
            <w:instrText xml:space="preserve"> HYPERLINK \l "_Toc167271410" </w:instrText>
          </w:r>
          <w:r>
            <w:fldChar w:fldCharType="separate"/>
          </w:r>
          <w:r>
            <w:rPr>
              <w:rStyle w:val="44"/>
            </w:rPr>
            <w:t>第九节 规划片区划定与管控</w:t>
          </w:r>
          <w:r>
            <w:tab/>
          </w:r>
          <w:r>
            <w:fldChar w:fldCharType="begin"/>
          </w:r>
          <w:r>
            <w:instrText xml:space="preserve"> PAGEREF _Toc167271410 \h </w:instrText>
          </w:r>
          <w:r>
            <w:fldChar w:fldCharType="separate"/>
          </w:r>
          <w:r>
            <w:t>66</w:t>
          </w:r>
          <w:r>
            <w:fldChar w:fldCharType="end"/>
          </w:r>
          <w:r>
            <w:fldChar w:fldCharType="end"/>
          </w:r>
        </w:p>
        <w:p w14:paraId="3B777BE5">
          <w:pPr>
            <w:pStyle w:val="32"/>
            <w:tabs>
              <w:tab w:val="right" w:leader="dot" w:pos="9060"/>
            </w:tabs>
            <w:ind w:firstLine="480"/>
            <w:rPr>
              <w:rFonts w:asciiTheme="minorHAnsi" w:hAnsiTheme="minorHAnsi" w:eastAsiaTheme="minorEastAsia"/>
              <w:smallCaps w:val="0"/>
              <w:sz w:val="21"/>
              <w:szCs w:val="22"/>
              <w14:ligatures w14:val="standardContextual"/>
            </w:rPr>
          </w:pPr>
          <w:r>
            <w:fldChar w:fldCharType="begin"/>
          </w:r>
          <w:r>
            <w:instrText xml:space="preserve"> HYPERLINK \l "_Toc167271411" </w:instrText>
          </w:r>
          <w:r>
            <w:fldChar w:fldCharType="separate"/>
          </w:r>
          <w:r>
            <w:rPr>
              <w:rStyle w:val="44"/>
            </w:rPr>
            <w:t>第十节 低效用地再开发</w:t>
          </w:r>
          <w:r>
            <w:tab/>
          </w:r>
          <w:r>
            <w:fldChar w:fldCharType="begin"/>
          </w:r>
          <w:r>
            <w:instrText xml:space="preserve"> PAGEREF _Toc167271411 \h </w:instrText>
          </w:r>
          <w:r>
            <w:fldChar w:fldCharType="separate"/>
          </w:r>
          <w:r>
            <w:t>67</w:t>
          </w:r>
          <w:r>
            <w:fldChar w:fldCharType="end"/>
          </w:r>
          <w:r>
            <w:fldChar w:fldCharType="end"/>
          </w:r>
        </w:p>
        <w:p w14:paraId="24F0D5A3">
          <w:pPr>
            <w:pStyle w:val="27"/>
            <w:tabs>
              <w:tab w:val="right" w:leader="dot" w:pos="9060"/>
            </w:tabs>
            <w:snapToGrid/>
            <w:spacing w:before="142" w:after="142"/>
            <w:contextualSpacing w:val="0"/>
            <w:rPr>
              <w:rFonts w:asciiTheme="minorHAnsi" w:hAnsiTheme="minorHAnsi" w:eastAsiaTheme="minorEastAsia"/>
              <w:bCs w:val="0"/>
              <w:caps w:val="0"/>
              <w:sz w:val="21"/>
              <w:szCs w:val="22"/>
              <w14:ligatures w14:val="standardContextual"/>
            </w:rPr>
          </w:pPr>
          <w:r>
            <w:fldChar w:fldCharType="begin"/>
          </w:r>
          <w:r>
            <w:instrText xml:space="preserve"> HYPERLINK \l "_Toc167271412" </w:instrText>
          </w:r>
          <w:r>
            <w:fldChar w:fldCharType="separate"/>
          </w:r>
          <w:r>
            <w:rPr>
              <w:rStyle w:val="44"/>
            </w:rPr>
            <w:t>第九章 彰显青山碧水的城乡风貌</w:t>
          </w:r>
          <w:r>
            <w:tab/>
          </w:r>
          <w:r>
            <w:fldChar w:fldCharType="begin"/>
          </w:r>
          <w:r>
            <w:instrText xml:space="preserve"> PAGEREF _Toc167271412 \h </w:instrText>
          </w:r>
          <w:r>
            <w:fldChar w:fldCharType="separate"/>
          </w:r>
          <w:r>
            <w:t>69</w:t>
          </w:r>
          <w:r>
            <w:fldChar w:fldCharType="end"/>
          </w:r>
          <w:r>
            <w:fldChar w:fldCharType="end"/>
          </w:r>
        </w:p>
        <w:p w14:paraId="6D33F5AC">
          <w:pPr>
            <w:pStyle w:val="32"/>
            <w:tabs>
              <w:tab w:val="right" w:leader="dot" w:pos="9060"/>
            </w:tabs>
            <w:ind w:firstLine="480"/>
            <w:rPr>
              <w:rFonts w:asciiTheme="minorHAnsi" w:hAnsiTheme="minorHAnsi" w:eastAsiaTheme="minorEastAsia"/>
              <w:smallCaps w:val="0"/>
              <w:sz w:val="21"/>
              <w:szCs w:val="22"/>
              <w14:ligatures w14:val="standardContextual"/>
            </w:rPr>
          </w:pPr>
          <w:r>
            <w:fldChar w:fldCharType="begin"/>
          </w:r>
          <w:r>
            <w:instrText xml:space="preserve"> HYPERLINK \l "_Toc167271413" </w:instrText>
          </w:r>
          <w:r>
            <w:fldChar w:fldCharType="separate"/>
          </w:r>
          <w:r>
            <w:rPr>
              <w:rStyle w:val="44"/>
            </w:rPr>
            <w:t>第一节 城乡空间形态与风貌管控</w:t>
          </w:r>
          <w:r>
            <w:tab/>
          </w:r>
          <w:r>
            <w:fldChar w:fldCharType="begin"/>
          </w:r>
          <w:r>
            <w:instrText xml:space="preserve"> PAGEREF _Toc167271413 \h </w:instrText>
          </w:r>
          <w:r>
            <w:fldChar w:fldCharType="separate"/>
          </w:r>
          <w:r>
            <w:t>69</w:t>
          </w:r>
          <w:r>
            <w:fldChar w:fldCharType="end"/>
          </w:r>
          <w:r>
            <w:fldChar w:fldCharType="end"/>
          </w:r>
        </w:p>
        <w:p w14:paraId="5E8440A6">
          <w:pPr>
            <w:pStyle w:val="32"/>
            <w:tabs>
              <w:tab w:val="right" w:leader="dot" w:pos="9060"/>
            </w:tabs>
            <w:ind w:firstLine="480"/>
            <w:rPr>
              <w:rFonts w:asciiTheme="minorHAnsi" w:hAnsiTheme="minorHAnsi" w:eastAsiaTheme="minorEastAsia"/>
              <w:smallCaps w:val="0"/>
              <w:sz w:val="21"/>
              <w:szCs w:val="22"/>
              <w14:ligatures w14:val="standardContextual"/>
            </w:rPr>
          </w:pPr>
          <w:r>
            <w:fldChar w:fldCharType="begin"/>
          </w:r>
          <w:r>
            <w:instrText xml:space="preserve"> HYPERLINK \l "_Toc167271414" </w:instrText>
          </w:r>
          <w:r>
            <w:fldChar w:fldCharType="separate"/>
          </w:r>
          <w:r>
            <w:rPr>
              <w:rStyle w:val="44"/>
            </w:rPr>
            <w:t>第二节 历史文化资源保护与利用</w:t>
          </w:r>
          <w:r>
            <w:tab/>
          </w:r>
          <w:r>
            <w:fldChar w:fldCharType="begin"/>
          </w:r>
          <w:r>
            <w:instrText xml:space="preserve"> PAGEREF _Toc167271414 \h </w:instrText>
          </w:r>
          <w:r>
            <w:fldChar w:fldCharType="separate"/>
          </w:r>
          <w:r>
            <w:t>71</w:t>
          </w:r>
          <w:r>
            <w:fldChar w:fldCharType="end"/>
          </w:r>
          <w:r>
            <w:fldChar w:fldCharType="end"/>
          </w:r>
        </w:p>
        <w:p w14:paraId="53C7E5A8">
          <w:pPr>
            <w:pStyle w:val="27"/>
            <w:tabs>
              <w:tab w:val="right" w:leader="dot" w:pos="9060"/>
            </w:tabs>
            <w:snapToGrid/>
            <w:spacing w:before="142" w:after="142"/>
            <w:contextualSpacing w:val="0"/>
            <w:rPr>
              <w:rFonts w:asciiTheme="minorHAnsi" w:hAnsiTheme="minorHAnsi" w:eastAsiaTheme="minorEastAsia"/>
              <w:bCs w:val="0"/>
              <w:caps w:val="0"/>
              <w:sz w:val="21"/>
              <w:szCs w:val="22"/>
              <w14:ligatures w14:val="standardContextual"/>
            </w:rPr>
          </w:pPr>
          <w:r>
            <w:fldChar w:fldCharType="begin"/>
          </w:r>
          <w:r>
            <w:instrText xml:space="preserve"> HYPERLINK \l "_Toc167271415" </w:instrText>
          </w:r>
          <w:r>
            <w:fldChar w:fldCharType="separate"/>
          </w:r>
          <w:r>
            <w:rPr>
              <w:rStyle w:val="44"/>
            </w:rPr>
            <w:t>第十章 构建便捷畅联的综合交通网络</w:t>
          </w:r>
          <w:r>
            <w:tab/>
          </w:r>
          <w:r>
            <w:fldChar w:fldCharType="begin"/>
          </w:r>
          <w:r>
            <w:instrText xml:space="preserve"> PAGEREF _Toc167271415 \h </w:instrText>
          </w:r>
          <w:r>
            <w:fldChar w:fldCharType="separate"/>
          </w:r>
          <w:r>
            <w:t>75</w:t>
          </w:r>
          <w:r>
            <w:fldChar w:fldCharType="end"/>
          </w:r>
          <w:r>
            <w:fldChar w:fldCharType="end"/>
          </w:r>
        </w:p>
        <w:p w14:paraId="04319AFF">
          <w:pPr>
            <w:pStyle w:val="32"/>
            <w:tabs>
              <w:tab w:val="right" w:leader="dot" w:pos="9060"/>
            </w:tabs>
            <w:ind w:firstLine="480"/>
            <w:rPr>
              <w:rFonts w:asciiTheme="minorHAnsi" w:hAnsiTheme="minorHAnsi" w:eastAsiaTheme="minorEastAsia"/>
              <w:smallCaps w:val="0"/>
              <w:sz w:val="21"/>
              <w:szCs w:val="22"/>
              <w14:ligatures w14:val="standardContextual"/>
            </w:rPr>
          </w:pPr>
          <w:r>
            <w:fldChar w:fldCharType="begin"/>
          </w:r>
          <w:r>
            <w:instrText xml:space="preserve"> HYPERLINK \l "_Toc167271416" </w:instrText>
          </w:r>
          <w:r>
            <w:fldChar w:fldCharType="separate"/>
          </w:r>
          <w:r>
            <w:rPr>
              <w:rStyle w:val="44"/>
            </w:rPr>
            <w:t>第一节 综合交通网络</w:t>
          </w:r>
          <w:r>
            <w:tab/>
          </w:r>
          <w:r>
            <w:fldChar w:fldCharType="begin"/>
          </w:r>
          <w:r>
            <w:instrText xml:space="preserve"> PAGEREF _Toc167271416 \h </w:instrText>
          </w:r>
          <w:r>
            <w:fldChar w:fldCharType="separate"/>
          </w:r>
          <w:r>
            <w:t>75</w:t>
          </w:r>
          <w:r>
            <w:fldChar w:fldCharType="end"/>
          </w:r>
          <w:r>
            <w:fldChar w:fldCharType="end"/>
          </w:r>
        </w:p>
        <w:p w14:paraId="30484079">
          <w:pPr>
            <w:pStyle w:val="27"/>
            <w:tabs>
              <w:tab w:val="right" w:leader="dot" w:pos="9060"/>
            </w:tabs>
            <w:snapToGrid/>
            <w:spacing w:before="142" w:after="142"/>
            <w:contextualSpacing w:val="0"/>
            <w:rPr>
              <w:rFonts w:asciiTheme="minorHAnsi" w:hAnsiTheme="minorHAnsi" w:eastAsiaTheme="minorEastAsia"/>
              <w:bCs w:val="0"/>
              <w:caps w:val="0"/>
              <w:sz w:val="21"/>
              <w:szCs w:val="22"/>
              <w14:ligatures w14:val="standardContextual"/>
            </w:rPr>
          </w:pPr>
          <w:r>
            <w:fldChar w:fldCharType="begin"/>
          </w:r>
          <w:r>
            <w:instrText xml:space="preserve"> HYPERLINK \l "_Toc167271417" </w:instrText>
          </w:r>
          <w:r>
            <w:fldChar w:fldCharType="separate"/>
          </w:r>
          <w:r>
            <w:rPr>
              <w:rStyle w:val="44"/>
            </w:rPr>
            <w:t>第十一章 筑牢基础设施支撑保障体系</w:t>
          </w:r>
          <w:r>
            <w:tab/>
          </w:r>
          <w:r>
            <w:fldChar w:fldCharType="begin"/>
          </w:r>
          <w:r>
            <w:instrText xml:space="preserve"> PAGEREF _Toc167271417 \h </w:instrText>
          </w:r>
          <w:r>
            <w:fldChar w:fldCharType="separate"/>
          </w:r>
          <w:r>
            <w:t>77</w:t>
          </w:r>
          <w:r>
            <w:fldChar w:fldCharType="end"/>
          </w:r>
          <w:r>
            <w:fldChar w:fldCharType="end"/>
          </w:r>
        </w:p>
        <w:p w14:paraId="79BE659A">
          <w:pPr>
            <w:pStyle w:val="32"/>
            <w:tabs>
              <w:tab w:val="right" w:leader="dot" w:pos="9060"/>
            </w:tabs>
            <w:ind w:firstLine="480"/>
            <w:rPr>
              <w:rFonts w:asciiTheme="minorHAnsi" w:hAnsiTheme="minorHAnsi" w:eastAsiaTheme="minorEastAsia"/>
              <w:smallCaps w:val="0"/>
              <w:sz w:val="21"/>
              <w:szCs w:val="22"/>
              <w14:ligatures w14:val="standardContextual"/>
            </w:rPr>
          </w:pPr>
          <w:r>
            <w:fldChar w:fldCharType="begin"/>
          </w:r>
          <w:r>
            <w:instrText xml:space="preserve"> HYPERLINK \l "_Toc167271418" </w:instrText>
          </w:r>
          <w:r>
            <w:fldChar w:fldCharType="separate"/>
          </w:r>
          <w:r>
            <w:rPr>
              <w:rStyle w:val="44"/>
            </w:rPr>
            <w:t>第一节 基础设施体系</w:t>
          </w:r>
          <w:r>
            <w:tab/>
          </w:r>
          <w:r>
            <w:fldChar w:fldCharType="begin"/>
          </w:r>
          <w:r>
            <w:instrText xml:space="preserve"> PAGEREF _Toc167271418 \h </w:instrText>
          </w:r>
          <w:r>
            <w:fldChar w:fldCharType="separate"/>
          </w:r>
          <w:r>
            <w:t>77</w:t>
          </w:r>
          <w:r>
            <w:fldChar w:fldCharType="end"/>
          </w:r>
          <w:r>
            <w:fldChar w:fldCharType="end"/>
          </w:r>
        </w:p>
        <w:p w14:paraId="307546C9">
          <w:pPr>
            <w:pStyle w:val="32"/>
            <w:tabs>
              <w:tab w:val="right" w:leader="dot" w:pos="9060"/>
            </w:tabs>
            <w:ind w:firstLine="480"/>
            <w:rPr>
              <w:rFonts w:asciiTheme="minorHAnsi" w:hAnsiTheme="minorHAnsi" w:eastAsiaTheme="minorEastAsia"/>
              <w:smallCaps w:val="0"/>
              <w:sz w:val="21"/>
              <w:szCs w:val="22"/>
              <w14:ligatures w14:val="standardContextual"/>
            </w:rPr>
          </w:pPr>
          <w:r>
            <w:fldChar w:fldCharType="begin"/>
          </w:r>
          <w:r>
            <w:instrText xml:space="preserve"> HYPERLINK \l "_Toc167271419" </w:instrText>
          </w:r>
          <w:r>
            <w:fldChar w:fldCharType="separate"/>
          </w:r>
          <w:r>
            <w:rPr>
              <w:rStyle w:val="44"/>
            </w:rPr>
            <w:t>第二节 韧性安全与防灾减灾体系</w:t>
          </w:r>
          <w:r>
            <w:tab/>
          </w:r>
          <w:r>
            <w:fldChar w:fldCharType="begin"/>
          </w:r>
          <w:r>
            <w:instrText xml:space="preserve"> PAGEREF _Toc167271419 \h </w:instrText>
          </w:r>
          <w:r>
            <w:fldChar w:fldCharType="separate"/>
          </w:r>
          <w:r>
            <w:t>80</w:t>
          </w:r>
          <w:r>
            <w:fldChar w:fldCharType="end"/>
          </w:r>
          <w:r>
            <w:fldChar w:fldCharType="end"/>
          </w:r>
        </w:p>
        <w:p w14:paraId="4D8E7F92">
          <w:pPr>
            <w:pStyle w:val="27"/>
            <w:tabs>
              <w:tab w:val="right" w:leader="dot" w:pos="9060"/>
            </w:tabs>
            <w:snapToGrid/>
            <w:spacing w:before="142" w:after="142"/>
            <w:contextualSpacing w:val="0"/>
            <w:rPr>
              <w:rFonts w:asciiTheme="minorHAnsi" w:hAnsiTheme="minorHAnsi" w:eastAsiaTheme="minorEastAsia"/>
              <w:bCs w:val="0"/>
              <w:caps w:val="0"/>
              <w:sz w:val="21"/>
              <w:szCs w:val="22"/>
              <w14:ligatures w14:val="standardContextual"/>
            </w:rPr>
          </w:pPr>
          <w:r>
            <w:fldChar w:fldCharType="begin"/>
          </w:r>
          <w:r>
            <w:instrText xml:space="preserve"> HYPERLINK \l "_Toc167271420" </w:instrText>
          </w:r>
          <w:r>
            <w:fldChar w:fldCharType="separate"/>
          </w:r>
          <w:r>
            <w:rPr>
              <w:rStyle w:val="44"/>
            </w:rPr>
            <w:t>第十二章 统筹全域自然资源保护利用</w:t>
          </w:r>
          <w:r>
            <w:tab/>
          </w:r>
          <w:r>
            <w:fldChar w:fldCharType="begin"/>
          </w:r>
          <w:r>
            <w:instrText xml:space="preserve"> PAGEREF _Toc167271420 \h </w:instrText>
          </w:r>
          <w:r>
            <w:fldChar w:fldCharType="separate"/>
          </w:r>
          <w:r>
            <w:t>86</w:t>
          </w:r>
          <w:r>
            <w:fldChar w:fldCharType="end"/>
          </w:r>
          <w:r>
            <w:fldChar w:fldCharType="end"/>
          </w:r>
        </w:p>
        <w:p w14:paraId="638ED965">
          <w:pPr>
            <w:pStyle w:val="32"/>
            <w:tabs>
              <w:tab w:val="right" w:leader="dot" w:pos="9060"/>
            </w:tabs>
            <w:ind w:firstLine="480"/>
            <w:rPr>
              <w:rFonts w:asciiTheme="minorHAnsi" w:hAnsiTheme="minorHAnsi" w:eastAsiaTheme="minorEastAsia"/>
              <w:smallCaps w:val="0"/>
              <w:sz w:val="21"/>
              <w:szCs w:val="22"/>
              <w14:ligatures w14:val="standardContextual"/>
            </w:rPr>
          </w:pPr>
          <w:r>
            <w:fldChar w:fldCharType="begin"/>
          </w:r>
          <w:r>
            <w:instrText xml:space="preserve"> HYPERLINK \l "_Toc167271421" </w:instrText>
          </w:r>
          <w:r>
            <w:fldChar w:fldCharType="separate"/>
          </w:r>
          <w:r>
            <w:rPr>
              <w:rStyle w:val="44"/>
            </w:rPr>
            <w:t>第</w:t>
          </w:r>
          <w:r>
            <w:rPr>
              <w:rStyle w:val="44"/>
              <w:rFonts w:hint="eastAsia"/>
            </w:rPr>
            <w:t>一</w:t>
          </w:r>
          <w:r>
            <w:rPr>
              <w:rStyle w:val="44"/>
            </w:rPr>
            <w:t>节 保护与利用耕地资源</w:t>
          </w:r>
          <w:r>
            <w:tab/>
          </w:r>
          <w:r>
            <w:fldChar w:fldCharType="begin"/>
          </w:r>
          <w:r>
            <w:instrText xml:space="preserve"> PAGEREF _Toc167271421 \h </w:instrText>
          </w:r>
          <w:r>
            <w:fldChar w:fldCharType="separate"/>
          </w:r>
          <w:r>
            <w:t>86</w:t>
          </w:r>
          <w:r>
            <w:fldChar w:fldCharType="end"/>
          </w:r>
          <w:r>
            <w:fldChar w:fldCharType="end"/>
          </w:r>
        </w:p>
        <w:p w14:paraId="75DD2FF0">
          <w:pPr>
            <w:pStyle w:val="32"/>
            <w:tabs>
              <w:tab w:val="right" w:leader="dot" w:pos="9060"/>
            </w:tabs>
            <w:ind w:firstLine="480"/>
            <w:rPr>
              <w:rFonts w:asciiTheme="minorHAnsi" w:hAnsiTheme="minorHAnsi" w:eastAsiaTheme="minorEastAsia"/>
              <w:smallCaps w:val="0"/>
              <w:sz w:val="21"/>
              <w:szCs w:val="22"/>
              <w14:ligatures w14:val="standardContextual"/>
            </w:rPr>
          </w:pPr>
          <w:r>
            <w:fldChar w:fldCharType="begin"/>
          </w:r>
          <w:r>
            <w:instrText xml:space="preserve"> HYPERLINK \l "_Toc167271422" </w:instrText>
          </w:r>
          <w:r>
            <w:fldChar w:fldCharType="separate"/>
          </w:r>
          <w:r>
            <w:rPr>
              <w:rStyle w:val="44"/>
            </w:rPr>
            <w:t>第</w:t>
          </w:r>
          <w:r>
            <w:rPr>
              <w:rStyle w:val="44"/>
              <w:rFonts w:hint="eastAsia"/>
            </w:rPr>
            <w:t>二</w:t>
          </w:r>
          <w:r>
            <w:rPr>
              <w:rStyle w:val="44"/>
            </w:rPr>
            <w:t>节 保护与利用水资源和湿地</w:t>
          </w:r>
          <w:r>
            <w:tab/>
          </w:r>
          <w:r>
            <w:fldChar w:fldCharType="begin"/>
          </w:r>
          <w:r>
            <w:instrText xml:space="preserve"> PAGEREF _Toc167271422 \h </w:instrText>
          </w:r>
          <w:r>
            <w:fldChar w:fldCharType="separate"/>
          </w:r>
          <w:r>
            <w:t>87</w:t>
          </w:r>
          <w:r>
            <w:fldChar w:fldCharType="end"/>
          </w:r>
          <w:r>
            <w:fldChar w:fldCharType="end"/>
          </w:r>
        </w:p>
        <w:p w14:paraId="2D36E0C3">
          <w:pPr>
            <w:pStyle w:val="32"/>
            <w:tabs>
              <w:tab w:val="right" w:leader="dot" w:pos="9060"/>
            </w:tabs>
            <w:ind w:firstLine="480"/>
            <w:rPr>
              <w:rFonts w:asciiTheme="minorHAnsi" w:hAnsiTheme="minorHAnsi" w:eastAsiaTheme="minorEastAsia"/>
              <w:smallCaps w:val="0"/>
              <w:sz w:val="21"/>
              <w:szCs w:val="22"/>
              <w14:ligatures w14:val="standardContextual"/>
            </w:rPr>
          </w:pPr>
          <w:r>
            <w:fldChar w:fldCharType="begin"/>
          </w:r>
          <w:r>
            <w:instrText xml:space="preserve"> HYPERLINK \l "_Toc167271423" </w:instrText>
          </w:r>
          <w:r>
            <w:fldChar w:fldCharType="separate"/>
          </w:r>
          <w:r>
            <w:rPr>
              <w:rStyle w:val="44"/>
            </w:rPr>
            <w:t>第</w:t>
          </w:r>
          <w:r>
            <w:rPr>
              <w:rStyle w:val="44"/>
              <w:rFonts w:hint="eastAsia"/>
            </w:rPr>
            <w:t>三</w:t>
          </w:r>
          <w:r>
            <w:rPr>
              <w:rStyle w:val="44"/>
            </w:rPr>
            <w:t>节 保护与利用森林资源</w:t>
          </w:r>
          <w:r>
            <w:tab/>
          </w:r>
          <w:r>
            <w:fldChar w:fldCharType="begin"/>
          </w:r>
          <w:r>
            <w:instrText xml:space="preserve"> PAGEREF _Toc167271423 \h </w:instrText>
          </w:r>
          <w:r>
            <w:fldChar w:fldCharType="separate"/>
          </w:r>
          <w:r>
            <w:t>89</w:t>
          </w:r>
          <w:r>
            <w:fldChar w:fldCharType="end"/>
          </w:r>
          <w:r>
            <w:fldChar w:fldCharType="end"/>
          </w:r>
        </w:p>
        <w:p w14:paraId="69B37EBB">
          <w:pPr>
            <w:pStyle w:val="32"/>
            <w:tabs>
              <w:tab w:val="right" w:leader="dot" w:pos="9060"/>
            </w:tabs>
            <w:ind w:firstLine="480"/>
            <w:rPr>
              <w:rFonts w:asciiTheme="minorHAnsi" w:hAnsiTheme="minorHAnsi" w:eastAsiaTheme="minorEastAsia"/>
              <w:smallCaps w:val="0"/>
              <w:sz w:val="21"/>
              <w:szCs w:val="22"/>
              <w14:ligatures w14:val="standardContextual"/>
            </w:rPr>
          </w:pPr>
          <w:r>
            <w:fldChar w:fldCharType="begin"/>
          </w:r>
          <w:r>
            <w:instrText xml:space="preserve"> HYPERLINK \l "_Toc167271424" </w:instrText>
          </w:r>
          <w:r>
            <w:fldChar w:fldCharType="separate"/>
          </w:r>
          <w:r>
            <w:rPr>
              <w:rStyle w:val="44"/>
            </w:rPr>
            <w:t>第</w:t>
          </w:r>
          <w:r>
            <w:rPr>
              <w:rStyle w:val="44"/>
              <w:rFonts w:hint="eastAsia"/>
            </w:rPr>
            <w:t>四</w:t>
          </w:r>
          <w:r>
            <w:rPr>
              <w:rStyle w:val="44"/>
            </w:rPr>
            <w:t>节 保护与利用矿产资源</w:t>
          </w:r>
          <w:r>
            <w:tab/>
          </w:r>
          <w:r>
            <w:fldChar w:fldCharType="begin"/>
          </w:r>
          <w:r>
            <w:instrText xml:space="preserve"> PAGEREF _Toc167271424 \h </w:instrText>
          </w:r>
          <w:r>
            <w:fldChar w:fldCharType="separate"/>
          </w:r>
          <w:r>
            <w:t>90</w:t>
          </w:r>
          <w:r>
            <w:fldChar w:fldCharType="end"/>
          </w:r>
          <w:r>
            <w:fldChar w:fldCharType="end"/>
          </w:r>
        </w:p>
        <w:p w14:paraId="639395AE">
          <w:pPr>
            <w:pStyle w:val="32"/>
            <w:tabs>
              <w:tab w:val="right" w:leader="dot" w:pos="9060"/>
            </w:tabs>
            <w:ind w:firstLine="480"/>
            <w:rPr>
              <w:rFonts w:asciiTheme="minorHAnsi" w:hAnsiTheme="minorHAnsi" w:eastAsiaTheme="minorEastAsia"/>
              <w:smallCaps w:val="0"/>
              <w:sz w:val="21"/>
              <w:szCs w:val="22"/>
              <w14:ligatures w14:val="standardContextual"/>
            </w:rPr>
          </w:pPr>
          <w:r>
            <w:fldChar w:fldCharType="begin"/>
          </w:r>
          <w:r>
            <w:instrText xml:space="preserve"> HYPERLINK \l "_Toc167271425" </w:instrText>
          </w:r>
          <w:r>
            <w:fldChar w:fldCharType="separate"/>
          </w:r>
          <w:r>
            <w:rPr>
              <w:rStyle w:val="44"/>
            </w:rPr>
            <w:t>第</w:t>
          </w:r>
          <w:r>
            <w:rPr>
              <w:rStyle w:val="44"/>
              <w:rFonts w:hint="eastAsia"/>
            </w:rPr>
            <w:t>五</w:t>
          </w:r>
          <w:r>
            <w:rPr>
              <w:rStyle w:val="44"/>
            </w:rPr>
            <w:t>节 保护与利用气候资源</w:t>
          </w:r>
          <w:r>
            <w:tab/>
          </w:r>
          <w:r>
            <w:fldChar w:fldCharType="begin"/>
          </w:r>
          <w:r>
            <w:instrText xml:space="preserve"> PAGEREF _Toc167271425 \h </w:instrText>
          </w:r>
          <w:r>
            <w:fldChar w:fldCharType="separate"/>
          </w:r>
          <w:r>
            <w:t>90</w:t>
          </w:r>
          <w:r>
            <w:fldChar w:fldCharType="end"/>
          </w:r>
          <w:r>
            <w:fldChar w:fldCharType="end"/>
          </w:r>
        </w:p>
        <w:p w14:paraId="33B37D17">
          <w:pPr>
            <w:pStyle w:val="32"/>
            <w:tabs>
              <w:tab w:val="right" w:leader="dot" w:pos="9060"/>
            </w:tabs>
            <w:ind w:firstLine="480"/>
            <w:rPr>
              <w:rFonts w:asciiTheme="minorHAnsi" w:hAnsiTheme="minorHAnsi" w:eastAsiaTheme="minorEastAsia"/>
              <w:smallCaps w:val="0"/>
              <w:sz w:val="21"/>
              <w:szCs w:val="22"/>
              <w14:ligatures w14:val="standardContextual"/>
            </w:rPr>
          </w:pPr>
          <w:r>
            <w:fldChar w:fldCharType="begin"/>
          </w:r>
          <w:r>
            <w:instrText xml:space="preserve"> HYPERLINK \l "_Toc167271426" </w:instrText>
          </w:r>
          <w:r>
            <w:fldChar w:fldCharType="separate"/>
          </w:r>
          <w:r>
            <w:rPr>
              <w:rStyle w:val="44"/>
            </w:rPr>
            <w:t>第</w:t>
          </w:r>
          <w:r>
            <w:rPr>
              <w:rStyle w:val="44"/>
              <w:rFonts w:hint="eastAsia"/>
            </w:rPr>
            <w:t>六</w:t>
          </w:r>
          <w:r>
            <w:rPr>
              <w:rStyle w:val="44"/>
            </w:rPr>
            <w:t>节 自然资源转用与管理</w:t>
          </w:r>
          <w:r>
            <w:tab/>
          </w:r>
          <w:r>
            <w:fldChar w:fldCharType="begin"/>
          </w:r>
          <w:r>
            <w:instrText xml:space="preserve"> PAGEREF _Toc167271426 \h </w:instrText>
          </w:r>
          <w:r>
            <w:fldChar w:fldCharType="separate"/>
          </w:r>
          <w:r>
            <w:t>91</w:t>
          </w:r>
          <w:r>
            <w:fldChar w:fldCharType="end"/>
          </w:r>
          <w:r>
            <w:fldChar w:fldCharType="end"/>
          </w:r>
        </w:p>
        <w:p w14:paraId="4D533F2F">
          <w:pPr>
            <w:pStyle w:val="32"/>
            <w:tabs>
              <w:tab w:val="right" w:leader="dot" w:pos="9060"/>
            </w:tabs>
            <w:ind w:firstLine="480"/>
            <w:rPr>
              <w:rFonts w:asciiTheme="minorHAnsi" w:hAnsiTheme="minorHAnsi" w:eastAsiaTheme="minorEastAsia"/>
              <w:smallCaps w:val="0"/>
              <w:sz w:val="21"/>
              <w:szCs w:val="22"/>
              <w14:ligatures w14:val="standardContextual"/>
            </w:rPr>
          </w:pPr>
          <w:r>
            <w:fldChar w:fldCharType="begin"/>
          </w:r>
          <w:r>
            <w:instrText xml:space="preserve"> HYPERLINK \l "_Toc167271427" </w:instrText>
          </w:r>
          <w:r>
            <w:fldChar w:fldCharType="separate"/>
          </w:r>
          <w:r>
            <w:rPr>
              <w:rStyle w:val="44"/>
            </w:rPr>
            <w:t>第</w:t>
          </w:r>
          <w:r>
            <w:rPr>
              <w:rStyle w:val="44"/>
              <w:rFonts w:hint="eastAsia"/>
            </w:rPr>
            <w:t>七</w:t>
          </w:r>
          <w:r>
            <w:rPr>
              <w:rStyle w:val="44"/>
            </w:rPr>
            <w:t>节 支撑碳达峰碳中和</w:t>
          </w:r>
          <w:r>
            <w:tab/>
          </w:r>
          <w:r>
            <w:fldChar w:fldCharType="begin"/>
          </w:r>
          <w:r>
            <w:instrText xml:space="preserve"> PAGEREF _Toc167271427 \h </w:instrText>
          </w:r>
          <w:r>
            <w:fldChar w:fldCharType="separate"/>
          </w:r>
          <w:r>
            <w:t>92</w:t>
          </w:r>
          <w:r>
            <w:fldChar w:fldCharType="end"/>
          </w:r>
          <w:r>
            <w:fldChar w:fldCharType="end"/>
          </w:r>
        </w:p>
        <w:p w14:paraId="78653A85">
          <w:pPr>
            <w:pStyle w:val="27"/>
            <w:tabs>
              <w:tab w:val="right" w:leader="dot" w:pos="9060"/>
            </w:tabs>
            <w:snapToGrid/>
            <w:spacing w:before="142" w:after="142"/>
            <w:contextualSpacing w:val="0"/>
            <w:rPr>
              <w:rFonts w:asciiTheme="minorHAnsi" w:hAnsiTheme="minorHAnsi" w:eastAsiaTheme="minorEastAsia"/>
              <w:bCs w:val="0"/>
              <w:caps w:val="0"/>
              <w:sz w:val="21"/>
              <w:szCs w:val="22"/>
              <w14:ligatures w14:val="standardContextual"/>
            </w:rPr>
          </w:pPr>
          <w:r>
            <w:fldChar w:fldCharType="begin"/>
          </w:r>
          <w:r>
            <w:instrText xml:space="preserve"> HYPERLINK \l "_Toc167271428" </w:instrText>
          </w:r>
          <w:r>
            <w:fldChar w:fldCharType="separate"/>
          </w:r>
          <w:r>
            <w:rPr>
              <w:rStyle w:val="44"/>
            </w:rPr>
            <w:t>第十三章 国土修复整治与存量更新</w:t>
          </w:r>
          <w:r>
            <w:tab/>
          </w:r>
          <w:r>
            <w:fldChar w:fldCharType="begin"/>
          </w:r>
          <w:r>
            <w:instrText xml:space="preserve"> PAGEREF _Toc167271428 \h </w:instrText>
          </w:r>
          <w:r>
            <w:fldChar w:fldCharType="separate"/>
          </w:r>
          <w:r>
            <w:t>93</w:t>
          </w:r>
          <w:r>
            <w:fldChar w:fldCharType="end"/>
          </w:r>
          <w:r>
            <w:fldChar w:fldCharType="end"/>
          </w:r>
        </w:p>
        <w:p w14:paraId="023E3EA2">
          <w:pPr>
            <w:pStyle w:val="32"/>
            <w:tabs>
              <w:tab w:val="right" w:leader="dot" w:pos="9060"/>
            </w:tabs>
            <w:ind w:firstLine="480"/>
            <w:rPr>
              <w:rFonts w:asciiTheme="minorHAnsi" w:hAnsiTheme="minorHAnsi" w:eastAsiaTheme="minorEastAsia"/>
              <w:smallCaps w:val="0"/>
              <w:sz w:val="21"/>
              <w:szCs w:val="22"/>
              <w14:ligatures w14:val="standardContextual"/>
            </w:rPr>
          </w:pPr>
          <w:r>
            <w:fldChar w:fldCharType="begin"/>
          </w:r>
          <w:r>
            <w:instrText xml:space="preserve"> HYPERLINK \l "_Toc167271429" </w:instrText>
          </w:r>
          <w:r>
            <w:fldChar w:fldCharType="separate"/>
          </w:r>
          <w:r>
            <w:rPr>
              <w:rStyle w:val="44"/>
            </w:rPr>
            <w:t>第一节 国土综合整治</w:t>
          </w:r>
          <w:r>
            <w:tab/>
          </w:r>
          <w:r>
            <w:fldChar w:fldCharType="begin"/>
          </w:r>
          <w:r>
            <w:instrText xml:space="preserve"> PAGEREF _Toc167271429 \h </w:instrText>
          </w:r>
          <w:r>
            <w:fldChar w:fldCharType="separate"/>
          </w:r>
          <w:r>
            <w:t>93</w:t>
          </w:r>
          <w:r>
            <w:fldChar w:fldCharType="end"/>
          </w:r>
          <w:r>
            <w:fldChar w:fldCharType="end"/>
          </w:r>
        </w:p>
        <w:p w14:paraId="0AD043D8">
          <w:pPr>
            <w:pStyle w:val="32"/>
            <w:tabs>
              <w:tab w:val="right" w:leader="dot" w:pos="9060"/>
            </w:tabs>
            <w:ind w:firstLine="480"/>
            <w:rPr>
              <w:rFonts w:asciiTheme="minorHAnsi" w:hAnsiTheme="minorHAnsi" w:eastAsiaTheme="minorEastAsia"/>
              <w:smallCaps w:val="0"/>
              <w:sz w:val="21"/>
              <w:szCs w:val="22"/>
              <w14:ligatures w14:val="standardContextual"/>
            </w:rPr>
          </w:pPr>
          <w:r>
            <w:fldChar w:fldCharType="begin"/>
          </w:r>
          <w:r>
            <w:instrText xml:space="preserve"> HYPERLINK \l "_Toc167271430" </w:instrText>
          </w:r>
          <w:r>
            <w:fldChar w:fldCharType="separate"/>
          </w:r>
          <w:r>
            <w:rPr>
              <w:rStyle w:val="44"/>
            </w:rPr>
            <w:t>第二节 生态修复</w:t>
          </w:r>
          <w:r>
            <w:tab/>
          </w:r>
          <w:r>
            <w:fldChar w:fldCharType="begin"/>
          </w:r>
          <w:r>
            <w:instrText xml:space="preserve"> PAGEREF _Toc167271430 \h </w:instrText>
          </w:r>
          <w:r>
            <w:fldChar w:fldCharType="separate"/>
          </w:r>
          <w:r>
            <w:t>95</w:t>
          </w:r>
          <w:r>
            <w:fldChar w:fldCharType="end"/>
          </w:r>
          <w:r>
            <w:fldChar w:fldCharType="end"/>
          </w:r>
        </w:p>
        <w:p w14:paraId="14A7E106">
          <w:pPr>
            <w:pStyle w:val="32"/>
            <w:tabs>
              <w:tab w:val="right" w:leader="dot" w:pos="9060"/>
            </w:tabs>
            <w:ind w:firstLine="480"/>
            <w:rPr>
              <w:rFonts w:asciiTheme="minorHAnsi" w:hAnsiTheme="minorHAnsi" w:eastAsiaTheme="minorEastAsia"/>
              <w:smallCaps w:val="0"/>
              <w:sz w:val="21"/>
              <w:szCs w:val="22"/>
              <w14:ligatures w14:val="standardContextual"/>
            </w:rPr>
          </w:pPr>
          <w:r>
            <w:fldChar w:fldCharType="begin"/>
          </w:r>
          <w:r>
            <w:instrText xml:space="preserve"> HYPERLINK \l "_Toc167271431" </w:instrText>
          </w:r>
          <w:r>
            <w:fldChar w:fldCharType="separate"/>
          </w:r>
          <w:r>
            <w:rPr>
              <w:rStyle w:val="44"/>
            </w:rPr>
            <w:t>第三节 推进存量建设用地盘活利用</w:t>
          </w:r>
          <w:r>
            <w:tab/>
          </w:r>
          <w:r>
            <w:fldChar w:fldCharType="begin"/>
          </w:r>
          <w:r>
            <w:instrText xml:space="preserve"> PAGEREF _Toc167271431 \h </w:instrText>
          </w:r>
          <w:r>
            <w:fldChar w:fldCharType="separate"/>
          </w:r>
          <w:r>
            <w:t>98</w:t>
          </w:r>
          <w:r>
            <w:fldChar w:fldCharType="end"/>
          </w:r>
          <w:r>
            <w:fldChar w:fldCharType="end"/>
          </w:r>
        </w:p>
        <w:p w14:paraId="5C3179DB">
          <w:pPr>
            <w:pStyle w:val="27"/>
            <w:tabs>
              <w:tab w:val="right" w:leader="dot" w:pos="9060"/>
            </w:tabs>
            <w:snapToGrid/>
            <w:spacing w:before="142" w:after="142"/>
            <w:contextualSpacing w:val="0"/>
            <w:rPr>
              <w:rFonts w:asciiTheme="minorHAnsi" w:hAnsiTheme="minorHAnsi" w:eastAsiaTheme="minorEastAsia"/>
              <w:bCs w:val="0"/>
              <w:caps w:val="0"/>
              <w:sz w:val="21"/>
              <w:szCs w:val="22"/>
              <w14:ligatures w14:val="standardContextual"/>
            </w:rPr>
          </w:pPr>
          <w:r>
            <w:fldChar w:fldCharType="begin"/>
          </w:r>
          <w:r>
            <w:instrText xml:space="preserve"> HYPERLINK \l "_Toc167271432" </w:instrText>
          </w:r>
          <w:r>
            <w:fldChar w:fldCharType="separate"/>
          </w:r>
          <w:r>
            <w:rPr>
              <w:rStyle w:val="44"/>
            </w:rPr>
            <w:t>第十四章 区域协调发展</w:t>
          </w:r>
          <w:r>
            <w:tab/>
          </w:r>
          <w:r>
            <w:fldChar w:fldCharType="begin"/>
          </w:r>
          <w:r>
            <w:instrText xml:space="preserve"> PAGEREF _Toc167271432 \h </w:instrText>
          </w:r>
          <w:r>
            <w:fldChar w:fldCharType="separate"/>
          </w:r>
          <w:r>
            <w:t>101</w:t>
          </w:r>
          <w:r>
            <w:fldChar w:fldCharType="end"/>
          </w:r>
          <w:r>
            <w:fldChar w:fldCharType="end"/>
          </w:r>
        </w:p>
        <w:p w14:paraId="5689CEAB">
          <w:pPr>
            <w:pStyle w:val="32"/>
            <w:tabs>
              <w:tab w:val="right" w:leader="dot" w:pos="9060"/>
            </w:tabs>
            <w:ind w:firstLine="480"/>
            <w:rPr>
              <w:rFonts w:asciiTheme="minorHAnsi" w:hAnsiTheme="minorHAnsi" w:eastAsiaTheme="minorEastAsia"/>
              <w:smallCaps w:val="0"/>
              <w:sz w:val="21"/>
              <w:szCs w:val="22"/>
              <w14:ligatures w14:val="standardContextual"/>
            </w:rPr>
          </w:pPr>
          <w:r>
            <w:fldChar w:fldCharType="begin"/>
          </w:r>
          <w:r>
            <w:instrText xml:space="preserve"> HYPERLINK \l "_Toc167271433" </w:instrText>
          </w:r>
          <w:r>
            <w:fldChar w:fldCharType="separate"/>
          </w:r>
          <w:r>
            <w:rPr>
              <w:rStyle w:val="44"/>
            </w:rPr>
            <w:t>第一节 加强北部生态发展区协作</w:t>
          </w:r>
          <w:r>
            <w:tab/>
          </w:r>
          <w:r>
            <w:fldChar w:fldCharType="begin"/>
          </w:r>
          <w:r>
            <w:instrText xml:space="preserve"> PAGEREF _Toc167271433 \h </w:instrText>
          </w:r>
          <w:r>
            <w:fldChar w:fldCharType="separate"/>
          </w:r>
          <w:r>
            <w:t>101</w:t>
          </w:r>
          <w:r>
            <w:fldChar w:fldCharType="end"/>
          </w:r>
          <w:r>
            <w:fldChar w:fldCharType="end"/>
          </w:r>
        </w:p>
        <w:p w14:paraId="5B3FD6C4">
          <w:pPr>
            <w:pStyle w:val="32"/>
            <w:tabs>
              <w:tab w:val="right" w:leader="dot" w:pos="9060"/>
            </w:tabs>
            <w:ind w:firstLine="480"/>
            <w:rPr>
              <w:rFonts w:asciiTheme="minorHAnsi" w:hAnsiTheme="minorHAnsi" w:eastAsiaTheme="minorEastAsia"/>
              <w:smallCaps w:val="0"/>
              <w:sz w:val="21"/>
              <w:szCs w:val="22"/>
              <w14:ligatures w14:val="standardContextual"/>
            </w:rPr>
          </w:pPr>
          <w:r>
            <w:fldChar w:fldCharType="begin"/>
          </w:r>
          <w:r>
            <w:instrText xml:space="preserve"> HYPERLINK \l "_Toc167271434" </w:instrText>
          </w:r>
          <w:r>
            <w:fldChar w:fldCharType="separate"/>
          </w:r>
          <w:r>
            <w:rPr>
              <w:rStyle w:val="44"/>
            </w:rPr>
            <w:t>第二节 促进区域间融合发展</w:t>
          </w:r>
          <w:r>
            <w:tab/>
          </w:r>
          <w:r>
            <w:fldChar w:fldCharType="begin"/>
          </w:r>
          <w:r>
            <w:instrText xml:space="preserve"> PAGEREF _Toc167271434 \h </w:instrText>
          </w:r>
          <w:r>
            <w:fldChar w:fldCharType="separate"/>
          </w:r>
          <w:r>
            <w:t>101</w:t>
          </w:r>
          <w:r>
            <w:fldChar w:fldCharType="end"/>
          </w:r>
          <w:r>
            <w:fldChar w:fldCharType="end"/>
          </w:r>
        </w:p>
        <w:p w14:paraId="226DBF72">
          <w:pPr>
            <w:pStyle w:val="27"/>
            <w:tabs>
              <w:tab w:val="right" w:leader="dot" w:pos="9060"/>
            </w:tabs>
            <w:snapToGrid/>
            <w:spacing w:before="142" w:after="142"/>
            <w:contextualSpacing w:val="0"/>
            <w:rPr>
              <w:rFonts w:asciiTheme="minorHAnsi" w:hAnsiTheme="minorHAnsi" w:eastAsiaTheme="minorEastAsia"/>
              <w:bCs w:val="0"/>
              <w:caps w:val="0"/>
              <w:sz w:val="21"/>
              <w:szCs w:val="22"/>
              <w14:ligatures w14:val="standardContextual"/>
            </w:rPr>
          </w:pPr>
          <w:r>
            <w:fldChar w:fldCharType="begin"/>
          </w:r>
          <w:r>
            <w:instrText xml:space="preserve"> HYPERLINK \l "_Toc167271435" </w:instrText>
          </w:r>
          <w:r>
            <w:fldChar w:fldCharType="separate"/>
          </w:r>
          <w:r>
            <w:rPr>
              <w:rStyle w:val="44"/>
            </w:rPr>
            <w:t>第十五章 规划实施保障</w:t>
          </w:r>
          <w:r>
            <w:tab/>
          </w:r>
          <w:r>
            <w:fldChar w:fldCharType="begin"/>
          </w:r>
          <w:r>
            <w:instrText xml:space="preserve"> PAGEREF _Toc167271435 \h </w:instrText>
          </w:r>
          <w:r>
            <w:fldChar w:fldCharType="separate"/>
          </w:r>
          <w:r>
            <w:t>103</w:t>
          </w:r>
          <w:r>
            <w:fldChar w:fldCharType="end"/>
          </w:r>
          <w:r>
            <w:fldChar w:fldCharType="end"/>
          </w:r>
        </w:p>
        <w:p w14:paraId="15764F28">
          <w:pPr>
            <w:pStyle w:val="32"/>
            <w:tabs>
              <w:tab w:val="right" w:leader="dot" w:pos="9060"/>
            </w:tabs>
            <w:ind w:firstLine="480"/>
            <w:rPr>
              <w:rFonts w:asciiTheme="minorHAnsi" w:hAnsiTheme="minorHAnsi" w:eastAsiaTheme="minorEastAsia"/>
              <w:smallCaps w:val="0"/>
              <w:sz w:val="21"/>
              <w:szCs w:val="22"/>
              <w14:ligatures w14:val="standardContextual"/>
            </w:rPr>
          </w:pPr>
          <w:r>
            <w:fldChar w:fldCharType="begin"/>
          </w:r>
          <w:r>
            <w:instrText xml:space="preserve"> HYPERLINK \l "_Toc167271436" </w:instrText>
          </w:r>
          <w:r>
            <w:fldChar w:fldCharType="separate"/>
          </w:r>
          <w:r>
            <w:rPr>
              <w:rStyle w:val="44"/>
            </w:rPr>
            <w:t>第一节 加强党的领导</w:t>
          </w:r>
          <w:r>
            <w:tab/>
          </w:r>
          <w:r>
            <w:fldChar w:fldCharType="begin"/>
          </w:r>
          <w:r>
            <w:instrText xml:space="preserve"> PAGEREF _Toc167271436 \h </w:instrText>
          </w:r>
          <w:r>
            <w:fldChar w:fldCharType="separate"/>
          </w:r>
          <w:r>
            <w:t>103</w:t>
          </w:r>
          <w:r>
            <w:fldChar w:fldCharType="end"/>
          </w:r>
          <w:r>
            <w:fldChar w:fldCharType="end"/>
          </w:r>
        </w:p>
        <w:p w14:paraId="3D89CCE1">
          <w:pPr>
            <w:pStyle w:val="32"/>
            <w:tabs>
              <w:tab w:val="right" w:leader="dot" w:pos="9060"/>
            </w:tabs>
            <w:ind w:firstLine="480"/>
            <w:rPr>
              <w:rFonts w:asciiTheme="minorHAnsi" w:hAnsiTheme="minorHAnsi" w:eastAsiaTheme="minorEastAsia"/>
              <w:smallCaps w:val="0"/>
              <w:sz w:val="21"/>
              <w:szCs w:val="22"/>
              <w14:ligatures w14:val="standardContextual"/>
            </w:rPr>
          </w:pPr>
          <w:r>
            <w:fldChar w:fldCharType="begin"/>
          </w:r>
          <w:r>
            <w:instrText xml:space="preserve"> HYPERLINK \l "_Toc167271437" </w:instrText>
          </w:r>
          <w:r>
            <w:fldChar w:fldCharType="separate"/>
          </w:r>
          <w:r>
            <w:rPr>
              <w:rStyle w:val="44"/>
            </w:rPr>
            <w:t>第二节 规划实施传导</w:t>
          </w:r>
          <w:r>
            <w:tab/>
          </w:r>
          <w:r>
            <w:fldChar w:fldCharType="begin"/>
          </w:r>
          <w:r>
            <w:instrText xml:space="preserve"> PAGEREF _Toc167271437 \h </w:instrText>
          </w:r>
          <w:r>
            <w:fldChar w:fldCharType="separate"/>
          </w:r>
          <w:r>
            <w:t>104</w:t>
          </w:r>
          <w:r>
            <w:fldChar w:fldCharType="end"/>
          </w:r>
          <w:r>
            <w:fldChar w:fldCharType="end"/>
          </w:r>
        </w:p>
        <w:p w14:paraId="4909D2E9">
          <w:pPr>
            <w:pStyle w:val="32"/>
            <w:tabs>
              <w:tab w:val="right" w:leader="dot" w:pos="9060"/>
            </w:tabs>
            <w:ind w:firstLine="480"/>
            <w:rPr>
              <w:rFonts w:asciiTheme="minorHAnsi" w:hAnsiTheme="minorHAnsi" w:eastAsiaTheme="minorEastAsia"/>
              <w:smallCaps w:val="0"/>
              <w:sz w:val="21"/>
              <w:szCs w:val="22"/>
              <w14:ligatures w14:val="standardContextual"/>
            </w:rPr>
          </w:pPr>
          <w:r>
            <w:fldChar w:fldCharType="begin"/>
          </w:r>
          <w:r>
            <w:instrText xml:space="preserve"> HYPERLINK \l "_Toc167271438" </w:instrText>
          </w:r>
          <w:r>
            <w:fldChar w:fldCharType="separate"/>
          </w:r>
          <w:r>
            <w:rPr>
              <w:rStyle w:val="44"/>
            </w:rPr>
            <w:t>第三节 规划实施监测评估预警</w:t>
          </w:r>
          <w:r>
            <w:tab/>
          </w:r>
          <w:r>
            <w:fldChar w:fldCharType="begin"/>
          </w:r>
          <w:r>
            <w:instrText xml:space="preserve"> PAGEREF _Toc167271438 \h </w:instrText>
          </w:r>
          <w:r>
            <w:fldChar w:fldCharType="separate"/>
          </w:r>
          <w:r>
            <w:t>107</w:t>
          </w:r>
          <w:r>
            <w:fldChar w:fldCharType="end"/>
          </w:r>
          <w:r>
            <w:fldChar w:fldCharType="end"/>
          </w:r>
        </w:p>
        <w:p w14:paraId="58152109">
          <w:pPr>
            <w:pStyle w:val="32"/>
            <w:tabs>
              <w:tab w:val="right" w:leader="dot" w:pos="9060"/>
            </w:tabs>
            <w:ind w:firstLine="480"/>
            <w:rPr>
              <w:rFonts w:asciiTheme="minorHAnsi" w:hAnsiTheme="minorHAnsi" w:eastAsiaTheme="minorEastAsia"/>
              <w:smallCaps w:val="0"/>
              <w:sz w:val="21"/>
              <w:szCs w:val="22"/>
              <w14:ligatures w14:val="standardContextual"/>
            </w:rPr>
          </w:pPr>
          <w:r>
            <w:fldChar w:fldCharType="begin"/>
          </w:r>
          <w:r>
            <w:instrText xml:space="preserve"> HYPERLINK \l "_Toc167271439" </w:instrText>
          </w:r>
          <w:r>
            <w:fldChar w:fldCharType="separate"/>
          </w:r>
          <w:r>
            <w:rPr>
              <w:rStyle w:val="44"/>
            </w:rPr>
            <w:t>第四节 近期行动和重大项目保障</w:t>
          </w:r>
          <w:r>
            <w:tab/>
          </w:r>
          <w:r>
            <w:fldChar w:fldCharType="begin"/>
          </w:r>
          <w:r>
            <w:instrText xml:space="preserve"> PAGEREF _Toc167271439 \h </w:instrText>
          </w:r>
          <w:r>
            <w:fldChar w:fldCharType="separate"/>
          </w:r>
          <w:r>
            <w:t>110</w:t>
          </w:r>
          <w:r>
            <w:fldChar w:fldCharType="end"/>
          </w:r>
          <w:r>
            <w:fldChar w:fldCharType="end"/>
          </w:r>
        </w:p>
        <w:p w14:paraId="26940258">
          <w:pPr>
            <w:ind w:firstLine="198" w:firstLineChars="71"/>
          </w:pPr>
          <w:r>
            <w:rPr>
              <w:rFonts w:ascii="Times New Roman" w:hAnsi="Times New Roman" w:eastAsia="黑体"/>
              <w:bCs/>
              <w:caps/>
              <w:sz w:val="28"/>
              <w:szCs w:val="20"/>
            </w:rPr>
            <w:fldChar w:fldCharType="end"/>
          </w:r>
        </w:p>
      </w:sdtContent>
    </w:sdt>
    <w:p w14:paraId="15DC8938">
      <w:pPr>
        <w:ind w:firstLine="560"/>
        <w:rPr>
          <w:rFonts w:ascii="Times New Roman" w:hAnsi="Times New Roman" w:eastAsia="黑体"/>
          <w:sz w:val="28"/>
          <w:szCs w:val="20"/>
        </w:rPr>
      </w:pPr>
    </w:p>
    <w:p w14:paraId="6337C9E7">
      <w:pPr>
        <w:ind w:firstLine="560"/>
        <w:rPr>
          <w:rFonts w:ascii="Times New Roman" w:hAnsi="Times New Roman" w:eastAsia="黑体"/>
          <w:sz w:val="28"/>
          <w:szCs w:val="20"/>
        </w:rPr>
        <w:sectPr>
          <w:headerReference r:id="rId5" w:type="default"/>
          <w:footerReference r:id="rId6" w:type="default"/>
          <w:pgSz w:w="11906" w:h="16838"/>
          <w:pgMar w:top="1701" w:right="1418" w:bottom="1701" w:left="1418" w:header="851" w:footer="992" w:gutter="0"/>
          <w:pgNumType w:fmt="upperRoman" w:start="1"/>
          <w:cols w:space="425" w:num="1"/>
          <w:docGrid w:type="lines" w:linePitch="408" w:charSpace="0"/>
        </w:sectPr>
      </w:pPr>
    </w:p>
    <w:p w14:paraId="5E847167">
      <w:pPr>
        <w:pStyle w:val="4"/>
        <w:numPr>
          <w:ilvl w:val="0"/>
          <w:numId w:val="0"/>
        </w:numPr>
        <w:spacing w:before="326" w:after="326"/>
        <w:rPr>
          <w:b w:val="0"/>
          <w:bCs w:val="0"/>
          <w:color w:val="000000" w:themeColor="text1"/>
          <w14:textFill>
            <w14:solidFill>
              <w14:schemeClr w14:val="tx1"/>
            </w14:solidFill>
          </w14:textFill>
        </w:rPr>
      </w:pPr>
      <w:bookmarkStart w:id="6" w:name="_Toc167271376"/>
      <w:r>
        <w:rPr>
          <w:rFonts w:hint="eastAsia"/>
          <w:b w:val="0"/>
          <w:bCs w:val="0"/>
          <w:color w:val="000000" w:themeColor="text1"/>
          <w14:textFill>
            <w14:solidFill>
              <w14:schemeClr w14:val="tx1"/>
            </w14:solidFill>
          </w14:textFill>
        </w:rPr>
        <w:t>前</w:t>
      </w:r>
      <w:r>
        <w:rPr>
          <w:rFonts w:hint="eastAsia" w:ascii="黑体" w:hAnsi="黑体"/>
          <w:b w:val="0"/>
          <w:bCs w:val="0"/>
          <w:color w:val="000000" w:themeColor="text1"/>
          <w14:textFill>
            <w14:solidFill>
              <w14:schemeClr w14:val="tx1"/>
            </w14:solidFill>
          </w14:textFill>
        </w:rPr>
        <w:t xml:space="preserve"> </w:t>
      </w:r>
      <w:r>
        <w:rPr>
          <w:rFonts w:ascii="黑体" w:hAnsi="黑体"/>
          <w:b w:val="0"/>
          <w:bCs w:val="0"/>
          <w:color w:val="000000" w:themeColor="text1"/>
          <w14:textFill>
            <w14:solidFill>
              <w14:schemeClr w14:val="tx1"/>
            </w14:solidFill>
          </w14:textFill>
        </w:rPr>
        <w:t xml:space="preserve"> </w:t>
      </w:r>
      <w:r>
        <w:rPr>
          <w:rFonts w:hint="eastAsia"/>
          <w:b w:val="0"/>
          <w:bCs w:val="0"/>
          <w:color w:val="000000" w:themeColor="text1"/>
          <w14:textFill>
            <w14:solidFill>
              <w14:schemeClr w14:val="tx1"/>
            </w14:solidFill>
          </w14:textFill>
        </w:rPr>
        <w:t>言</w:t>
      </w:r>
      <w:bookmarkEnd w:id="1"/>
      <w:bookmarkEnd w:id="2"/>
      <w:bookmarkEnd w:id="3"/>
      <w:bookmarkEnd w:id="6"/>
    </w:p>
    <w:p w14:paraId="327867C7">
      <w:pPr>
        <w:ind w:firstLine="6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仁化，位于粤、赣、湘三省交界的广东省北部边陲，地处南岭山脉南麓，东接江西省崇义、大余县，北邻湖南省汝城县，南毗浈江、曲江区，西与乐昌市毗邻，是闻名遐迩的旅游胜地，有</w:t>
      </w:r>
      <w:r>
        <w:rPr>
          <w:rFonts w:hint="eastAsia" w:ascii="仿宋_GB2312"/>
          <w:color w:val="000000" w:themeColor="text1"/>
          <w14:textFill>
            <w14:solidFill>
              <w14:schemeClr w14:val="tx1"/>
            </w14:solidFill>
          </w14:textFill>
        </w:rPr>
        <w:t>“</w:t>
      </w:r>
      <w:r>
        <w:rPr>
          <w:rFonts w:hint="eastAsia"/>
          <w:color w:val="000000" w:themeColor="text1"/>
          <w14:textFill>
            <w14:solidFill>
              <w14:schemeClr w14:val="tx1"/>
            </w14:solidFill>
          </w14:textFill>
        </w:rPr>
        <w:t>仁阳胜境</w:t>
      </w:r>
      <w:r>
        <w:rPr>
          <w:rFonts w:hint="eastAsia" w:ascii="仿宋_GB2312"/>
          <w:color w:val="000000" w:themeColor="text1"/>
          <w14:textFill>
            <w14:solidFill>
              <w14:schemeClr w14:val="tx1"/>
            </w14:solidFill>
          </w14:textFill>
        </w:rPr>
        <w:t>”</w:t>
      </w:r>
      <w:r>
        <w:rPr>
          <w:rFonts w:hint="eastAsia"/>
          <w:color w:val="000000" w:themeColor="text1"/>
          <w14:textFill>
            <w14:solidFill>
              <w14:schemeClr w14:val="tx1"/>
            </w14:solidFill>
          </w14:textFill>
        </w:rPr>
        <w:t>之美称。县域内的丹霞山是世界自然遗产地。按照党中央、国务院决策部署和广东省、韶关市工作要求，仁化县人民政府组织编制了《仁化县国土空间总体规划（</w:t>
      </w:r>
      <w:r>
        <w:rPr>
          <w:rFonts w:ascii="Times New Roman" w:hAnsi="Times New Roman" w:cs="Times New Roman"/>
          <w:color w:val="000000" w:themeColor="text1"/>
          <w:szCs w:val="24"/>
          <w14:textFill>
            <w14:solidFill>
              <w14:schemeClr w14:val="tx1"/>
            </w14:solidFill>
          </w14:textFill>
        </w:rPr>
        <w:t>2021</w:t>
      </w:r>
      <w:r>
        <w:rPr>
          <w:rFonts w:hint="eastAsia" w:ascii="仿宋_GB2312" w:hAnsi="Times New Roman" w:cs="Times New Roman"/>
          <w:color w:val="000000" w:themeColor="text1"/>
          <w:szCs w:val="24"/>
          <w14:textFill>
            <w14:solidFill>
              <w14:schemeClr w14:val="tx1"/>
            </w14:solidFill>
          </w14:textFill>
        </w:rPr>
        <w:t>—</w:t>
      </w:r>
      <w:r>
        <w:rPr>
          <w:rFonts w:ascii="Times New Roman" w:hAnsi="Times New Roman" w:cs="Times New Roman"/>
          <w:color w:val="000000" w:themeColor="text1"/>
          <w:szCs w:val="24"/>
          <w14:textFill>
            <w14:solidFill>
              <w14:schemeClr w14:val="tx1"/>
            </w14:solidFill>
          </w14:textFill>
        </w:rPr>
        <w:t>2035</w:t>
      </w:r>
      <w:r>
        <w:rPr>
          <w:color w:val="000000" w:themeColor="text1"/>
          <w14:textFill>
            <w14:solidFill>
              <w14:schemeClr w14:val="tx1"/>
            </w14:solidFill>
          </w14:textFill>
        </w:rPr>
        <w:t>年）》</w:t>
      </w:r>
      <w:r>
        <w:rPr>
          <w:rFonts w:hint="eastAsia"/>
          <w:color w:val="000000" w:themeColor="text1"/>
          <w14:textFill>
            <w14:solidFill>
              <w14:schemeClr w14:val="tx1"/>
            </w14:solidFill>
          </w14:textFill>
        </w:rPr>
        <w:t>（以下简称《规划》）</w:t>
      </w:r>
      <w:r>
        <w:rPr>
          <w:color w:val="000000" w:themeColor="text1"/>
          <w14:textFill>
            <w14:solidFill>
              <w14:schemeClr w14:val="tx1"/>
            </w14:solidFill>
          </w14:textFill>
        </w:rPr>
        <w:t>。</w:t>
      </w:r>
    </w:p>
    <w:p w14:paraId="4E2F5478">
      <w:pPr>
        <w:ind w:firstLine="6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规划》坚持以习近平新时代中国特色社会主义思想为指导，深入贯彻党的二十大精神，全面落实省委、省政府与市委、市政府决策部署和县委、县政府工作要求，围绕高质量发展首要任务和构建新发展格局战略任务，强化仁化县作为具有国际影响力的生态休闲旅游目的地、</w:t>
      </w:r>
      <w:r>
        <w:rPr>
          <w:rFonts w:hint="eastAsia" w:ascii="仿宋_GB2312" w:hAnsi="黑体"/>
          <w:szCs w:val="30"/>
        </w:rPr>
        <w:t>韶关产城融合转型发展实践地</w:t>
      </w:r>
      <w:r>
        <w:rPr>
          <w:rFonts w:hint="eastAsia"/>
          <w:color w:val="000000" w:themeColor="text1"/>
          <w14:textFill>
            <w14:solidFill>
              <w14:schemeClr w14:val="tx1"/>
            </w14:solidFill>
          </w14:textFill>
        </w:rPr>
        <w:t>、彰显丹霞文化特色的山水精致城市的主要职能，统筹安排全域全要素空间资源布局，支撑仁化奋力打造生态优先、绿色发展韶关样板。</w:t>
      </w:r>
    </w:p>
    <w:p w14:paraId="677DADD4">
      <w:pPr>
        <w:ind w:firstLine="600"/>
        <w:jc w:val="both"/>
      </w:pPr>
      <w:r>
        <w:rPr>
          <w:rFonts w:hint="eastAsia"/>
          <w:color w:val="000000" w:themeColor="text1"/>
          <w14:textFill>
            <w14:solidFill>
              <w14:schemeClr w14:val="tx1"/>
            </w14:solidFill>
          </w14:textFill>
        </w:rPr>
        <w:t>《规划》是全县“奋力打造北部生态发展区绿色发展仁化样板”的空间蓝图；是统筹全县国土空间保护、开发、利用、修复和指导各类建设的纲领性文件，是下位国土空间总体规划、详细规划等下层次空间规划的编制依据，是相关国土空间专项规划的基础。</w:t>
      </w:r>
      <w:r>
        <w:br w:type="page"/>
      </w:r>
    </w:p>
    <w:p w14:paraId="5488362E">
      <w:pPr>
        <w:pStyle w:val="4"/>
        <w:spacing w:before="326" w:beforeLines="100" w:after="326" w:afterLines="100"/>
        <w:ind w:firstLine="726"/>
        <w:rPr>
          <w:b w:val="0"/>
          <w:bCs w:val="0"/>
          <w:color w:val="000000" w:themeColor="text1"/>
          <w14:textFill>
            <w14:solidFill>
              <w14:schemeClr w14:val="tx1"/>
            </w14:solidFill>
          </w14:textFill>
        </w:rPr>
      </w:pPr>
      <w:bookmarkStart w:id="7" w:name="_Toc167271377"/>
      <w:bookmarkStart w:id="8" w:name="_Toc141887841"/>
      <w:bookmarkStart w:id="9" w:name="_Toc132305744"/>
      <w:bookmarkStart w:id="10" w:name="_Toc27482"/>
      <w:r>
        <w:rPr>
          <w:b w:val="0"/>
          <w:bCs w:val="0"/>
          <w:color w:val="000000" w:themeColor="text1"/>
          <w14:textFill>
            <w14:solidFill>
              <w14:schemeClr w14:val="tx1"/>
            </w14:solidFill>
          </w14:textFill>
        </w:rPr>
        <w:t>总则</w:t>
      </w:r>
      <w:bookmarkEnd w:id="7"/>
      <w:bookmarkEnd w:id="8"/>
      <w:bookmarkEnd w:id="9"/>
      <w:bookmarkEnd w:id="10"/>
    </w:p>
    <w:bookmarkEnd w:id="4"/>
    <w:bookmarkEnd w:id="5"/>
    <w:p w14:paraId="28AE09D2">
      <w:pPr>
        <w:pStyle w:val="6"/>
        <w:spacing w:before="163" w:after="163"/>
      </w:pPr>
      <w:bookmarkStart w:id="11" w:name="_Toc143357097"/>
      <w:bookmarkEnd w:id="11"/>
      <w:bookmarkStart w:id="12" w:name="_Toc143260706"/>
      <w:bookmarkEnd w:id="12"/>
      <w:bookmarkStart w:id="13" w:name="_Toc143099014"/>
      <w:bookmarkEnd w:id="13"/>
      <w:bookmarkStart w:id="14" w:name="_Toc142391182"/>
      <w:bookmarkEnd w:id="14"/>
      <w:bookmarkStart w:id="15" w:name="_Toc143357969"/>
      <w:bookmarkEnd w:id="15"/>
      <w:bookmarkStart w:id="16" w:name="_Toc143354201"/>
      <w:bookmarkEnd w:id="16"/>
      <w:bookmarkStart w:id="17" w:name="_Toc143099299"/>
      <w:bookmarkEnd w:id="17"/>
      <w:bookmarkStart w:id="18" w:name="_Toc143356213"/>
      <w:bookmarkEnd w:id="18"/>
      <w:bookmarkStart w:id="19" w:name="_Toc142495524"/>
      <w:bookmarkEnd w:id="19"/>
      <w:bookmarkStart w:id="20" w:name="_Toc142380836"/>
      <w:bookmarkEnd w:id="20"/>
      <w:bookmarkStart w:id="21" w:name="_Toc143355923"/>
      <w:bookmarkEnd w:id="21"/>
      <w:bookmarkStart w:id="22" w:name="_Toc143353911"/>
      <w:bookmarkEnd w:id="22"/>
      <w:bookmarkStart w:id="23" w:name="_Toc143353625"/>
      <w:bookmarkEnd w:id="23"/>
      <w:bookmarkStart w:id="24" w:name="_Toc143354485"/>
      <w:bookmarkEnd w:id="24"/>
      <w:bookmarkStart w:id="25" w:name="_Toc143355053"/>
      <w:bookmarkEnd w:id="25"/>
      <w:bookmarkStart w:id="26" w:name="_Toc143357678"/>
      <w:bookmarkEnd w:id="26"/>
      <w:bookmarkStart w:id="27" w:name="_Toc143358259"/>
      <w:bookmarkEnd w:id="27"/>
      <w:bookmarkStart w:id="28" w:name="_Toc143355343"/>
      <w:bookmarkEnd w:id="28"/>
      <w:bookmarkStart w:id="29" w:name="_Toc143357387"/>
      <w:bookmarkEnd w:id="29"/>
      <w:bookmarkStart w:id="30" w:name="_Toc142400584"/>
      <w:bookmarkEnd w:id="30"/>
      <w:bookmarkStart w:id="31" w:name="_Toc143355633"/>
      <w:bookmarkEnd w:id="31"/>
      <w:bookmarkStart w:id="32" w:name="_Toc142390922"/>
      <w:bookmarkEnd w:id="32"/>
      <w:bookmarkStart w:id="33" w:name="_Toc143358550"/>
      <w:bookmarkEnd w:id="33"/>
      <w:bookmarkStart w:id="34" w:name="_Toc142390335"/>
      <w:bookmarkEnd w:id="34"/>
      <w:bookmarkStart w:id="35" w:name="_Toc143352651"/>
      <w:bookmarkEnd w:id="35"/>
      <w:bookmarkStart w:id="36" w:name="_Toc143356503"/>
      <w:bookmarkEnd w:id="36"/>
      <w:bookmarkStart w:id="37" w:name="_Toc142466844"/>
      <w:bookmarkEnd w:id="37"/>
      <w:bookmarkStart w:id="38" w:name="_Toc143352947"/>
      <w:bookmarkEnd w:id="38"/>
      <w:bookmarkStart w:id="39" w:name="_Toc143354769"/>
      <w:bookmarkEnd w:id="39"/>
      <w:bookmarkStart w:id="40" w:name="_Toc142402797"/>
      <w:bookmarkEnd w:id="40"/>
      <w:bookmarkStart w:id="41" w:name="_Toc143356807"/>
      <w:bookmarkEnd w:id="41"/>
      <w:bookmarkStart w:id="42" w:name="_Toc142381101"/>
      <w:bookmarkEnd w:id="42"/>
      <w:bookmarkStart w:id="43" w:name="_Toc142403048"/>
      <w:bookmarkEnd w:id="43"/>
      <w:bookmarkStart w:id="44" w:name="_Toc142858755"/>
      <w:bookmarkEnd w:id="44"/>
      <w:bookmarkStart w:id="45" w:name="_Toc18191"/>
      <w:bookmarkStart w:id="46" w:name="_Toc141887842"/>
      <w:bookmarkStart w:id="47" w:name="_Toc132305745"/>
      <w:r>
        <w:rPr>
          <w:rFonts w:hint="eastAsia"/>
        </w:rPr>
        <w:t>编制目的</w:t>
      </w:r>
      <w:bookmarkEnd w:id="45"/>
      <w:bookmarkEnd w:id="46"/>
      <w:bookmarkEnd w:id="47"/>
    </w:p>
    <w:p w14:paraId="60C4EC0B">
      <w:pPr>
        <w:ind w:firstLine="6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为全面贯彻落实《中共中央</w:t>
      </w:r>
      <w:r>
        <w:rPr>
          <w:color w:val="000000" w:themeColor="text1"/>
          <w14:textFill>
            <w14:solidFill>
              <w14:schemeClr w14:val="tx1"/>
            </w14:solidFill>
          </w14:textFill>
        </w:rPr>
        <w:t xml:space="preserve"> 国务院关于建立国土空间规划体系并监督实施的若干意见》（中发</w:t>
      </w:r>
      <w:r>
        <w:rPr>
          <w:rFonts w:ascii="Times New Roman" w:hAnsi="Times New Roman" w:cs="Times New Roman"/>
          <w:color w:val="000000" w:themeColor="text1"/>
          <w14:textFill>
            <w14:solidFill>
              <w14:schemeClr w14:val="tx1"/>
            </w14:solidFill>
          </w14:textFill>
        </w:rPr>
        <w:t>〔2019〕18</w:t>
      </w:r>
      <w:r>
        <w:rPr>
          <w:color w:val="000000" w:themeColor="text1"/>
          <w14:textFill>
            <w14:solidFill>
              <w14:schemeClr w14:val="tx1"/>
            </w14:solidFill>
          </w14:textFill>
        </w:rPr>
        <w:t>号）、</w:t>
      </w:r>
      <w:r>
        <w:rPr>
          <w:rFonts w:hint="eastAsia"/>
          <w:color w:val="000000" w:themeColor="text1"/>
          <w14:textFill>
            <w14:solidFill>
              <w14:schemeClr w14:val="tx1"/>
            </w14:solidFill>
          </w14:textFill>
        </w:rPr>
        <w:t>《中共广东省委</w:t>
      </w:r>
      <w:r>
        <w:rPr>
          <w:color w:val="000000" w:themeColor="text1"/>
          <w14:textFill>
            <w14:solidFill>
              <w14:schemeClr w14:val="tx1"/>
            </w14:solidFill>
          </w14:textFill>
        </w:rPr>
        <w:t xml:space="preserve"> 广东省人民政府印发〈关于建立国土空间规划体系并监督实施的若干措施〉的通知》（粤发</w:t>
      </w:r>
      <w:r>
        <w:rPr>
          <w:rFonts w:ascii="Times New Roman" w:hAnsi="Times New Roman" w:cs="Times New Roman"/>
          <w:color w:val="000000" w:themeColor="text1"/>
          <w14:textFill>
            <w14:solidFill>
              <w14:schemeClr w14:val="tx1"/>
            </w14:solidFill>
          </w14:textFill>
        </w:rPr>
        <w:t>〔2021〕5</w:t>
      </w:r>
      <w:r>
        <w:rPr>
          <w:color w:val="000000" w:themeColor="text1"/>
          <w14:textFill>
            <w14:solidFill>
              <w14:schemeClr w14:val="tx1"/>
            </w14:solidFill>
          </w14:textFill>
        </w:rPr>
        <w:t>号），</w:t>
      </w:r>
      <w:r>
        <w:rPr>
          <w:rFonts w:hint="eastAsia"/>
          <w:color w:val="000000" w:themeColor="text1"/>
          <w14:textFill>
            <w14:solidFill>
              <w14:schemeClr w14:val="tx1"/>
            </w14:solidFill>
          </w14:textFill>
        </w:rPr>
        <w:t>对仁化县域范围内国土空间开发保护作出总体安排和综合部署，合理保护与利用全县国土空间资源，</w:t>
      </w:r>
      <w:r>
        <w:rPr>
          <w:color w:val="000000" w:themeColor="text1"/>
          <w14:textFill>
            <w14:solidFill>
              <w14:schemeClr w14:val="tx1"/>
            </w14:solidFill>
          </w14:textFill>
        </w:rPr>
        <w:t>为</w:t>
      </w:r>
      <w:r>
        <w:rPr>
          <w:rFonts w:hint="eastAsia"/>
          <w:color w:val="000000" w:themeColor="text1"/>
          <w14:textFill>
            <w14:solidFill>
              <w14:schemeClr w14:val="tx1"/>
            </w14:solidFill>
          </w14:textFill>
        </w:rPr>
        <w:t>实施</w:t>
      </w:r>
      <w:r>
        <w:rPr>
          <w:rFonts w:hint="eastAsia"/>
        </w:rPr>
        <w:t>对接融入和支持服务</w:t>
      </w:r>
      <w:r>
        <w:rPr>
          <w:rFonts w:hint="eastAsia" w:ascii="仿宋_GB2312"/>
          <w:color w:val="000000" w:themeColor="text1"/>
          <w14:textFill>
            <w14:solidFill>
              <w14:schemeClr w14:val="tx1"/>
            </w14:solidFill>
          </w14:textFill>
        </w:rPr>
        <w:t>“</w:t>
      </w:r>
      <w:r>
        <w:rPr>
          <w:rFonts w:hint="eastAsia"/>
          <w:color w:val="000000" w:themeColor="text1"/>
          <w14:textFill>
            <w14:solidFill>
              <w14:schemeClr w14:val="tx1"/>
            </w14:solidFill>
          </w14:textFill>
        </w:rPr>
        <w:t>双区</w:t>
      </w:r>
      <w:r>
        <w:rPr>
          <w:rFonts w:hint="eastAsia" w:ascii="仿宋_GB2312"/>
          <w:color w:val="000000" w:themeColor="text1"/>
          <w14:textFill>
            <w14:solidFill>
              <w14:schemeClr w14:val="tx1"/>
            </w14:solidFill>
          </w14:textFill>
        </w:rPr>
        <w:t>”</w:t>
      </w:r>
      <w:r>
        <w:rPr>
          <w:rStyle w:val="46"/>
          <w:rFonts w:ascii="Times New Roman" w:hAnsi="Times New Roman" w:cs="Times New Roman"/>
          <w:color w:val="000000" w:themeColor="text1"/>
          <w14:textFill>
            <w14:solidFill>
              <w14:schemeClr w14:val="tx1"/>
            </w14:solidFill>
          </w14:textFill>
        </w:rPr>
        <w:footnoteReference w:id="0"/>
      </w:r>
      <w:r>
        <w:rPr>
          <w:rFonts w:hint="eastAsia" w:ascii="仿宋_GB2312"/>
          <w:color w:val="000000" w:themeColor="text1"/>
          <w14:textFill>
            <w14:solidFill>
              <w14:schemeClr w14:val="tx1"/>
            </w14:solidFill>
          </w14:textFill>
        </w:rPr>
        <w:t>、</w:t>
      </w:r>
      <w:r>
        <w:rPr>
          <w:rFonts w:hint="eastAsia"/>
          <w:color w:val="000000" w:themeColor="text1"/>
          <w14:textFill>
            <w14:solidFill>
              <w14:schemeClr w14:val="tx1"/>
            </w14:solidFill>
          </w14:textFill>
        </w:rPr>
        <w:t>制造业当家、实施“百县千镇万村高质量发展工程”、绿美仁化生态建设提供空间保障，</w:t>
      </w:r>
      <w:r>
        <w:rPr>
          <w:color w:val="000000" w:themeColor="text1"/>
          <w14:textFill>
            <w14:solidFill>
              <w14:schemeClr w14:val="tx1"/>
            </w14:solidFill>
          </w14:textFill>
        </w:rPr>
        <w:t>支撑</w:t>
      </w:r>
      <w:r>
        <w:rPr>
          <w:rFonts w:hint="eastAsia"/>
          <w:color w:val="000000" w:themeColor="text1"/>
          <w14:textFill>
            <w14:solidFill>
              <w14:schemeClr w14:val="tx1"/>
            </w14:solidFill>
          </w14:textFill>
        </w:rPr>
        <w:t>仁化县</w:t>
      </w:r>
      <w:r>
        <w:rPr>
          <w:color w:val="000000" w:themeColor="text1"/>
          <w14:textFill>
            <w14:solidFill>
              <w14:schemeClr w14:val="tx1"/>
            </w14:solidFill>
          </w14:textFill>
        </w:rPr>
        <w:t>高质量发展，根据</w:t>
      </w:r>
      <w:r>
        <w:rPr>
          <w:rFonts w:hint="eastAsia"/>
          <w:color w:val="000000" w:themeColor="text1"/>
          <w14:textFill>
            <w14:solidFill>
              <w14:schemeClr w14:val="tx1"/>
            </w14:solidFill>
          </w14:textFill>
        </w:rPr>
        <w:t>《</w:t>
      </w:r>
      <w:r>
        <w:rPr>
          <w:rFonts w:hint="eastAsia"/>
        </w:rPr>
        <w:t>全国国土空间规划纲要（</w:t>
      </w:r>
      <w:r>
        <w:rPr>
          <w:rFonts w:ascii="Times New Roman" w:hAnsi="Times New Roman" w:cs="Times New Roman"/>
        </w:rPr>
        <w:t>2021</w:t>
      </w:r>
      <w:r>
        <w:rPr>
          <w:rFonts w:hint="eastAsia" w:ascii="Times New Roman" w:hAnsi="Times New Roman" w:cs="Times New Roman"/>
        </w:rPr>
        <w:t>—</w:t>
      </w:r>
      <w:r>
        <w:rPr>
          <w:rFonts w:ascii="Times New Roman" w:hAnsi="Times New Roman" w:cs="Times New Roman"/>
        </w:rPr>
        <w:t>2035</w:t>
      </w:r>
      <w:r>
        <w:rPr>
          <w:rFonts w:hint="eastAsia"/>
        </w:rPr>
        <w:t>年）》《广东省国土空间规划（</w:t>
      </w:r>
      <w:r>
        <w:rPr>
          <w:rFonts w:ascii="Times New Roman" w:hAnsi="Times New Roman" w:cs="Times New Roman"/>
        </w:rPr>
        <w:t>2021</w:t>
      </w:r>
      <w:r>
        <w:rPr>
          <w:rFonts w:hint="eastAsia" w:ascii="Times New Roman" w:hAnsi="Times New Roman" w:cs="Times New Roman"/>
        </w:rPr>
        <w:t>—</w:t>
      </w:r>
      <w:r>
        <w:rPr>
          <w:rFonts w:ascii="Times New Roman" w:hAnsi="Times New Roman" w:cs="Times New Roman"/>
        </w:rPr>
        <w:t>2035</w:t>
      </w:r>
      <w:r>
        <w:rPr>
          <w:rFonts w:hint="eastAsia"/>
        </w:rPr>
        <w:t>年）》《韶关市国土空间总体规划（</w:t>
      </w:r>
      <w:r>
        <w:rPr>
          <w:rFonts w:ascii="Times New Roman" w:hAnsi="Times New Roman" w:cs="Times New Roman"/>
        </w:rPr>
        <w:t>2021</w:t>
      </w:r>
      <w:r>
        <w:rPr>
          <w:rFonts w:hint="eastAsia" w:ascii="Times New Roman" w:hAnsi="Times New Roman" w:cs="Times New Roman"/>
        </w:rPr>
        <w:t>—</w:t>
      </w:r>
      <w:r>
        <w:rPr>
          <w:rFonts w:ascii="Times New Roman" w:hAnsi="Times New Roman" w:cs="Times New Roman"/>
        </w:rPr>
        <w:t>2035</w:t>
      </w:r>
      <w:r>
        <w:rPr>
          <w:rFonts w:hint="eastAsia"/>
        </w:rPr>
        <w:t>年）》以及国家、广东省、韶关市法规政策和技术标准，以及仁化县相关政策文件及标准规范，制定本规划</w:t>
      </w:r>
      <w:r>
        <w:rPr>
          <w:color w:val="000000" w:themeColor="text1"/>
          <w14:textFill>
            <w14:solidFill>
              <w14:schemeClr w14:val="tx1"/>
            </w14:solidFill>
          </w14:textFill>
        </w:rPr>
        <w:t>。</w:t>
      </w:r>
    </w:p>
    <w:p w14:paraId="7F788190">
      <w:pPr>
        <w:pStyle w:val="6"/>
        <w:spacing w:before="163" w:after="163"/>
        <w:rPr>
          <w:b/>
        </w:rPr>
      </w:pPr>
      <w:bookmarkStart w:id="48" w:name="_Toc132048861"/>
      <w:bookmarkEnd w:id="48"/>
      <w:bookmarkStart w:id="49" w:name="_Toc132048079"/>
      <w:bookmarkEnd w:id="49"/>
      <w:bookmarkStart w:id="50" w:name="_Toc132305746"/>
      <w:bookmarkStart w:id="51" w:name="_Toc22464"/>
      <w:bookmarkStart w:id="52" w:name="_Toc141887843"/>
      <w:r>
        <w:rPr>
          <w:rFonts w:hint="eastAsia"/>
        </w:rPr>
        <w:t>规划依据</w:t>
      </w:r>
      <w:bookmarkEnd w:id="50"/>
      <w:bookmarkEnd w:id="51"/>
      <w:bookmarkEnd w:id="52"/>
    </w:p>
    <w:p w14:paraId="7C2F15BF">
      <w:pPr>
        <w:ind w:firstLine="600" w:firstLineChars="20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1.《中华人民共和国土地管理法》（2019年修正）</w:t>
      </w:r>
    </w:p>
    <w:p w14:paraId="3C92D536">
      <w:pPr>
        <w:ind w:firstLine="600" w:firstLineChars="20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2.《中华人民共和国城乡规划法》（2019年修正）</w:t>
      </w:r>
    </w:p>
    <w:p w14:paraId="2ED0FC46">
      <w:pPr>
        <w:ind w:firstLine="600" w:firstLineChars="20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3.《广东省土地管理条例》（2022年）</w:t>
      </w:r>
    </w:p>
    <w:p w14:paraId="1D82A875">
      <w:pPr>
        <w:ind w:firstLine="600" w:firstLineChars="20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4.《广东省城乡规划条例》（2012年）</w:t>
      </w:r>
    </w:p>
    <w:p w14:paraId="27A18673">
      <w:pPr>
        <w:ind w:firstLine="600" w:firstLineChars="20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5.《中共中央 国务院关于建立国土空间规划体系并监督实施的若干意见》（中发〔2019〕18号）</w:t>
      </w:r>
    </w:p>
    <w:p w14:paraId="7293D431">
      <w:pPr>
        <w:ind w:firstLine="600" w:firstLineChars="20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6.《中共中央办公厅 国务院办公厅印发〈关于在国土空间规划中统筹划定落实三条控制线的指导意见〉的通知》（厅字〔2019〕48号）</w:t>
      </w:r>
    </w:p>
    <w:p w14:paraId="3C184097">
      <w:pPr>
        <w:ind w:firstLine="600" w:firstLineChars="20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7.</w:t>
      </w:r>
      <w:r>
        <w:rPr>
          <w:rFonts w:hint="eastAsia" w:ascii="Times New Roman" w:hAnsi="Times New Roman" w:cs="Times New Roman"/>
          <w:color w:val="000000" w:themeColor="text1"/>
          <w14:textFill>
            <w14:solidFill>
              <w14:schemeClr w14:val="tx1"/>
            </w14:solidFill>
          </w14:textFill>
        </w:rPr>
        <w:t>《中共广东省委</w:t>
      </w:r>
      <w:r>
        <w:rPr>
          <w:rFonts w:ascii="Times New Roman" w:hAnsi="Times New Roman" w:cs="Times New Roman"/>
          <w:color w:val="000000" w:themeColor="text1"/>
          <w14:textFill>
            <w14:solidFill>
              <w14:schemeClr w14:val="tx1"/>
            </w14:solidFill>
          </w14:textFill>
        </w:rPr>
        <w:t xml:space="preserve"> 广东省人民政府印发〈关于建立国土空间规划体系并监督实施的若干措施〉》（粤发〔2021〕5号）</w:t>
      </w:r>
    </w:p>
    <w:p w14:paraId="450226BF">
      <w:pPr>
        <w:ind w:firstLine="600" w:firstLineChars="20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8.《中华人民共和国国民经济和社会发展第十四个五年规划和2035年远景目标纲要》</w:t>
      </w:r>
    </w:p>
    <w:p w14:paraId="11FF4F55">
      <w:pPr>
        <w:ind w:firstLine="600" w:firstLineChars="20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9.《全国国土空间规划纲要（2021</w:t>
      </w:r>
      <w:r>
        <w:rPr>
          <w:rFonts w:hint="default"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2035年）》</w:t>
      </w:r>
    </w:p>
    <w:p w14:paraId="0037C008">
      <w:pPr>
        <w:ind w:firstLine="600" w:firstLineChars="20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10.《广东省国民经济和社会发展第十四个五年规划和2035年远景目标纲要》</w:t>
      </w:r>
    </w:p>
    <w:p w14:paraId="6F07732C">
      <w:pPr>
        <w:ind w:firstLine="600" w:firstLineChars="20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11.《广东省国土空间规划（2021</w:t>
      </w:r>
      <w:r>
        <w:rPr>
          <w:rFonts w:hint="default"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2035年）》</w:t>
      </w:r>
    </w:p>
    <w:p w14:paraId="0DB0EC92">
      <w:pPr>
        <w:ind w:firstLine="600" w:firstLineChars="20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12.</w:t>
      </w:r>
      <w:r>
        <w:rPr>
          <w:rFonts w:hint="default" w:ascii="Times New Roman" w:hAnsi="Times New Roman" w:cs="Times New Roman"/>
          <w:color w:val="000000" w:themeColor="text1"/>
          <w14:textFill>
            <w14:solidFill>
              <w14:schemeClr w14:val="tx1"/>
            </w14:solidFill>
          </w14:textFill>
        </w:rPr>
        <w:t>《韶关市国民经济和社会发展第十四个五年规划和二〇三五年远景目标纲要》</w:t>
      </w:r>
    </w:p>
    <w:p w14:paraId="6C3E2BA5">
      <w:pPr>
        <w:ind w:firstLine="600" w:firstLineChars="20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13.</w:t>
      </w:r>
      <w:r>
        <w:rPr>
          <w:rFonts w:hint="default" w:ascii="Times New Roman" w:hAnsi="Times New Roman" w:cs="Times New Roman"/>
          <w:color w:val="000000" w:themeColor="text1"/>
          <w14:textFill>
            <w14:solidFill>
              <w14:schemeClr w14:val="tx1"/>
            </w14:solidFill>
          </w14:textFill>
        </w:rPr>
        <w:t>《韶关市国土空间总体规划（</w:t>
      </w:r>
      <w:r>
        <w:rPr>
          <w:rFonts w:ascii="Times New Roman" w:hAnsi="Times New Roman" w:cs="Times New Roman"/>
          <w:color w:val="000000" w:themeColor="text1"/>
          <w14:textFill>
            <w14:solidFill>
              <w14:schemeClr w14:val="tx1"/>
            </w14:solidFill>
          </w14:textFill>
        </w:rPr>
        <w:t>2021</w:t>
      </w: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2035</w:t>
      </w:r>
      <w:r>
        <w:rPr>
          <w:rFonts w:hint="default" w:ascii="Times New Roman" w:hAnsi="Times New Roman" w:cs="Times New Roman"/>
          <w:color w:val="000000" w:themeColor="text1"/>
          <w14:textFill>
            <w14:solidFill>
              <w14:schemeClr w14:val="tx1"/>
            </w14:solidFill>
          </w14:textFill>
        </w:rPr>
        <w:t>年）》</w:t>
      </w:r>
    </w:p>
    <w:p w14:paraId="683D4A81">
      <w:pPr>
        <w:ind w:firstLine="600" w:firstLineChars="200"/>
        <w:jc w:val="both"/>
        <w:rPr>
          <w:rFonts w:ascii="Times New Roman" w:hAnsi="Times New Roman" w:cs="Times New Roman"/>
          <w:color w:val="000000" w:themeColor="text1"/>
          <w:kern w:val="2"/>
          <w:szCs w:val="22"/>
          <w14:textFill>
            <w14:solidFill>
              <w14:schemeClr w14:val="tx1"/>
            </w14:solidFill>
          </w14:textFill>
        </w:rPr>
      </w:pPr>
      <w:r>
        <w:rPr>
          <w:rFonts w:ascii="Times New Roman" w:hAnsi="Times New Roman" w:cs="Times New Roman"/>
          <w:color w:val="000000" w:themeColor="text1"/>
          <w14:textFill>
            <w14:solidFill>
              <w14:schemeClr w14:val="tx1"/>
            </w14:solidFill>
          </w14:textFill>
        </w:rPr>
        <w:t>14.</w:t>
      </w:r>
      <w:r>
        <w:rPr>
          <w:rFonts w:hint="default" w:ascii="Times New Roman" w:hAnsi="Times New Roman" w:cs="Times New Roman"/>
          <w:color w:val="000000" w:themeColor="text1"/>
          <w14:textFill>
            <w14:solidFill>
              <w14:schemeClr w14:val="tx1"/>
            </w14:solidFill>
          </w14:textFill>
        </w:rPr>
        <w:t>《国土空间调查、规划、用途管制用地用海分类指南（试行）》（</w:t>
      </w:r>
      <w:r>
        <w:rPr>
          <w:rFonts w:ascii="Times New Roman" w:hAnsi="Times New Roman" w:cs="Times New Roman"/>
          <w:color w:val="000000" w:themeColor="text1"/>
          <w14:textFill>
            <w14:solidFill>
              <w14:schemeClr w14:val="tx1"/>
            </w14:solidFill>
          </w14:textFill>
        </w:rPr>
        <w:t>2020</w:t>
      </w:r>
      <w:r>
        <w:rPr>
          <w:rFonts w:hint="default" w:ascii="Times New Roman" w:hAnsi="Times New Roman" w:cs="Times New Roman"/>
          <w:color w:val="000000" w:themeColor="text1"/>
          <w14:textFill>
            <w14:solidFill>
              <w14:schemeClr w14:val="tx1"/>
            </w14:solidFill>
          </w14:textFill>
        </w:rPr>
        <w:t>年）</w:t>
      </w:r>
    </w:p>
    <w:p w14:paraId="2D6EEE21">
      <w:pPr>
        <w:ind w:firstLine="600" w:firstLineChars="20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15.《广东省</w:t>
      </w:r>
      <w:r>
        <w:rPr>
          <w:rFonts w:hint="eastAsia" w:ascii="Times New Roman" w:hAnsi="Times New Roman" w:cs="Times New Roman"/>
          <w:color w:val="000000" w:themeColor="text1"/>
          <w14:textFill>
            <w14:solidFill>
              <w14:schemeClr w14:val="tx1"/>
            </w14:solidFill>
          </w14:textFill>
        </w:rPr>
        <w:t>县</w:t>
      </w:r>
      <w:r>
        <w:rPr>
          <w:rFonts w:ascii="Times New Roman" w:hAnsi="Times New Roman" w:cs="Times New Roman"/>
          <w:color w:val="000000" w:themeColor="text1"/>
          <w14:textFill>
            <w14:solidFill>
              <w14:schemeClr w14:val="tx1"/>
            </w14:solidFill>
          </w14:textFill>
        </w:rPr>
        <w:t>级国土空间规划编制</w:t>
      </w:r>
      <w:r>
        <w:rPr>
          <w:rFonts w:hint="eastAsia" w:ascii="Times New Roman" w:hAnsi="Times New Roman" w:cs="Times New Roman"/>
          <w:color w:val="000000" w:themeColor="text1"/>
          <w14:textFill>
            <w14:solidFill>
              <w14:schemeClr w14:val="tx1"/>
            </w14:solidFill>
          </w14:textFill>
        </w:rPr>
        <w:t>技术指南</w:t>
      </w:r>
      <w:r>
        <w:rPr>
          <w:rFonts w:ascii="Times New Roman" w:hAnsi="Times New Roman" w:cs="Times New Roman"/>
          <w:color w:val="000000" w:themeColor="text1"/>
          <w14:textFill>
            <w14:solidFill>
              <w14:schemeClr w14:val="tx1"/>
            </w14:solidFill>
          </w14:textFill>
        </w:rPr>
        <w:t>（试行）》（2022年）</w:t>
      </w:r>
    </w:p>
    <w:p w14:paraId="378782B4">
      <w:pPr>
        <w:ind w:firstLine="600" w:firstLineChars="20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16.</w:t>
      </w:r>
      <w:r>
        <w:rPr>
          <w:rFonts w:hint="eastAsia" w:ascii="Times New Roman" w:hAnsi="Times New Roman" w:cs="Times New Roman"/>
          <w:color w:val="000000" w:themeColor="text1"/>
          <w14:textFill>
            <w14:solidFill>
              <w14:schemeClr w14:val="tx1"/>
            </w14:solidFill>
          </w14:textFill>
        </w:rPr>
        <w:t>《仁化县国民经济和社会发展第十四个五年规划和二</w:t>
      </w:r>
      <w:r>
        <w:rPr>
          <w:rFonts w:hint="default" w:ascii="Times New Roman" w:hAnsi="Times New Roman" w:eastAsia="仿宋_GB2312" w:cs="Times New Roman"/>
          <w:color w:val="000000" w:themeColor="text1"/>
          <w14:textFill>
            <w14:solidFill>
              <w14:schemeClr w14:val="tx1"/>
            </w14:solidFill>
          </w14:textFill>
        </w:rPr>
        <w:t>〇</w:t>
      </w:r>
      <w:r>
        <w:rPr>
          <w:rFonts w:hint="default" w:ascii="Times New Roman" w:hAnsi="Times New Roman" w:cs="Times New Roman"/>
          <w:color w:val="000000" w:themeColor="text1"/>
          <w14:textFill>
            <w14:solidFill>
              <w14:schemeClr w14:val="tx1"/>
            </w14:solidFill>
          </w14:textFill>
        </w:rPr>
        <w:t>三五年远景目标纲要》</w:t>
      </w:r>
    </w:p>
    <w:p w14:paraId="4E0D0D91">
      <w:pPr>
        <w:ind w:firstLine="600" w:firstLineChars="20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17.其他相关法律法规、政策文件</w:t>
      </w:r>
      <w:r>
        <w:rPr>
          <w:rFonts w:hint="eastAsia" w:ascii="Times New Roman" w:hAnsi="Times New Roman" w:cs="Times New Roman"/>
          <w:color w:val="000000" w:themeColor="text1"/>
          <w14:textFill>
            <w14:solidFill>
              <w14:schemeClr w14:val="tx1"/>
            </w14:solidFill>
          </w14:textFill>
        </w:rPr>
        <w:t>和技术规范等</w:t>
      </w:r>
    </w:p>
    <w:p w14:paraId="2CC30A16">
      <w:pPr>
        <w:pStyle w:val="6"/>
        <w:spacing w:before="163" w:after="163"/>
        <w:rPr>
          <w:b/>
        </w:rPr>
      </w:pPr>
      <w:bookmarkStart w:id="53" w:name="_Toc145499853"/>
      <w:bookmarkEnd w:id="53"/>
      <w:bookmarkStart w:id="54" w:name="_Toc132048863"/>
      <w:bookmarkEnd w:id="54"/>
      <w:bookmarkStart w:id="55" w:name="_Toc132048081"/>
      <w:bookmarkEnd w:id="55"/>
      <w:bookmarkStart w:id="56" w:name="_Toc145277521"/>
      <w:bookmarkEnd w:id="56"/>
      <w:bookmarkStart w:id="57" w:name="_Toc132305747"/>
      <w:bookmarkStart w:id="58" w:name="_Toc141887844"/>
      <w:bookmarkStart w:id="59" w:name="_Toc32622"/>
      <w:r>
        <w:t>指导思想</w:t>
      </w:r>
      <w:bookmarkEnd w:id="57"/>
      <w:bookmarkEnd w:id="58"/>
      <w:bookmarkEnd w:id="59"/>
    </w:p>
    <w:p w14:paraId="4248937B">
      <w:pPr>
        <w:ind w:firstLine="600"/>
        <w:jc w:val="both"/>
        <w:rPr>
          <w:color w:val="000000" w:themeColor="text1"/>
          <w14:textFill>
            <w14:solidFill>
              <w14:schemeClr w14:val="tx1"/>
            </w14:solidFill>
          </w14:textFill>
        </w:rPr>
      </w:pPr>
      <w:r>
        <w:rPr>
          <w:rFonts w:hint="eastAsia"/>
        </w:rPr>
        <w:t>坚持以习近平新时代中国特色社会主义思想为指导，全面贯彻党的二十大精神，深入贯彻习近平总书记对广东系列重要讲话和重要指示精神，坚持走中国式现代化道路，立足新发展阶段，完整、准确、全面贯彻新发展理念，服务和融入新发展格局，统筹发展和安全，以推动高质量发展为主题，</w:t>
      </w:r>
      <w:r>
        <w:rPr>
          <w:rFonts w:hint="eastAsia"/>
          <w:color w:val="000000" w:themeColor="text1"/>
          <w14:textFill>
            <w14:solidFill>
              <w14:schemeClr w14:val="tx1"/>
            </w14:solidFill>
          </w14:textFill>
        </w:rPr>
        <w:t>深入实施区域协调发展战略、区域重大战略、主体功能区战略、新型城镇化战略、乡村振兴战略，抓住“双区”和横琴、前海、南沙三大平台建设的重大机遇，全面落实省委、省政府及市委、市政府决策部署和县委、县政府工作要求，坚持高水平保护，支撑高质量发展，创造高品质生活，实现高效能治理，优化国土空间开发保护格局，统筹安排全域全要素空间资源布局，支撑仁化县建设成为更高水平</w:t>
      </w:r>
      <w:r>
        <w:rPr>
          <w:rFonts w:hint="eastAsia" w:ascii="仿宋_GB2312"/>
          <w:color w:val="000000" w:themeColor="text1"/>
          <w14:textFill>
            <w14:solidFill>
              <w14:schemeClr w14:val="tx1"/>
            </w14:solidFill>
          </w14:textFill>
        </w:rPr>
        <w:t>“</w:t>
      </w:r>
      <w:r>
        <w:rPr>
          <w:rFonts w:hint="eastAsia"/>
          <w:color w:val="000000" w:themeColor="text1"/>
          <w14:textFill>
            <w14:solidFill>
              <w14:schemeClr w14:val="tx1"/>
            </w14:solidFill>
          </w14:textFill>
        </w:rPr>
        <w:t>生态、活力、幸福</w:t>
      </w:r>
      <w:r>
        <w:rPr>
          <w:rFonts w:hint="eastAsia" w:ascii="仿宋_GB2312"/>
          <w:color w:val="000000" w:themeColor="text1"/>
          <w14:textFill>
            <w14:solidFill>
              <w14:schemeClr w14:val="tx1"/>
            </w14:solidFill>
          </w14:textFill>
        </w:rPr>
        <w:t>”</w:t>
      </w:r>
      <w:r>
        <w:rPr>
          <w:rFonts w:hint="eastAsia"/>
          <w:color w:val="000000" w:themeColor="text1"/>
          <w14:textFill>
            <w14:solidFill>
              <w14:schemeClr w14:val="tx1"/>
            </w14:solidFill>
          </w14:textFill>
        </w:rPr>
        <w:t>新仁化，奋力打造生态优先、绿色发展韶关样板。</w:t>
      </w:r>
    </w:p>
    <w:p w14:paraId="4188DDDA">
      <w:pPr>
        <w:pStyle w:val="6"/>
        <w:spacing w:before="163" w:after="163"/>
      </w:pPr>
      <w:bookmarkStart w:id="60" w:name="_Toc141887845"/>
      <w:bookmarkStart w:id="61" w:name="_Toc27538"/>
      <w:bookmarkStart w:id="62" w:name="_Toc132305748"/>
      <w:r>
        <w:rPr>
          <w:rFonts w:hint="eastAsia"/>
        </w:rPr>
        <w:t>规划原则</w:t>
      </w:r>
      <w:bookmarkEnd w:id="60"/>
      <w:bookmarkEnd w:id="61"/>
      <w:bookmarkEnd w:id="62"/>
    </w:p>
    <w:p w14:paraId="518CE714">
      <w:pPr>
        <w:ind w:firstLine="600"/>
        <w:jc w:val="both"/>
        <w:rPr>
          <w:color w:val="000000" w:themeColor="text1"/>
          <w14:textFill>
            <w14:solidFill>
              <w14:schemeClr w14:val="tx1"/>
            </w14:solidFill>
          </w14:textFill>
        </w:rPr>
      </w:pPr>
      <w:r>
        <w:rPr>
          <w:rFonts w:hint="eastAsia" w:ascii="楷体_GB2312" w:hAnsi="Times New Roman" w:eastAsia="楷体_GB2312" w:cs="Times New Roman"/>
          <w:color w:val="000000" w:themeColor="text1"/>
          <w14:textFill>
            <w14:solidFill>
              <w14:schemeClr w14:val="tx1"/>
            </w14:solidFill>
          </w14:textFill>
        </w:rPr>
        <w:t>底线约束</w:t>
      </w:r>
      <w:r>
        <w:rPr>
          <w:rFonts w:hint="eastAsia" w:ascii="楷体_GB2312" w:eastAsia="楷体_GB2312"/>
          <w:color w:val="000000" w:themeColor="text1"/>
          <w14:textFill>
            <w14:solidFill>
              <w14:schemeClr w14:val="tx1"/>
            </w14:solidFill>
          </w14:textFill>
        </w:rPr>
        <w:t>、战略引领。</w:t>
      </w:r>
      <w:r>
        <w:rPr>
          <w:rFonts w:hint="eastAsia"/>
          <w:color w:val="000000" w:themeColor="text1"/>
          <w14:textFill>
            <w14:solidFill>
              <w14:schemeClr w14:val="tx1"/>
            </w14:solidFill>
          </w14:textFill>
        </w:rPr>
        <w:t>落实生态文明建设要求，坚持生态优先，严格保护耕地和永久基本农田，严守生态保护红线；以高质量发展为引领，谋划全域空间格局，优化国土空间资源配置。</w:t>
      </w:r>
    </w:p>
    <w:p w14:paraId="5A59EDB4">
      <w:pPr>
        <w:ind w:firstLine="600"/>
        <w:jc w:val="both"/>
        <w:rPr>
          <w:color w:val="000000" w:themeColor="text1"/>
          <w14:textFill>
            <w14:solidFill>
              <w14:schemeClr w14:val="tx1"/>
            </w14:solidFill>
          </w14:textFill>
        </w:rPr>
      </w:pPr>
      <w:r>
        <w:rPr>
          <w:rFonts w:hint="eastAsia" w:ascii="楷体_GB2312" w:hAnsi="Times New Roman" w:eastAsia="楷体_GB2312" w:cs="Times New Roman"/>
          <w:color w:val="000000" w:themeColor="text1"/>
          <w14:textFill>
            <w14:solidFill>
              <w14:schemeClr w14:val="tx1"/>
            </w14:solidFill>
          </w14:textFill>
        </w:rPr>
        <w:t>区域协同、全域统筹。</w:t>
      </w:r>
      <w:r>
        <w:rPr>
          <w:rFonts w:hint="eastAsia"/>
          <w:color w:val="000000" w:themeColor="text1"/>
          <w14:textFill>
            <w14:solidFill>
              <w14:schemeClr w14:val="tx1"/>
            </w14:solidFill>
          </w14:textFill>
        </w:rPr>
        <w:t>从区域视角明确城市功能定位，加强生态共保、环境共治、设施共享、产业共兴、城乡融合；统筹安排全域全要素空间资源布局，加强全域全要素用途管制，构建科学合理的国土空间开发保护格局。</w:t>
      </w:r>
    </w:p>
    <w:p w14:paraId="3E1B62E2">
      <w:pPr>
        <w:ind w:firstLine="600"/>
        <w:jc w:val="both"/>
        <w:rPr>
          <w:color w:val="000000" w:themeColor="text1"/>
          <w14:textFill>
            <w14:solidFill>
              <w14:schemeClr w14:val="tx1"/>
            </w14:solidFill>
          </w14:textFill>
        </w:rPr>
      </w:pPr>
      <w:r>
        <w:rPr>
          <w:rFonts w:hint="eastAsia" w:ascii="楷体_GB2312" w:hAnsi="Times New Roman" w:eastAsia="楷体_GB2312" w:cs="Times New Roman"/>
          <w:color w:val="000000" w:themeColor="text1"/>
          <w14:textFill>
            <w14:solidFill>
              <w14:schemeClr w14:val="tx1"/>
            </w14:solidFill>
          </w14:textFill>
        </w:rPr>
        <w:t>传承文化、品质提升。</w:t>
      </w:r>
      <w:r>
        <w:rPr>
          <w:rFonts w:hint="eastAsia"/>
          <w:color w:val="000000" w:themeColor="text1"/>
          <w14:textFill>
            <w14:solidFill>
              <w14:schemeClr w14:val="tx1"/>
            </w14:solidFill>
          </w14:textFill>
        </w:rPr>
        <w:t>充分挖掘仁化红色文化、韶乐文化、山水文化等文化内涵，坚持因地制宜、因时制宜，突出仁化新时代文化风貌；有序推动更新改造，节约集约利用建设用地，积极腾挪盘活存量用地。全面提升基础设施建设和公共服务水平，改善人居环境和生活品质，促进生产空间集约高效、生活空间宜居适度、生态空间山清水秀，实现全域高质量发展。</w:t>
      </w:r>
    </w:p>
    <w:p w14:paraId="3CBE35AD">
      <w:pPr>
        <w:ind w:firstLine="600"/>
        <w:jc w:val="both"/>
        <w:rPr>
          <w:color w:val="000000" w:themeColor="text1"/>
          <w14:textFill>
            <w14:solidFill>
              <w14:schemeClr w14:val="tx1"/>
            </w14:solidFill>
          </w14:textFill>
        </w:rPr>
      </w:pPr>
      <w:r>
        <w:rPr>
          <w:rFonts w:hint="eastAsia" w:ascii="楷体_GB2312" w:hAnsi="Times New Roman" w:eastAsia="楷体_GB2312" w:cs="Times New Roman"/>
          <w:color w:val="000000" w:themeColor="text1"/>
          <w14:textFill>
            <w14:solidFill>
              <w14:schemeClr w14:val="tx1"/>
            </w14:solidFill>
          </w14:textFill>
        </w:rPr>
        <w:t>高效治理、科学规划。</w:t>
      </w:r>
      <w:r>
        <w:rPr>
          <w:rFonts w:hint="eastAsia"/>
          <w:color w:val="000000" w:themeColor="text1"/>
          <w14:textFill>
            <w14:solidFill>
              <w14:schemeClr w14:val="tx1"/>
            </w14:solidFill>
          </w14:textFill>
        </w:rPr>
        <w:t>强化规划实施与管控，以国土空间规划</w:t>
      </w:r>
      <w:r>
        <w:rPr>
          <w:rFonts w:hint="eastAsia" w:ascii="仿宋_GB2312"/>
          <w:color w:val="000000" w:themeColor="text1"/>
          <w14:textFill>
            <w14:solidFill>
              <w14:schemeClr w14:val="tx1"/>
            </w14:solidFill>
          </w14:textFill>
        </w:rPr>
        <w:t>“一张图”</w:t>
      </w:r>
      <w:r>
        <w:rPr>
          <w:rFonts w:hint="eastAsia"/>
          <w:color w:val="000000" w:themeColor="text1"/>
          <w14:textFill>
            <w14:solidFill>
              <w14:schemeClr w14:val="tx1"/>
            </w14:solidFill>
          </w14:textFill>
        </w:rPr>
        <w:t>实施监督信息系统为基础，建立规划动态监测评估和预警制度，提升空间治理能力和治理水平；整合主体功能区规划、土地利用规划、城乡规划，统筹协调政府各部门专项规划，运用新技术新方法，科学编制规划。</w:t>
      </w:r>
    </w:p>
    <w:p w14:paraId="2F0700FE">
      <w:pPr>
        <w:pStyle w:val="6"/>
        <w:spacing w:before="163" w:after="163"/>
        <w:rPr>
          <w:b/>
        </w:rPr>
      </w:pPr>
      <w:bookmarkStart w:id="63" w:name="_Toc132305749"/>
      <w:bookmarkStart w:id="64" w:name="_Toc141887846"/>
      <w:bookmarkStart w:id="65" w:name="_Toc27729"/>
      <w:r>
        <w:rPr>
          <w:rFonts w:hint="eastAsia"/>
        </w:rPr>
        <w:t>规划期限</w:t>
      </w:r>
      <w:bookmarkEnd w:id="63"/>
      <w:bookmarkEnd w:id="64"/>
      <w:bookmarkEnd w:id="65"/>
    </w:p>
    <w:p w14:paraId="7CCA8C9E">
      <w:pPr>
        <w:ind w:firstLine="6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规划基期为</w:t>
      </w:r>
      <w:r>
        <w:rPr>
          <w:rFonts w:ascii="Times New Roman" w:hAnsi="Times New Roman" w:cs="Times New Roman"/>
          <w:color w:val="000000" w:themeColor="text1"/>
          <w14:textFill>
            <w14:solidFill>
              <w14:schemeClr w14:val="tx1"/>
            </w14:solidFill>
          </w14:textFill>
        </w:rPr>
        <w:t>2020</w:t>
      </w:r>
      <w:r>
        <w:rPr>
          <w:color w:val="000000" w:themeColor="text1"/>
          <w14:textFill>
            <w14:solidFill>
              <w14:schemeClr w14:val="tx1"/>
            </w14:solidFill>
          </w14:textFill>
        </w:rPr>
        <w:t>年，期限为</w:t>
      </w:r>
      <w:r>
        <w:rPr>
          <w:rFonts w:ascii="Times New Roman" w:hAnsi="Times New Roman" w:cs="Times New Roman"/>
          <w:color w:val="000000" w:themeColor="text1"/>
          <w14:textFill>
            <w14:solidFill>
              <w14:schemeClr w14:val="tx1"/>
            </w14:solidFill>
          </w14:textFill>
        </w:rPr>
        <w:t>2021</w:t>
      </w:r>
      <w:r>
        <w:rPr>
          <w:color w:val="000000" w:themeColor="text1"/>
          <w14:textFill>
            <w14:solidFill>
              <w14:schemeClr w14:val="tx1"/>
            </w14:solidFill>
          </w14:textFill>
        </w:rPr>
        <w:t>年至</w:t>
      </w:r>
      <w:r>
        <w:rPr>
          <w:rFonts w:ascii="Times New Roman" w:hAnsi="Times New Roman" w:cs="Times New Roman"/>
          <w:color w:val="000000" w:themeColor="text1"/>
          <w14:textFill>
            <w14:solidFill>
              <w14:schemeClr w14:val="tx1"/>
            </w14:solidFill>
          </w14:textFill>
        </w:rPr>
        <w:t>2035</w:t>
      </w:r>
      <w:r>
        <w:rPr>
          <w:color w:val="000000" w:themeColor="text1"/>
          <w14:textFill>
            <w14:solidFill>
              <w14:schemeClr w14:val="tx1"/>
            </w14:solidFill>
          </w14:textFill>
        </w:rPr>
        <w:t>年，近期至</w:t>
      </w:r>
      <w:r>
        <w:rPr>
          <w:rFonts w:ascii="Times New Roman" w:hAnsi="Times New Roman" w:cs="Times New Roman"/>
          <w:color w:val="000000" w:themeColor="text1"/>
          <w14:textFill>
            <w14:solidFill>
              <w14:schemeClr w14:val="tx1"/>
            </w14:solidFill>
          </w14:textFill>
        </w:rPr>
        <w:t>2025</w:t>
      </w:r>
      <w:r>
        <w:rPr>
          <w:color w:val="000000" w:themeColor="text1"/>
          <w14:textFill>
            <w14:solidFill>
              <w14:schemeClr w14:val="tx1"/>
            </w14:solidFill>
          </w14:textFill>
        </w:rPr>
        <w:t>年，远景展望至</w:t>
      </w:r>
      <w:r>
        <w:rPr>
          <w:rFonts w:ascii="Times New Roman" w:hAnsi="Times New Roman" w:cs="Times New Roman"/>
          <w:color w:val="000000" w:themeColor="text1"/>
          <w14:textFill>
            <w14:solidFill>
              <w14:schemeClr w14:val="tx1"/>
            </w14:solidFill>
          </w14:textFill>
        </w:rPr>
        <w:t>2050</w:t>
      </w:r>
      <w:r>
        <w:rPr>
          <w:color w:val="000000" w:themeColor="text1"/>
          <w14:textFill>
            <w14:solidFill>
              <w14:schemeClr w14:val="tx1"/>
            </w14:solidFill>
          </w14:textFill>
        </w:rPr>
        <w:t>年。</w:t>
      </w:r>
    </w:p>
    <w:p w14:paraId="1DEB1B1F">
      <w:pPr>
        <w:pStyle w:val="6"/>
        <w:spacing w:before="163" w:after="163"/>
        <w:rPr>
          <w:b/>
        </w:rPr>
      </w:pPr>
      <w:bookmarkStart w:id="66" w:name="_Toc132305750"/>
      <w:bookmarkStart w:id="67" w:name="_Toc3712"/>
      <w:bookmarkStart w:id="68" w:name="_Toc141887847"/>
      <w:r>
        <w:rPr>
          <w:rFonts w:hint="eastAsia"/>
        </w:rPr>
        <w:t>规划范围</w:t>
      </w:r>
      <w:bookmarkEnd w:id="66"/>
      <w:bookmarkEnd w:id="67"/>
      <w:bookmarkEnd w:id="68"/>
    </w:p>
    <w:p w14:paraId="3FEBA19D">
      <w:pPr>
        <w:ind w:firstLine="6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本规划国土空间范围包含县域和中心城区两个层次。县域范围包括仁化县行政辖区内全部陆域国土空间；中心城区范围包括丹霞街道的</w:t>
      </w:r>
      <w:r>
        <w:rPr>
          <w:color w:val="000000" w:themeColor="text1"/>
          <w14:textFill>
            <w14:solidFill>
              <w14:schemeClr w14:val="tx1"/>
            </w14:solidFill>
          </w14:textFill>
        </w:rPr>
        <w:t>中心村、城南村、黄屋村、新东村、岭田村、狮井村和</w:t>
      </w:r>
      <w:r>
        <w:rPr>
          <w:rFonts w:hint="eastAsia"/>
          <w:color w:val="000000" w:themeColor="text1"/>
          <w14:textFill>
            <w14:solidFill>
              <w14:schemeClr w14:val="tx1"/>
            </w14:solidFill>
          </w14:textFill>
        </w:rPr>
        <w:t>董塘镇的</w:t>
      </w:r>
      <w:r>
        <w:rPr>
          <w:color w:val="000000" w:themeColor="text1"/>
          <w14:textFill>
            <w14:solidFill>
              <w14:schemeClr w14:val="tx1"/>
            </w14:solidFill>
          </w14:textFill>
        </w:rPr>
        <w:t>新莲村</w:t>
      </w:r>
      <w:r>
        <w:rPr>
          <w:rFonts w:hint="eastAsia"/>
          <w:color w:val="000000" w:themeColor="text1"/>
          <w14:textFill>
            <w14:solidFill>
              <w14:schemeClr w14:val="tx1"/>
            </w14:solidFill>
          </w14:textFill>
        </w:rPr>
        <w:t>共</w:t>
      </w:r>
      <w:r>
        <w:rPr>
          <w:rFonts w:ascii="Times New Roman" w:hAnsi="Times New Roman" w:cs="Times New Roman"/>
          <w:color w:val="000000" w:themeColor="text1"/>
          <w14:textFill>
            <w14:solidFill>
              <w14:schemeClr w14:val="tx1"/>
            </w14:solidFill>
          </w14:textFill>
        </w:rPr>
        <w:t>7</w:t>
      </w:r>
      <w:r>
        <w:rPr>
          <w:color w:val="000000" w:themeColor="text1"/>
          <w14:textFill>
            <w14:solidFill>
              <w14:schemeClr w14:val="tx1"/>
            </w14:solidFill>
          </w14:textFill>
        </w:rPr>
        <w:t>个行政村</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总</w:t>
      </w:r>
      <w:r>
        <w:rPr>
          <w:rFonts w:hint="eastAsia"/>
          <w:color w:val="000000" w:themeColor="text1"/>
          <w14:textFill>
            <w14:solidFill>
              <w14:schemeClr w14:val="tx1"/>
            </w14:solidFill>
          </w14:textFill>
        </w:rPr>
        <w:t>面积</w:t>
      </w:r>
      <w:r>
        <w:rPr>
          <w:rFonts w:ascii="Times New Roman" w:hAnsi="Times New Roman" w:cs="Times New Roman"/>
          <w:color w:val="000000" w:themeColor="text1"/>
          <w14:textFill>
            <w14:solidFill>
              <w14:schemeClr w14:val="tx1"/>
            </w14:solidFill>
          </w14:textFill>
        </w:rPr>
        <w:t>73.28</w:t>
      </w:r>
      <w:r>
        <w:rPr>
          <w:color w:val="000000" w:themeColor="text1"/>
          <w14:textFill>
            <w14:solidFill>
              <w14:schemeClr w14:val="tx1"/>
            </w14:solidFill>
          </w14:textFill>
        </w:rPr>
        <w:t>平方公里</w:t>
      </w:r>
      <w:r>
        <w:rPr>
          <w:rFonts w:hint="eastAsia"/>
          <w:color w:val="000000" w:themeColor="text1"/>
          <w14:textFill>
            <w14:solidFill>
              <w14:schemeClr w14:val="tx1"/>
            </w14:solidFill>
          </w14:textFill>
        </w:rPr>
        <w:t>。</w:t>
      </w:r>
    </w:p>
    <w:p w14:paraId="6467148D">
      <w:pPr>
        <w:pStyle w:val="6"/>
        <w:spacing w:before="163" w:after="163"/>
        <w:rPr>
          <w:b/>
        </w:rPr>
      </w:pPr>
      <w:bookmarkStart w:id="69" w:name="_Toc132305751"/>
      <w:bookmarkStart w:id="70" w:name="_Toc7904"/>
      <w:bookmarkStart w:id="71" w:name="_Toc141887848"/>
      <w:r>
        <w:rPr>
          <w:rFonts w:hint="eastAsia"/>
        </w:rPr>
        <w:t>强制性内容</w:t>
      </w:r>
    </w:p>
    <w:p w14:paraId="3C54677C">
      <w:pPr>
        <w:widowControl/>
        <w:ind w:firstLine="600"/>
        <w:rPr>
          <w:color w:val="000000" w:themeColor="text1"/>
          <w14:textFill>
            <w14:solidFill>
              <w14:schemeClr w14:val="tx1"/>
            </w14:solidFill>
          </w14:textFill>
        </w:rPr>
      </w:pPr>
      <w:r>
        <w:rPr>
          <w:rFonts w:hint="eastAsia"/>
          <w:color w:val="000000" w:themeColor="text1"/>
          <w14:textFill>
            <w14:solidFill>
              <w14:schemeClr w14:val="tx1"/>
            </w14:solidFill>
          </w14:textFill>
        </w:rPr>
        <w:t>文本中下划线内容为规划强制性内容。本规划自广东省人民政府批复之日后生效，由仁化县人民政府组织实施，任何单位和个人不得违反和擅自修改。因国家重大战略调整、国家重大项目建设、行政区划调整、</w:t>
      </w:r>
      <w:r>
        <w:rPr>
          <w:rFonts w:ascii="仿宋_GB2312" w:cs="仿宋_GB2312"/>
          <w:color w:val="000000"/>
          <w:kern w:val="0"/>
          <w:szCs w:val="30"/>
          <w:lang w:bidi="ar"/>
        </w:rPr>
        <w:t>经评估确需调整等情形</w:t>
      </w:r>
      <w:r>
        <w:rPr>
          <w:rFonts w:hint="eastAsia"/>
          <w:color w:val="000000" w:themeColor="text1"/>
          <w14:textFill>
            <w14:solidFill>
              <w14:schemeClr w14:val="tx1"/>
            </w14:solidFill>
          </w14:textFill>
        </w:rPr>
        <w:t>，需按国土空间规划法定程序进行修改。</w:t>
      </w:r>
    </w:p>
    <w:p w14:paraId="551ED9BB">
      <w:pPr>
        <w:pStyle w:val="6"/>
        <w:spacing w:before="163" w:after="163"/>
        <w:rPr>
          <w:b/>
        </w:rPr>
      </w:pPr>
      <w:r>
        <w:rPr>
          <w:rFonts w:hint="eastAsia"/>
        </w:rPr>
        <w:t>规划解释</w:t>
      </w:r>
      <w:bookmarkEnd w:id="69"/>
      <w:bookmarkEnd w:id="70"/>
      <w:bookmarkEnd w:id="71"/>
    </w:p>
    <w:p w14:paraId="23C327E1">
      <w:pPr>
        <w:ind w:firstLine="6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本规划由仁化县人民政府负责解释。</w:t>
      </w:r>
      <w:bookmarkStart w:id="72" w:name="_Toc88472357"/>
    </w:p>
    <w:p w14:paraId="40E30CF4">
      <w:pPr>
        <w:pStyle w:val="4"/>
        <w:spacing w:before="326" w:after="326"/>
        <w:ind w:firstLine="726"/>
        <w:rPr>
          <w:b w:val="0"/>
          <w:bCs w:val="0"/>
          <w:color w:val="000000" w:themeColor="text1"/>
          <w14:textFill>
            <w14:solidFill>
              <w14:schemeClr w14:val="tx1"/>
            </w14:solidFill>
          </w14:textFill>
        </w:rPr>
      </w:pPr>
      <w:bookmarkStart w:id="73" w:name="_Toc7269"/>
      <w:bookmarkStart w:id="74" w:name="_Toc141887849"/>
      <w:bookmarkStart w:id="75" w:name="_Toc167271378"/>
      <w:bookmarkStart w:id="76" w:name="_Toc132305752"/>
      <w:r>
        <w:rPr>
          <w:rFonts w:hint="eastAsia"/>
          <w:b w:val="0"/>
          <w:bCs w:val="0"/>
          <w:color w:val="000000" w:themeColor="text1"/>
          <w14:textFill>
            <w14:solidFill>
              <w14:schemeClr w14:val="tx1"/>
            </w14:solidFill>
          </w14:textFill>
        </w:rPr>
        <w:t>现状基础与风险识别</w:t>
      </w:r>
      <w:bookmarkEnd w:id="73"/>
      <w:bookmarkEnd w:id="74"/>
      <w:bookmarkEnd w:id="75"/>
      <w:bookmarkEnd w:id="76"/>
    </w:p>
    <w:p w14:paraId="2B5E09EF">
      <w:pPr>
        <w:pStyle w:val="6"/>
        <w:spacing w:before="163" w:after="163"/>
      </w:pPr>
      <w:bookmarkStart w:id="77" w:name="_Toc142390937"/>
      <w:bookmarkEnd w:id="77"/>
      <w:bookmarkStart w:id="78" w:name="_Toc142390939"/>
      <w:bookmarkEnd w:id="78"/>
      <w:bookmarkStart w:id="79" w:name="_Toc143260721"/>
      <w:bookmarkEnd w:id="79"/>
      <w:bookmarkStart w:id="80" w:name="_Toc143099315"/>
      <w:bookmarkEnd w:id="80"/>
      <w:bookmarkStart w:id="81" w:name="_Toc143356822"/>
      <w:bookmarkEnd w:id="81"/>
      <w:bookmarkStart w:id="82" w:name="_Toc143355355"/>
      <w:bookmarkEnd w:id="82"/>
      <w:bookmarkStart w:id="83" w:name="_Toc142495539"/>
      <w:bookmarkEnd w:id="83"/>
      <w:bookmarkStart w:id="84" w:name="_Toc142390354"/>
      <w:bookmarkEnd w:id="84"/>
      <w:bookmarkStart w:id="85" w:name="_Toc142858773"/>
      <w:bookmarkEnd w:id="85"/>
      <w:bookmarkStart w:id="86" w:name="_Toc143358565"/>
      <w:bookmarkEnd w:id="86"/>
      <w:bookmarkStart w:id="87" w:name="_Toc143099314"/>
      <w:bookmarkEnd w:id="87"/>
      <w:bookmarkStart w:id="88" w:name="_Toc143354500"/>
      <w:bookmarkEnd w:id="88"/>
      <w:bookmarkStart w:id="89" w:name="_Toc143260723"/>
      <w:bookmarkEnd w:id="89"/>
      <w:bookmarkStart w:id="90" w:name="_Toc143260718"/>
      <w:bookmarkEnd w:id="90"/>
      <w:bookmarkStart w:id="91" w:name="_Toc142495536"/>
      <w:bookmarkEnd w:id="91"/>
      <w:bookmarkStart w:id="92" w:name="_Toc143099316"/>
      <w:bookmarkEnd w:id="92"/>
      <w:bookmarkStart w:id="93" w:name="_Toc143352963"/>
      <w:bookmarkEnd w:id="93"/>
      <w:bookmarkStart w:id="94" w:name="_Toc143352667"/>
      <w:bookmarkEnd w:id="94"/>
      <w:bookmarkStart w:id="95" w:name="_Toc143352965"/>
      <w:bookmarkEnd w:id="95"/>
      <w:bookmarkStart w:id="96" w:name="_Toc143355935"/>
      <w:bookmarkEnd w:id="96"/>
      <w:bookmarkStart w:id="97" w:name="_Toc143260722"/>
      <w:bookmarkEnd w:id="97"/>
      <w:bookmarkStart w:id="98" w:name="_Toc142391198"/>
      <w:bookmarkEnd w:id="98"/>
      <w:bookmarkStart w:id="99" w:name="_Toc142858768"/>
      <w:bookmarkEnd w:id="99"/>
      <w:bookmarkStart w:id="100" w:name="_Toc143099030"/>
      <w:bookmarkEnd w:id="100"/>
      <w:bookmarkStart w:id="101" w:name="_Toc142381118"/>
      <w:bookmarkEnd w:id="101"/>
      <w:bookmarkStart w:id="102" w:name="_Toc143353641"/>
      <w:bookmarkEnd w:id="102"/>
      <w:bookmarkStart w:id="103" w:name="_Toc143356225"/>
      <w:bookmarkEnd w:id="103"/>
      <w:bookmarkStart w:id="104" w:name="_Toc143354785"/>
      <w:bookmarkEnd w:id="104"/>
      <w:bookmarkStart w:id="105" w:name="_Toc143357404"/>
      <w:bookmarkEnd w:id="105"/>
      <w:bookmarkStart w:id="106" w:name="_Toc143353642"/>
      <w:bookmarkEnd w:id="106"/>
      <w:bookmarkStart w:id="107" w:name="_Toc143355070"/>
      <w:bookmarkEnd w:id="107"/>
      <w:bookmarkStart w:id="108" w:name="_Toc143356520"/>
      <w:bookmarkEnd w:id="108"/>
      <w:bookmarkStart w:id="109" w:name="_Toc142858772"/>
      <w:bookmarkEnd w:id="109"/>
      <w:bookmarkStart w:id="110" w:name="_Toc143355065"/>
      <w:bookmarkEnd w:id="110"/>
      <w:bookmarkStart w:id="111" w:name="_Toc143356231"/>
      <w:bookmarkEnd w:id="111"/>
      <w:bookmarkStart w:id="112" w:name="_Toc142400602"/>
      <w:bookmarkEnd w:id="112"/>
      <w:bookmarkStart w:id="113" w:name="_Toc143358278"/>
      <w:bookmarkEnd w:id="113"/>
      <w:bookmarkStart w:id="114" w:name="_Toc143358277"/>
      <w:bookmarkEnd w:id="114"/>
      <w:bookmarkStart w:id="115" w:name="_Toc143354504"/>
      <w:bookmarkEnd w:id="115"/>
      <w:bookmarkStart w:id="116" w:name="_Toc143352665"/>
      <w:bookmarkEnd w:id="116"/>
      <w:bookmarkStart w:id="117" w:name="_Toc142402810"/>
      <w:bookmarkEnd w:id="117"/>
      <w:bookmarkStart w:id="118" w:name="_Toc143356230"/>
      <w:bookmarkEnd w:id="118"/>
      <w:bookmarkStart w:id="119" w:name="_Toc142402809"/>
      <w:bookmarkEnd w:id="119"/>
      <w:bookmarkStart w:id="120" w:name="_Toc142402816"/>
      <w:bookmarkEnd w:id="120"/>
      <w:bookmarkStart w:id="121" w:name="_Toc143353927"/>
      <w:bookmarkEnd w:id="121"/>
      <w:bookmarkStart w:id="122" w:name="_Toc143356516"/>
      <w:bookmarkEnd w:id="122"/>
      <w:bookmarkStart w:id="123" w:name="_Toc142858770"/>
      <w:bookmarkEnd w:id="123"/>
      <w:bookmarkStart w:id="124" w:name="_Toc143356824"/>
      <w:bookmarkEnd w:id="124"/>
      <w:bookmarkStart w:id="125" w:name="_Toc143353923"/>
      <w:bookmarkEnd w:id="125"/>
      <w:bookmarkStart w:id="126" w:name="_Toc143357403"/>
      <w:bookmarkEnd w:id="126"/>
      <w:bookmarkStart w:id="127" w:name="_Toc143357693"/>
      <w:bookmarkEnd w:id="127"/>
      <w:bookmarkStart w:id="128" w:name="_Toc142381117"/>
      <w:bookmarkEnd w:id="128"/>
      <w:bookmarkStart w:id="129" w:name="_Toc143354216"/>
      <w:bookmarkEnd w:id="129"/>
      <w:bookmarkStart w:id="130" w:name="_Toc142400600"/>
      <w:bookmarkEnd w:id="130"/>
      <w:bookmarkStart w:id="131" w:name="_Toc143099027"/>
      <w:bookmarkEnd w:id="131"/>
      <w:bookmarkStart w:id="132" w:name="_Toc142380852"/>
      <w:bookmarkEnd w:id="132"/>
      <w:bookmarkStart w:id="133" w:name="_Toc143352964"/>
      <w:bookmarkEnd w:id="133"/>
      <w:bookmarkStart w:id="134" w:name="_Toc143355068"/>
      <w:bookmarkEnd w:id="134"/>
      <w:bookmarkStart w:id="135" w:name="_Toc142390352"/>
      <w:bookmarkEnd w:id="135"/>
      <w:bookmarkStart w:id="136" w:name="_Toc143355359"/>
      <w:bookmarkEnd w:id="136"/>
      <w:bookmarkStart w:id="137" w:name="_Toc143099032"/>
      <w:bookmarkEnd w:id="137"/>
      <w:bookmarkStart w:id="138" w:name="_Toc142495537"/>
      <w:bookmarkEnd w:id="138"/>
      <w:bookmarkStart w:id="139" w:name="_Toc142402813"/>
      <w:bookmarkEnd w:id="139"/>
      <w:bookmarkStart w:id="140" w:name="_Toc143355940"/>
      <w:bookmarkEnd w:id="140"/>
      <w:bookmarkStart w:id="141" w:name="_Toc142390938"/>
      <w:bookmarkEnd w:id="141"/>
      <w:bookmarkStart w:id="142" w:name="_Toc143357984"/>
      <w:bookmarkEnd w:id="142"/>
      <w:bookmarkStart w:id="143" w:name="_Toc142858771"/>
      <w:bookmarkEnd w:id="143"/>
      <w:bookmarkStart w:id="144" w:name="_Toc142390355"/>
      <w:bookmarkEnd w:id="144"/>
      <w:bookmarkStart w:id="145" w:name="_Toc143356515"/>
      <w:bookmarkEnd w:id="145"/>
      <w:bookmarkStart w:id="146" w:name="_Toc142381113"/>
      <w:bookmarkEnd w:id="146"/>
      <w:bookmarkStart w:id="147" w:name="_Toc142402811"/>
      <w:bookmarkEnd w:id="147"/>
      <w:bookmarkStart w:id="148" w:name="_Toc143358563"/>
      <w:bookmarkEnd w:id="148"/>
      <w:bookmarkStart w:id="149" w:name="_Toc143356227"/>
      <w:bookmarkEnd w:id="149"/>
      <w:bookmarkStart w:id="150" w:name="_Toc143357399"/>
      <w:bookmarkEnd w:id="150"/>
      <w:bookmarkStart w:id="151" w:name="_Toc143354781"/>
      <w:bookmarkEnd w:id="151"/>
      <w:bookmarkStart w:id="152" w:name="_Toc143260720"/>
      <w:bookmarkEnd w:id="152"/>
      <w:bookmarkStart w:id="153" w:name="_Toc143357696"/>
      <w:bookmarkEnd w:id="153"/>
      <w:bookmarkStart w:id="154" w:name="_Toc143357111"/>
      <w:bookmarkEnd w:id="154"/>
      <w:bookmarkStart w:id="155" w:name="_Toc143099312"/>
      <w:bookmarkEnd w:id="155"/>
      <w:bookmarkStart w:id="156" w:name="_Toc143357405"/>
      <w:bookmarkEnd w:id="156"/>
      <w:bookmarkStart w:id="157" w:name="_Toc143355938"/>
      <w:bookmarkEnd w:id="157"/>
      <w:bookmarkStart w:id="158" w:name="_Toc143353930"/>
      <w:bookmarkEnd w:id="158"/>
      <w:bookmarkStart w:id="159" w:name="_Toc143354217"/>
      <w:bookmarkEnd w:id="159"/>
      <w:bookmarkStart w:id="160" w:name="_Toc143356825"/>
      <w:bookmarkEnd w:id="160"/>
      <w:bookmarkStart w:id="161" w:name="_Toc143355362"/>
      <w:bookmarkEnd w:id="161"/>
      <w:bookmarkStart w:id="162" w:name="_Toc143099028"/>
      <w:bookmarkEnd w:id="162"/>
      <w:bookmarkStart w:id="163" w:name="_Toc142390935"/>
      <w:bookmarkEnd w:id="163"/>
      <w:bookmarkStart w:id="164" w:name="_Toc143358562"/>
      <w:bookmarkEnd w:id="164"/>
      <w:bookmarkStart w:id="165" w:name="_Toc143355646"/>
      <w:bookmarkEnd w:id="165"/>
      <w:bookmarkStart w:id="166" w:name="_Toc142391201"/>
      <w:bookmarkEnd w:id="166"/>
      <w:bookmarkStart w:id="167" w:name="_Toc143355072"/>
      <w:bookmarkEnd w:id="167"/>
      <w:bookmarkStart w:id="168" w:name="_Toc142466857"/>
      <w:bookmarkEnd w:id="168"/>
      <w:bookmarkStart w:id="169" w:name="_Toc143354499"/>
      <w:bookmarkEnd w:id="169"/>
      <w:bookmarkStart w:id="170" w:name="_Toc143358564"/>
      <w:bookmarkEnd w:id="170"/>
      <w:bookmarkStart w:id="171" w:name="_Toc143352664"/>
      <w:bookmarkEnd w:id="171"/>
      <w:bookmarkStart w:id="172" w:name="_Toc143355067"/>
      <w:bookmarkEnd w:id="172"/>
      <w:bookmarkStart w:id="173" w:name="_Toc143357401"/>
      <w:bookmarkEnd w:id="173"/>
      <w:bookmarkStart w:id="174" w:name="_Toc142466856"/>
      <w:bookmarkEnd w:id="174"/>
      <w:bookmarkStart w:id="175" w:name="_Toc143356226"/>
      <w:bookmarkEnd w:id="175"/>
      <w:bookmarkStart w:id="176" w:name="_Toc143355647"/>
      <w:bookmarkEnd w:id="176"/>
      <w:bookmarkStart w:id="177" w:name="_Toc142403066"/>
      <w:bookmarkEnd w:id="177"/>
      <w:bookmarkStart w:id="178" w:name="_Toc143356820"/>
      <w:bookmarkEnd w:id="178"/>
      <w:bookmarkStart w:id="179" w:name="_Toc143358273"/>
      <w:bookmarkEnd w:id="179"/>
      <w:bookmarkStart w:id="180" w:name="_Toc142381116"/>
      <w:bookmarkEnd w:id="180"/>
      <w:bookmarkStart w:id="181" w:name="_Toc143352966"/>
      <w:bookmarkEnd w:id="181"/>
      <w:bookmarkStart w:id="182" w:name="_Toc142390936"/>
      <w:bookmarkEnd w:id="182"/>
      <w:bookmarkStart w:id="183" w:name="_Toc143355937"/>
      <w:bookmarkEnd w:id="183"/>
      <w:bookmarkStart w:id="184" w:name="_Toc142466858"/>
      <w:bookmarkEnd w:id="184"/>
      <w:bookmarkStart w:id="185" w:name="_Toc143355645"/>
      <w:bookmarkEnd w:id="185"/>
      <w:bookmarkStart w:id="186" w:name="_Toc142390350"/>
      <w:bookmarkEnd w:id="186"/>
      <w:bookmarkStart w:id="187" w:name="_Toc143355358"/>
      <w:bookmarkEnd w:id="187"/>
      <w:bookmarkStart w:id="188" w:name="_Toc143354783"/>
      <w:bookmarkEnd w:id="188"/>
      <w:bookmarkStart w:id="189" w:name="_Toc143352663"/>
      <w:bookmarkEnd w:id="189"/>
      <w:bookmarkStart w:id="190" w:name="_Toc142400598"/>
      <w:bookmarkEnd w:id="190"/>
      <w:bookmarkStart w:id="191" w:name="_Toc143355936"/>
      <w:bookmarkEnd w:id="191"/>
      <w:bookmarkStart w:id="192" w:name="_Toc143358569"/>
      <w:bookmarkEnd w:id="192"/>
      <w:bookmarkStart w:id="193" w:name="_Toc143357691"/>
      <w:bookmarkEnd w:id="193"/>
      <w:bookmarkStart w:id="194" w:name="_Toc143357110"/>
      <w:bookmarkEnd w:id="194"/>
      <w:bookmarkStart w:id="195" w:name="_Toc143356819"/>
      <w:bookmarkEnd w:id="195"/>
      <w:bookmarkStart w:id="196" w:name="_Toc142858769"/>
      <w:bookmarkEnd w:id="196"/>
      <w:bookmarkStart w:id="197" w:name="_Toc143356517"/>
      <w:bookmarkEnd w:id="197"/>
      <w:bookmarkStart w:id="198" w:name="_Toc143355357"/>
      <w:bookmarkEnd w:id="198"/>
      <w:bookmarkStart w:id="199" w:name="_Toc142390941"/>
      <w:bookmarkEnd w:id="199"/>
      <w:bookmarkStart w:id="200" w:name="_Toc143357402"/>
      <w:bookmarkEnd w:id="200"/>
      <w:bookmarkStart w:id="201" w:name="_Toc143354784"/>
      <w:bookmarkEnd w:id="201"/>
      <w:bookmarkStart w:id="202" w:name="_Toc143352960"/>
      <w:bookmarkEnd w:id="202"/>
      <w:bookmarkStart w:id="203" w:name="_Toc143357692"/>
      <w:bookmarkEnd w:id="203"/>
      <w:bookmarkStart w:id="204" w:name="_Toc143357406"/>
      <w:bookmarkEnd w:id="204"/>
      <w:bookmarkStart w:id="205" w:name="_Toc143357109"/>
      <w:bookmarkEnd w:id="205"/>
      <w:bookmarkStart w:id="206" w:name="_Toc143356522"/>
      <w:bookmarkEnd w:id="206"/>
      <w:bookmarkStart w:id="207" w:name="_Toc143354498"/>
      <w:bookmarkEnd w:id="207"/>
      <w:bookmarkStart w:id="208" w:name="_Toc143260719"/>
      <w:bookmarkEnd w:id="208"/>
      <w:bookmarkStart w:id="209" w:name="_Toc143358272"/>
      <w:bookmarkEnd w:id="209"/>
      <w:bookmarkStart w:id="210" w:name="_Toc143260724"/>
      <w:bookmarkEnd w:id="210"/>
      <w:bookmarkStart w:id="211" w:name="_Toc143353640"/>
      <w:bookmarkEnd w:id="211"/>
      <w:bookmarkStart w:id="212" w:name="_Toc142403062"/>
      <w:bookmarkEnd w:id="212"/>
      <w:bookmarkStart w:id="213" w:name="_Toc142400597"/>
      <w:bookmarkEnd w:id="213"/>
      <w:bookmarkStart w:id="214" w:name="_Toc142495538"/>
      <w:bookmarkEnd w:id="214"/>
      <w:bookmarkStart w:id="215" w:name="_Toc143355941"/>
      <w:bookmarkEnd w:id="215"/>
      <w:bookmarkStart w:id="216" w:name="_Toc143355356"/>
      <w:bookmarkEnd w:id="216"/>
      <w:bookmarkStart w:id="217" w:name="_Toc143357983"/>
      <w:bookmarkEnd w:id="217"/>
      <w:bookmarkStart w:id="218" w:name="_Toc143352961"/>
      <w:bookmarkEnd w:id="218"/>
      <w:bookmarkStart w:id="219" w:name="_Toc143354502"/>
      <w:bookmarkEnd w:id="219"/>
      <w:bookmarkStart w:id="220" w:name="_Toc143354215"/>
      <w:bookmarkEnd w:id="220"/>
      <w:bookmarkStart w:id="221" w:name="_Toc142381119"/>
      <w:bookmarkEnd w:id="221"/>
      <w:bookmarkStart w:id="222" w:name="_Toc143099029"/>
      <w:bookmarkEnd w:id="222"/>
      <w:bookmarkStart w:id="223" w:name="_Toc142402814"/>
      <w:bookmarkEnd w:id="223"/>
      <w:bookmarkStart w:id="224" w:name="_Toc142381115"/>
      <w:bookmarkEnd w:id="224"/>
      <w:bookmarkStart w:id="225" w:name="_Toc143355066"/>
      <w:bookmarkEnd w:id="225"/>
      <w:bookmarkStart w:id="226" w:name="_Toc143354501"/>
      <w:bookmarkEnd w:id="226"/>
      <w:bookmarkStart w:id="227" w:name="_Toc143355361"/>
      <w:bookmarkEnd w:id="227"/>
      <w:bookmarkStart w:id="228" w:name="_Toc143099031"/>
      <w:bookmarkEnd w:id="228"/>
      <w:bookmarkStart w:id="229" w:name="_Toc143357987"/>
      <w:bookmarkEnd w:id="229"/>
      <w:bookmarkStart w:id="230" w:name="_Toc143353643"/>
      <w:bookmarkEnd w:id="230"/>
      <w:bookmarkStart w:id="231" w:name="_Toc142380850"/>
      <w:bookmarkEnd w:id="231"/>
      <w:bookmarkStart w:id="232" w:name="_Toc143357982"/>
      <w:bookmarkEnd w:id="232"/>
      <w:bookmarkStart w:id="233" w:name="_Toc143099313"/>
      <w:bookmarkEnd w:id="233"/>
      <w:bookmarkStart w:id="234" w:name="_Toc142402815"/>
      <w:bookmarkEnd w:id="234"/>
      <w:bookmarkStart w:id="235" w:name="_Toc143356229"/>
      <w:bookmarkEnd w:id="235"/>
      <w:bookmarkStart w:id="236" w:name="_Toc142380855"/>
      <w:bookmarkEnd w:id="236"/>
      <w:bookmarkStart w:id="237" w:name="_Toc143352962"/>
      <w:bookmarkEnd w:id="237"/>
      <w:bookmarkStart w:id="238" w:name="_Toc143353926"/>
      <w:bookmarkEnd w:id="238"/>
      <w:bookmarkStart w:id="239" w:name="_Toc143356518"/>
      <w:bookmarkEnd w:id="239"/>
      <w:bookmarkStart w:id="240" w:name="_Toc143353639"/>
      <w:bookmarkEnd w:id="240"/>
      <w:bookmarkStart w:id="241" w:name="_Toc143356821"/>
      <w:bookmarkEnd w:id="241"/>
      <w:bookmarkStart w:id="242" w:name="_Toc143352959"/>
      <w:bookmarkEnd w:id="242"/>
      <w:bookmarkStart w:id="243" w:name="_Toc143357988"/>
      <w:bookmarkEnd w:id="243"/>
      <w:bookmarkStart w:id="244" w:name="_Toc142403064"/>
      <w:bookmarkEnd w:id="244"/>
      <w:bookmarkStart w:id="245" w:name="_Toc143357114"/>
      <w:bookmarkEnd w:id="245"/>
      <w:bookmarkStart w:id="246" w:name="_Toc143355360"/>
      <w:bookmarkEnd w:id="246"/>
      <w:bookmarkStart w:id="247" w:name="_Toc143358566"/>
      <w:bookmarkEnd w:id="247"/>
      <w:bookmarkStart w:id="248" w:name="_Toc143357400"/>
      <w:bookmarkEnd w:id="248"/>
      <w:bookmarkStart w:id="249" w:name="_Toc143354218"/>
      <w:bookmarkEnd w:id="249"/>
      <w:bookmarkStart w:id="250" w:name="_Toc143357113"/>
      <w:bookmarkEnd w:id="250"/>
      <w:bookmarkStart w:id="251" w:name="_Toc142380854"/>
      <w:bookmarkEnd w:id="251"/>
      <w:bookmarkStart w:id="252" w:name="_Toc143355649"/>
      <w:bookmarkEnd w:id="252"/>
      <w:bookmarkStart w:id="253" w:name="_Toc142403065"/>
      <w:bookmarkEnd w:id="253"/>
      <w:bookmarkStart w:id="254" w:name="_Toc142390940"/>
      <w:bookmarkEnd w:id="254"/>
      <w:bookmarkStart w:id="255" w:name="_Toc143354220"/>
      <w:bookmarkEnd w:id="255"/>
      <w:bookmarkStart w:id="256" w:name="_Toc142495543"/>
      <w:bookmarkEnd w:id="256"/>
      <w:bookmarkStart w:id="257" w:name="_Toc143353928"/>
      <w:bookmarkEnd w:id="257"/>
      <w:bookmarkStart w:id="258" w:name="_Toc142858774"/>
      <w:bookmarkEnd w:id="258"/>
      <w:bookmarkStart w:id="259" w:name="_Toc143357116"/>
      <w:bookmarkEnd w:id="259"/>
      <w:bookmarkStart w:id="260" w:name="_Toc142390353"/>
      <w:bookmarkEnd w:id="260"/>
      <w:bookmarkStart w:id="261" w:name="_Toc143099026"/>
      <w:bookmarkEnd w:id="261"/>
      <w:bookmarkStart w:id="262" w:name="_Toc143357115"/>
      <w:bookmarkEnd w:id="262"/>
      <w:bookmarkStart w:id="263" w:name="_Toc142391199"/>
      <w:bookmarkEnd w:id="263"/>
      <w:bookmarkStart w:id="264" w:name="_Toc143358275"/>
      <w:bookmarkEnd w:id="264"/>
      <w:bookmarkStart w:id="265" w:name="_Toc142380853"/>
      <w:bookmarkEnd w:id="265"/>
      <w:bookmarkStart w:id="266" w:name="_Toc143356826"/>
      <w:bookmarkEnd w:id="266"/>
      <w:bookmarkStart w:id="267" w:name="_Toc143356228"/>
      <w:bookmarkEnd w:id="267"/>
      <w:bookmarkStart w:id="268" w:name="_Toc142495541"/>
      <w:bookmarkEnd w:id="268"/>
      <w:bookmarkStart w:id="269" w:name="_Toc143260725"/>
      <w:bookmarkEnd w:id="269"/>
      <w:bookmarkStart w:id="270" w:name="_Toc143357985"/>
      <w:bookmarkEnd w:id="270"/>
      <w:bookmarkStart w:id="271" w:name="_Toc143352669"/>
      <w:bookmarkEnd w:id="271"/>
      <w:bookmarkStart w:id="272" w:name="_Toc142400601"/>
      <w:bookmarkEnd w:id="272"/>
      <w:bookmarkStart w:id="273" w:name="_Toc143099317"/>
      <w:bookmarkEnd w:id="273"/>
      <w:bookmarkStart w:id="274" w:name="_Toc143355942"/>
      <w:bookmarkEnd w:id="274"/>
      <w:bookmarkStart w:id="275" w:name="_Toc143354219"/>
      <w:bookmarkEnd w:id="275"/>
      <w:bookmarkStart w:id="276" w:name="_Toc143355071"/>
      <w:bookmarkEnd w:id="276"/>
      <w:bookmarkStart w:id="277" w:name="_Toc142466862"/>
      <w:bookmarkEnd w:id="277"/>
      <w:bookmarkStart w:id="278" w:name="_Toc143353929"/>
      <w:bookmarkEnd w:id="278"/>
      <w:bookmarkStart w:id="279" w:name="_Toc142380849"/>
      <w:bookmarkEnd w:id="279"/>
      <w:bookmarkStart w:id="280" w:name="_Toc143352670"/>
      <w:bookmarkEnd w:id="280"/>
      <w:bookmarkStart w:id="281" w:name="_Toc143357697"/>
      <w:bookmarkEnd w:id="281"/>
      <w:bookmarkStart w:id="282" w:name="_Toc143354503"/>
      <w:bookmarkEnd w:id="282"/>
      <w:bookmarkStart w:id="283" w:name="_Toc143355651"/>
      <w:bookmarkEnd w:id="283"/>
      <w:bookmarkStart w:id="284" w:name="_Toc143355069"/>
      <w:bookmarkEnd w:id="284"/>
      <w:bookmarkStart w:id="285" w:name="_Toc143357695"/>
      <w:bookmarkEnd w:id="285"/>
      <w:bookmarkStart w:id="286" w:name="_Toc143356521"/>
      <w:bookmarkEnd w:id="286"/>
      <w:bookmarkStart w:id="287" w:name="_Toc143358274"/>
      <w:bookmarkEnd w:id="287"/>
      <w:bookmarkStart w:id="288" w:name="_Toc142466861"/>
      <w:bookmarkEnd w:id="288"/>
      <w:bookmarkStart w:id="289" w:name="_Toc143353644"/>
      <w:bookmarkEnd w:id="289"/>
      <w:bookmarkStart w:id="290" w:name="_Toc142381114"/>
      <w:bookmarkEnd w:id="290"/>
      <w:bookmarkStart w:id="291" w:name="_Toc142380851"/>
      <w:bookmarkEnd w:id="291"/>
      <w:bookmarkStart w:id="292" w:name="_Toc142466859"/>
      <w:bookmarkEnd w:id="292"/>
      <w:bookmarkStart w:id="293" w:name="_Toc142391195"/>
      <w:bookmarkEnd w:id="293"/>
      <w:bookmarkStart w:id="294" w:name="_Toc142390351"/>
      <w:bookmarkEnd w:id="294"/>
      <w:bookmarkStart w:id="295" w:name="_Toc142403061"/>
      <w:bookmarkEnd w:id="295"/>
      <w:bookmarkStart w:id="296" w:name="_Toc143099318"/>
      <w:bookmarkEnd w:id="296"/>
      <w:bookmarkStart w:id="297" w:name="_Toc142495542"/>
      <w:bookmarkEnd w:id="297"/>
      <w:bookmarkStart w:id="298" w:name="_Toc143358567"/>
      <w:bookmarkEnd w:id="298"/>
      <w:bookmarkStart w:id="299" w:name="_Toc143355652"/>
      <w:bookmarkEnd w:id="299"/>
      <w:bookmarkStart w:id="300" w:name="_Toc143357986"/>
      <w:bookmarkEnd w:id="300"/>
      <w:bookmarkStart w:id="301" w:name="_Toc143358568"/>
      <w:bookmarkEnd w:id="301"/>
      <w:bookmarkStart w:id="302" w:name="_Toc143353925"/>
      <w:bookmarkEnd w:id="302"/>
      <w:bookmarkStart w:id="303" w:name="_Toc143357694"/>
      <w:bookmarkEnd w:id="303"/>
      <w:bookmarkStart w:id="304" w:name="_Toc143354497"/>
      <w:bookmarkEnd w:id="304"/>
      <w:bookmarkStart w:id="305" w:name="_Toc142390934"/>
      <w:bookmarkEnd w:id="305"/>
      <w:bookmarkStart w:id="306" w:name="_Toc143353637"/>
      <w:bookmarkEnd w:id="306"/>
      <w:bookmarkStart w:id="307" w:name="_Toc143357690"/>
      <w:bookmarkEnd w:id="307"/>
      <w:bookmarkStart w:id="308" w:name="_Toc143358276"/>
      <w:bookmarkEnd w:id="308"/>
      <w:bookmarkStart w:id="309" w:name="_Toc142466863"/>
      <w:bookmarkEnd w:id="309"/>
      <w:bookmarkStart w:id="310" w:name="_Toc143354788"/>
      <w:bookmarkEnd w:id="310"/>
      <w:bookmarkStart w:id="311" w:name="_Toc143356232"/>
      <w:bookmarkEnd w:id="311"/>
      <w:bookmarkStart w:id="312" w:name="_Toc143354214"/>
      <w:bookmarkEnd w:id="312"/>
      <w:bookmarkStart w:id="313" w:name="_Toc142402812"/>
      <w:bookmarkEnd w:id="313"/>
      <w:bookmarkStart w:id="314" w:name="_Toc142390349"/>
      <w:bookmarkEnd w:id="314"/>
      <w:bookmarkStart w:id="315" w:name="_Toc143355648"/>
      <w:bookmarkEnd w:id="315"/>
      <w:bookmarkStart w:id="316" w:name="_Toc143356823"/>
      <w:bookmarkEnd w:id="316"/>
      <w:bookmarkStart w:id="317" w:name="_Toc142390348"/>
      <w:bookmarkEnd w:id="317"/>
      <w:bookmarkStart w:id="318" w:name="_Toc143353638"/>
      <w:bookmarkEnd w:id="318"/>
      <w:bookmarkStart w:id="319" w:name="_Toc143356519"/>
      <w:bookmarkEnd w:id="319"/>
      <w:bookmarkStart w:id="320" w:name="_Toc142466860"/>
      <w:bookmarkEnd w:id="320"/>
      <w:bookmarkStart w:id="321" w:name="_Toc142495540"/>
      <w:bookmarkEnd w:id="321"/>
      <w:bookmarkStart w:id="322" w:name="_Toc143352666"/>
      <w:bookmarkEnd w:id="322"/>
      <w:bookmarkStart w:id="323" w:name="_Toc143358271"/>
      <w:bookmarkEnd w:id="323"/>
      <w:bookmarkStart w:id="324" w:name="_Toc143355650"/>
      <w:bookmarkEnd w:id="324"/>
      <w:bookmarkStart w:id="325" w:name="_Toc143354213"/>
      <w:bookmarkEnd w:id="325"/>
      <w:bookmarkStart w:id="326" w:name="_Toc143357981"/>
      <w:bookmarkEnd w:id="326"/>
      <w:bookmarkStart w:id="327" w:name="_Toc142403063"/>
      <w:bookmarkEnd w:id="327"/>
      <w:bookmarkStart w:id="328" w:name="_Toc142391196"/>
      <w:bookmarkEnd w:id="328"/>
      <w:bookmarkStart w:id="329" w:name="_Toc143355939"/>
      <w:bookmarkEnd w:id="329"/>
      <w:bookmarkStart w:id="330" w:name="_Toc143357112"/>
      <w:bookmarkEnd w:id="330"/>
      <w:bookmarkStart w:id="331" w:name="_Toc143099033"/>
      <w:bookmarkEnd w:id="331"/>
      <w:bookmarkStart w:id="332" w:name="_Toc142858767"/>
      <w:bookmarkEnd w:id="332"/>
      <w:bookmarkStart w:id="333" w:name="_Toc142391200"/>
      <w:bookmarkEnd w:id="333"/>
      <w:bookmarkStart w:id="334" w:name="_Toc143353924"/>
      <w:bookmarkEnd w:id="334"/>
      <w:bookmarkStart w:id="335" w:name="_Toc142380848"/>
      <w:bookmarkEnd w:id="335"/>
      <w:bookmarkStart w:id="336" w:name="_Toc142381120"/>
      <w:bookmarkEnd w:id="336"/>
      <w:bookmarkStart w:id="337" w:name="_Toc143099311"/>
      <w:bookmarkEnd w:id="337"/>
      <w:bookmarkStart w:id="338" w:name="_Toc142400599"/>
      <w:bookmarkEnd w:id="338"/>
      <w:bookmarkStart w:id="339" w:name="_Toc143354787"/>
      <w:bookmarkEnd w:id="339"/>
      <w:bookmarkStart w:id="340" w:name="_Toc142400603"/>
      <w:bookmarkEnd w:id="340"/>
      <w:bookmarkStart w:id="341" w:name="_Toc142403067"/>
      <w:bookmarkEnd w:id="341"/>
      <w:bookmarkStart w:id="342" w:name="_Toc143352668"/>
      <w:bookmarkEnd w:id="342"/>
      <w:bookmarkStart w:id="343" w:name="_Toc143354786"/>
      <w:bookmarkEnd w:id="343"/>
      <w:bookmarkStart w:id="344" w:name="_Toc142391194"/>
      <w:bookmarkEnd w:id="344"/>
      <w:bookmarkStart w:id="345" w:name="_Toc143354782"/>
      <w:bookmarkEnd w:id="345"/>
      <w:bookmarkStart w:id="346" w:name="_Toc142403060"/>
      <w:bookmarkEnd w:id="346"/>
      <w:bookmarkStart w:id="347" w:name="_Toc142391197"/>
      <w:bookmarkEnd w:id="347"/>
      <w:bookmarkStart w:id="348" w:name="_Toc142400596"/>
      <w:bookmarkEnd w:id="348"/>
      <w:bookmarkStart w:id="349" w:name="_Toc141887852"/>
      <w:bookmarkStart w:id="350" w:name="_Toc132305755"/>
      <w:bookmarkStart w:id="351" w:name="_Toc3941"/>
      <w:r>
        <w:rPr>
          <w:rFonts w:hint="eastAsia"/>
        </w:rPr>
        <w:t>国土空间开发保护现状评估</w:t>
      </w:r>
      <w:bookmarkEnd w:id="349"/>
      <w:bookmarkEnd w:id="350"/>
      <w:bookmarkEnd w:id="351"/>
    </w:p>
    <w:p w14:paraId="50FBFA1E">
      <w:pPr>
        <w:ind w:firstLine="600"/>
        <w:jc w:val="both"/>
        <w:rPr>
          <w:rFonts w:ascii="Times New Roman" w:hAnsi="Times New Roman" w:cs="Times New Roman"/>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耕地保护成效显著。</w:t>
      </w:r>
      <w:r>
        <w:rPr>
          <w:rFonts w:ascii="Times New Roman" w:hAnsi="Times New Roman" w:cs="Times New Roman"/>
          <w:color w:val="000000" w:themeColor="text1"/>
          <w14:textFill>
            <w14:solidFill>
              <w14:schemeClr w14:val="tx1"/>
            </w14:solidFill>
          </w14:textFill>
        </w:rPr>
        <w:t>严格落实</w:t>
      </w:r>
      <w:r>
        <w:rPr>
          <w:rFonts w:hint="eastAsia" w:ascii="Times New Roman" w:hAnsi="Times New Roman" w:cs="Times New Roman"/>
          <w:color w:val="000000" w:themeColor="text1"/>
          <w14:textFill>
            <w14:solidFill>
              <w14:schemeClr w14:val="tx1"/>
            </w14:solidFill>
          </w14:textFill>
        </w:rPr>
        <w:t>耕地用途管制要求，积极开展耕地提质改造、垦造水田、高标准农田建设等工作；耕地保护“数质并重”，</w:t>
      </w:r>
      <w:r>
        <w:rPr>
          <w:rFonts w:ascii="Times New Roman" w:hAnsi="Times New Roman" w:cs="Times New Roman"/>
          <w:color w:val="000000" w:themeColor="text1"/>
          <w14:textFill>
            <w14:solidFill>
              <w14:schemeClr w14:val="tx1"/>
            </w14:solidFill>
          </w14:textFill>
        </w:rPr>
        <w:t>完成了</w:t>
      </w:r>
      <w:r>
        <w:rPr>
          <w:rFonts w:hint="eastAsia" w:ascii="Times New Roman" w:hAnsi="Times New Roman" w:cs="Times New Roman"/>
          <w:color w:val="000000" w:themeColor="text1"/>
          <w14:textFill>
            <w14:solidFill>
              <w14:schemeClr w14:val="tx1"/>
            </w14:solidFill>
          </w14:textFill>
        </w:rPr>
        <w:t>耕地和</w:t>
      </w:r>
      <w:r>
        <w:rPr>
          <w:rFonts w:ascii="Times New Roman" w:hAnsi="Times New Roman" w:cs="Times New Roman"/>
          <w:color w:val="000000" w:themeColor="text1"/>
          <w14:textFill>
            <w14:solidFill>
              <w14:schemeClr w14:val="tx1"/>
            </w14:solidFill>
          </w14:textFill>
        </w:rPr>
        <w:t>永久基本农田保护</w:t>
      </w:r>
      <w:r>
        <w:rPr>
          <w:rFonts w:hint="eastAsia" w:ascii="Times New Roman" w:hAnsi="Times New Roman" w:cs="Times New Roman"/>
          <w:color w:val="000000" w:themeColor="text1"/>
          <w14:textFill>
            <w14:solidFill>
              <w14:schemeClr w14:val="tx1"/>
            </w14:solidFill>
          </w14:textFill>
        </w:rPr>
        <w:t>任务，但如何协调好耕地保护、生态保护和开发建设的关系仍面临较大挑战</w:t>
      </w:r>
      <w:r>
        <w:rPr>
          <w:rFonts w:ascii="Times New Roman" w:hAnsi="Times New Roman" w:cs="Times New Roman"/>
          <w:color w:val="000000" w:themeColor="text1"/>
          <w14:textFill>
            <w14:solidFill>
              <w14:schemeClr w14:val="tx1"/>
            </w14:solidFill>
          </w14:textFill>
        </w:rPr>
        <w:t>。</w:t>
      </w:r>
    </w:p>
    <w:p w14:paraId="6C7016D5">
      <w:pPr>
        <w:pStyle w:val="20"/>
        <w:ind w:firstLine="600"/>
        <w:jc w:val="both"/>
      </w:pPr>
      <w:r>
        <w:rPr>
          <w:rFonts w:hint="eastAsia" w:ascii="楷体_GB2312" w:hAnsi="宋体" w:eastAsia="楷体_GB2312"/>
          <w:color w:val="000000" w:themeColor="text1"/>
          <w14:textFill>
            <w14:solidFill>
              <w14:schemeClr w14:val="tx1"/>
            </w14:solidFill>
          </w14:textFill>
        </w:rPr>
        <w:t>生态格局基本成型。</w:t>
      </w:r>
      <w:r>
        <w:rPr>
          <w:rFonts w:hint="eastAsia" w:ascii="Times New Roman" w:hAnsi="Times New Roman" w:cs="Times New Roman"/>
          <w:color w:val="000000" w:themeColor="text1"/>
          <w14:textFill>
            <w14:solidFill>
              <w14:schemeClr w14:val="tx1"/>
            </w14:solidFill>
          </w14:textFill>
        </w:rPr>
        <w:t>立足北部生态发展功能区定位，扎实完成饮用水源保护区优化调整、生态保护红线划定、</w:t>
      </w:r>
      <w:r>
        <w:rPr>
          <w:rFonts w:hint="eastAsia" w:ascii="仿宋_GB2312"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三线一单</w:t>
      </w:r>
      <w:r>
        <w:rPr>
          <w:rFonts w:hint="eastAsia" w:ascii="仿宋_GB2312" w:hAnsi="Times New Roman" w:cs="Times New Roman"/>
          <w:color w:val="000000" w:themeColor="text1"/>
          <w14:textFill>
            <w14:solidFill>
              <w14:schemeClr w14:val="tx1"/>
            </w14:solidFill>
          </w14:textFill>
        </w:rPr>
        <w:t>”</w:t>
      </w:r>
      <w:r>
        <w:rPr>
          <w:rStyle w:val="46"/>
          <w:rFonts w:ascii="Times New Roman" w:hAnsi="Times New Roman" w:eastAsia="仿宋" w:cs="Times New Roman"/>
          <w:color w:val="000000" w:themeColor="text1"/>
          <w14:textFill>
            <w14:solidFill>
              <w14:schemeClr w14:val="tx1"/>
            </w14:solidFill>
          </w14:textFill>
        </w:rPr>
        <w:footnoteReference w:id="1"/>
      </w:r>
      <w:r>
        <w:rPr>
          <w:rFonts w:hint="eastAsia" w:ascii="Times New Roman" w:hAnsi="Times New Roman" w:cs="Times New Roman"/>
          <w:color w:val="000000" w:themeColor="text1"/>
          <w14:textFill>
            <w14:solidFill>
              <w14:schemeClr w14:val="tx1"/>
            </w14:solidFill>
          </w14:textFill>
        </w:rPr>
        <w:t>分区管控、自然保护地整合优化等工作任务，生态环境保护持续加强，但总体可持续发展能力有待加强，锦江流域治理仍有较大压力，生态资源优势未能得到充分发挥。</w:t>
      </w:r>
    </w:p>
    <w:p w14:paraId="17B55EBF">
      <w:pPr>
        <w:ind w:firstLine="600"/>
        <w:jc w:val="both"/>
        <w:rPr>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城乡空间格局日趋合理。</w:t>
      </w:r>
      <w:r>
        <w:rPr>
          <w:rFonts w:ascii="Times New Roman" w:hAnsi="Times New Roman" w:cs="Times New Roman"/>
          <w:color w:val="000000" w:themeColor="text1"/>
          <w14:textFill>
            <w14:solidFill>
              <w14:schemeClr w14:val="tx1"/>
            </w14:solidFill>
          </w14:textFill>
        </w:rPr>
        <w:t>国土空间开发保护格局初步形成，城乡协调发展</w:t>
      </w:r>
      <w:r>
        <w:rPr>
          <w:rFonts w:hint="eastAsia" w:ascii="Times New Roman" w:hAnsi="Times New Roman" w:cs="Times New Roman"/>
          <w:color w:val="000000" w:themeColor="text1"/>
          <w14:textFill>
            <w14:solidFill>
              <w14:schemeClr w14:val="tx1"/>
            </w14:solidFill>
          </w14:textFill>
        </w:rPr>
        <w:t>水平稳步提升</w:t>
      </w:r>
      <w:r>
        <w:rPr>
          <w:rFonts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交通、水利等基础设施建设不断完善，生态宜居美丽乡村建设有效推进，但区域内、城乡间基本公共服务仍有差距，空间资源配置有待进一步优化</w:t>
      </w:r>
      <w:r>
        <w:rPr>
          <w:rFonts w:ascii="Times New Roman" w:hAnsi="Times New Roman" w:cs="Times New Roman"/>
          <w:color w:val="000000" w:themeColor="text1"/>
          <w14:textFill>
            <w14:solidFill>
              <w14:schemeClr w14:val="tx1"/>
            </w14:solidFill>
          </w14:textFill>
        </w:rPr>
        <w:t>。</w:t>
      </w:r>
    </w:p>
    <w:p w14:paraId="556A7E1F">
      <w:pPr>
        <w:pStyle w:val="6"/>
        <w:spacing w:before="163" w:after="163"/>
      </w:pPr>
      <w:bookmarkStart w:id="352" w:name="_Toc20619"/>
      <w:bookmarkStart w:id="353" w:name="_Toc132305756"/>
      <w:bookmarkStart w:id="354" w:name="_Toc141887853"/>
      <w:r>
        <w:rPr>
          <w:rFonts w:hint="eastAsia"/>
        </w:rPr>
        <w:t>国土空间开发保护风险评估</w:t>
      </w:r>
      <w:bookmarkEnd w:id="352"/>
      <w:bookmarkEnd w:id="353"/>
      <w:bookmarkEnd w:id="354"/>
    </w:p>
    <w:p w14:paraId="0505D523">
      <w:pPr>
        <w:pStyle w:val="20"/>
        <w:ind w:firstLine="600"/>
        <w:jc w:val="both"/>
      </w:pPr>
      <w:r>
        <w:rPr>
          <w:rFonts w:hint="eastAsia" w:ascii="楷体_GB2312" w:hAnsi="宋体" w:eastAsia="楷体_GB2312"/>
          <w:color w:val="000000" w:themeColor="text1"/>
          <w14:textFill>
            <w14:solidFill>
              <w14:schemeClr w14:val="tx1"/>
            </w14:solidFill>
          </w14:textFill>
        </w:rPr>
        <w:t>自然灾害风险依然存在。</w:t>
      </w:r>
      <w:r>
        <w:rPr>
          <w:rFonts w:hint="eastAsia"/>
          <w:color w:val="000000" w:themeColor="text1"/>
          <w14:textFill>
            <w14:solidFill>
              <w14:schemeClr w14:val="tx1"/>
            </w14:solidFill>
          </w14:textFill>
        </w:rPr>
        <w:t>仁化属于韶关地质灾害多发地区之一，地质灾害类型主要为崩塌、滑坡及地面塌陷，存在一定社会经济损失风险。山区中小流域的防洪问题尚待解决，小河流防洪标准普遍偏低，洪水抵御能力差，对人民生命财产安全造成一定威胁。存在中强以上地震发生的地质构造背景，县域老旧建筑较多，抗震能力较低、次生灾害隐患较多、避震疏散场所缺乏。</w:t>
      </w:r>
    </w:p>
    <w:p w14:paraId="33F6368B">
      <w:pPr>
        <w:ind w:firstLine="600"/>
        <w:jc w:val="both"/>
        <w:rPr>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生态保护任务重。</w:t>
      </w:r>
      <w:r>
        <w:rPr>
          <w:rFonts w:hint="eastAsia"/>
          <w:color w:val="000000" w:themeColor="text1"/>
          <w14:textFill>
            <w14:solidFill>
              <w14:schemeClr w14:val="tx1"/>
            </w14:solidFill>
          </w14:textFill>
        </w:rPr>
        <w:t>小型水电工程分散，易发生态环境问题，部分河段污染指数有上升趋势，水环境污染监管与控制难度大。在采矿山和历史遗留矿山及周边区域，部分存在生态环境破坏潜在问题，易催生滑坡、水土流失等地质灾害。</w:t>
      </w:r>
    </w:p>
    <w:p w14:paraId="1558916C">
      <w:pPr>
        <w:ind w:firstLine="600"/>
        <w:jc w:val="both"/>
        <w:rPr>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设施配置存在不足。</w:t>
      </w:r>
      <w:r>
        <w:rPr>
          <w:rFonts w:hint="eastAsia"/>
          <w:color w:val="000000" w:themeColor="text1"/>
          <w14:textFill>
            <w14:solidFill>
              <w14:schemeClr w14:val="tx1"/>
            </w14:solidFill>
          </w14:textFill>
        </w:rPr>
        <w:t>基础设施方面，部分地区供水、雨水、污水管网缺乏统筹协调，现有的供电网络不能满足县域发展和城区负荷增长的需求；公服设施方面，高级别公共服务设施配套缺失，城乡公共服务设施资源配置较不均衡</w:t>
      </w:r>
      <w:r>
        <w:rPr>
          <w:color w:val="000000" w:themeColor="text1"/>
          <w14:textFill>
            <w14:solidFill>
              <w14:schemeClr w14:val="tx1"/>
            </w14:solidFill>
          </w14:textFill>
        </w:rPr>
        <w:t>。</w:t>
      </w:r>
    </w:p>
    <w:p w14:paraId="7C8AB4C6">
      <w:pPr>
        <w:pStyle w:val="4"/>
        <w:spacing w:before="326" w:after="326"/>
        <w:ind w:firstLine="726"/>
        <w:rPr>
          <w:b w:val="0"/>
          <w:bCs w:val="0"/>
          <w:color w:val="000000" w:themeColor="text1"/>
          <w14:textFill>
            <w14:solidFill>
              <w14:schemeClr w14:val="tx1"/>
            </w14:solidFill>
          </w14:textFill>
        </w:rPr>
      </w:pPr>
      <w:bookmarkStart w:id="355" w:name="_Toc132305757"/>
      <w:bookmarkStart w:id="356" w:name="_Toc167271379"/>
      <w:bookmarkStart w:id="357" w:name="_Toc17734"/>
      <w:bookmarkStart w:id="358" w:name="_Toc141887854"/>
      <w:r>
        <w:rPr>
          <w:rFonts w:hint="eastAsia"/>
          <w:b w:val="0"/>
          <w:bCs w:val="0"/>
          <w:color w:val="000000" w:themeColor="text1"/>
          <w14:textFill>
            <w14:solidFill>
              <w14:schemeClr w14:val="tx1"/>
            </w14:solidFill>
          </w14:textFill>
        </w:rPr>
        <w:t>目标</w:t>
      </w:r>
      <w:bookmarkEnd w:id="72"/>
      <w:r>
        <w:rPr>
          <w:rFonts w:hint="eastAsia"/>
          <w:b w:val="0"/>
          <w:bCs w:val="0"/>
          <w:color w:val="000000" w:themeColor="text1"/>
          <w14:textFill>
            <w14:solidFill>
              <w14:schemeClr w14:val="tx1"/>
            </w14:solidFill>
          </w14:textFill>
        </w:rPr>
        <w:t>定位与空间策略</w:t>
      </w:r>
      <w:bookmarkEnd w:id="355"/>
      <w:bookmarkEnd w:id="356"/>
      <w:bookmarkEnd w:id="357"/>
      <w:bookmarkEnd w:id="358"/>
    </w:p>
    <w:p w14:paraId="11648425">
      <w:pPr>
        <w:pStyle w:val="6"/>
        <w:spacing w:before="163" w:after="163"/>
      </w:pPr>
      <w:bookmarkStart w:id="359" w:name="_Toc76561410"/>
      <w:bookmarkEnd w:id="359"/>
      <w:bookmarkStart w:id="360" w:name="_Toc76561480"/>
      <w:bookmarkEnd w:id="360"/>
      <w:bookmarkStart w:id="361" w:name="_Toc76561465"/>
      <w:bookmarkEnd w:id="361"/>
      <w:bookmarkStart w:id="362" w:name="_Toc76561388"/>
      <w:bookmarkEnd w:id="362"/>
      <w:bookmarkStart w:id="363" w:name="_Toc76561386"/>
      <w:bookmarkEnd w:id="363"/>
      <w:bookmarkStart w:id="364" w:name="_Toc76561435"/>
      <w:bookmarkEnd w:id="364"/>
      <w:bookmarkStart w:id="365" w:name="_Toc76561510"/>
      <w:bookmarkEnd w:id="365"/>
      <w:bookmarkStart w:id="366" w:name="_Toc76561425"/>
      <w:bookmarkEnd w:id="366"/>
      <w:bookmarkStart w:id="367" w:name="_Toc76561390"/>
      <w:bookmarkEnd w:id="367"/>
      <w:bookmarkStart w:id="368" w:name="_Toc76561440"/>
      <w:bookmarkEnd w:id="368"/>
      <w:bookmarkStart w:id="369" w:name="_Toc76561387"/>
      <w:bookmarkEnd w:id="369"/>
      <w:bookmarkStart w:id="370" w:name="_Toc76561420"/>
      <w:bookmarkEnd w:id="370"/>
      <w:bookmarkStart w:id="371" w:name="_Toc76561405"/>
      <w:bookmarkEnd w:id="371"/>
      <w:bookmarkStart w:id="372" w:name="_Toc76561450"/>
      <w:bookmarkEnd w:id="372"/>
      <w:bookmarkStart w:id="373" w:name="_Toc76561500"/>
      <w:bookmarkEnd w:id="373"/>
      <w:bookmarkStart w:id="374" w:name="_Toc76561415"/>
      <w:bookmarkEnd w:id="374"/>
      <w:bookmarkStart w:id="375" w:name="_Toc76561389"/>
      <w:bookmarkEnd w:id="375"/>
      <w:bookmarkStart w:id="376" w:name="_Toc76561445"/>
      <w:bookmarkEnd w:id="376"/>
      <w:bookmarkStart w:id="377" w:name="_Toc76561475"/>
      <w:bookmarkEnd w:id="377"/>
      <w:bookmarkStart w:id="378" w:name="_Toc76561505"/>
      <w:bookmarkEnd w:id="378"/>
      <w:bookmarkStart w:id="379" w:name="_Toc76561470"/>
      <w:bookmarkEnd w:id="379"/>
      <w:bookmarkStart w:id="380" w:name="_Toc76561460"/>
      <w:bookmarkEnd w:id="380"/>
      <w:bookmarkStart w:id="381" w:name="_Toc76561519"/>
      <w:bookmarkEnd w:id="381"/>
      <w:bookmarkStart w:id="382" w:name="_Toc76561400"/>
      <w:bookmarkEnd w:id="382"/>
      <w:bookmarkStart w:id="383" w:name="_Toc76561485"/>
      <w:bookmarkEnd w:id="383"/>
      <w:bookmarkStart w:id="384" w:name="_Toc76561495"/>
      <w:bookmarkEnd w:id="384"/>
      <w:bookmarkStart w:id="385" w:name="_Toc76561455"/>
      <w:bookmarkEnd w:id="385"/>
      <w:bookmarkStart w:id="386" w:name="_Toc141887855"/>
      <w:bookmarkStart w:id="387" w:name="_Toc132305758"/>
      <w:bookmarkStart w:id="388" w:name="_Toc6269"/>
      <w:r>
        <w:rPr>
          <w:rFonts w:hint="eastAsia"/>
        </w:rPr>
        <w:t>目标愿景</w:t>
      </w:r>
      <w:bookmarkEnd w:id="386"/>
      <w:bookmarkEnd w:id="387"/>
      <w:bookmarkEnd w:id="388"/>
    </w:p>
    <w:p w14:paraId="69A1EDDC">
      <w:pPr>
        <w:ind w:firstLine="600"/>
        <w:jc w:val="both"/>
        <w:rPr>
          <w:color w:val="000000" w:themeColor="text1"/>
          <w14:textFill>
            <w14:solidFill>
              <w14:schemeClr w14:val="tx1"/>
            </w14:solidFill>
          </w14:textFill>
        </w:rPr>
      </w:pPr>
      <w:bookmarkStart w:id="389" w:name="_Hlk143447310"/>
      <w:r>
        <w:rPr>
          <w:rFonts w:hint="eastAsia" w:ascii="Times New Roman" w:hAnsi="Times New Roman" w:cs="Times New Roman"/>
          <w:color w:val="000000" w:themeColor="text1"/>
          <w14:textFill>
            <w14:solidFill>
              <w14:schemeClr w14:val="tx1"/>
            </w14:solidFill>
          </w14:textFill>
        </w:rPr>
        <w:t>到</w:t>
      </w:r>
      <w:r>
        <w:rPr>
          <w:rFonts w:ascii="Times New Roman" w:hAnsi="Times New Roman" w:cs="Times New Roman"/>
          <w:color w:val="000000" w:themeColor="text1"/>
          <w14:textFill>
            <w14:solidFill>
              <w14:schemeClr w14:val="tx1"/>
            </w14:solidFill>
          </w14:textFill>
        </w:rPr>
        <w:t>2025</w:t>
      </w:r>
      <w:r>
        <w:rPr>
          <w:rFonts w:hint="eastAsia"/>
          <w:color w:val="000000" w:themeColor="text1"/>
          <w14:textFill>
            <w14:solidFill>
              <w14:schemeClr w14:val="tx1"/>
            </w14:solidFill>
          </w14:textFill>
        </w:rPr>
        <w:t>年，国土空间开发保护格局得到持续</w:t>
      </w:r>
      <w:r>
        <w:rPr>
          <w:rFonts w:hint="eastAsia" w:ascii="仿宋_GB2312"/>
          <w:color w:val="000000" w:themeColor="text1"/>
          <w14:textFill>
            <w14:solidFill>
              <w14:schemeClr w14:val="tx1"/>
            </w14:solidFill>
          </w14:textFill>
        </w:rPr>
        <w:t>优化，</w:t>
      </w:r>
      <w:r>
        <w:rPr>
          <w:rFonts w:hint="eastAsia"/>
          <w:color w:val="000000" w:themeColor="text1"/>
          <w14:textFill>
            <w14:solidFill>
              <w14:schemeClr w14:val="tx1"/>
            </w14:solidFill>
          </w14:textFill>
        </w:rPr>
        <w:t>粤北生态屏障更加牢固，</w:t>
      </w:r>
      <w:r>
        <w:rPr>
          <w:rFonts w:hint="eastAsia" w:ascii="仿宋_GB2312"/>
          <w:color w:val="000000" w:themeColor="text1"/>
          <w14:textFill>
            <w14:solidFill>
              <w14:schemeClr w14:val="tx1"/>
            </w14:solidFill>
          </w14:textFill>
        </w:rPr>
        <w:t>“</w:t>
      </w:r>
      <w:r>
        <w:rPr>
          <w:rFonts w:hint="eastAsia"/>
          <w:color w:val="000000" w:themeColor="text1"/>
          <w14:textFill>
            <w14:solidFill>
              <w14:schemeClr w14:val="tx1"/>
            </w14:solidFill>
          </w14:textFill>
        </w:rPr>
        <w:t>两带两区</w:t>
      </w:r>
      <w:r>
        <w:rPr>
          <w:rFonts w:hint="eastAsia" w:ascii="仿宋_GB2312"/>
          <w:color w:val="000000" w:themeColor="text1"/>
          <w14:textFill>
            <w14:solidFill>
              <w14:schemeClr w14:val="tx1"/>
            </w14:solidFill>
          </w14:textFill>
        </w:rPr>
        <w:t>”</w:t>
      </w:r>
      <w:r>
        <w:rPr>
          <w:rStyle w:val="46"/>
          <w:rFonts w:ascii="Times New Roman" w:hAnsi="Times New Roman" w:cs="Times New Roman"/>
          <w:color w:val="000000" w:themeColor="text1"/>
          <w14:textFill>
            <w14:solidFill>
              <w14:schemeClr w14:val="tx1"/>
            </w14:solidFill>
          </w14:textFill>
        </w:rPr>
        <w:footnoteReference w:id="2"/>
      </w:r>
      <w:r>
        <w:rPr>
          <w:rFonts w:hint="eastAsia" w:ascii="仿宋_GB2312"/>
          <w:color w:val="000000" w:themeColor="text1"/>
          <w14:textFill>
            <w14:solidFill>
              <w14:schemeClr w14:val="tx1"/>
            </w14:solidFill>
          </w14:textFill>
        </w:rPr>
        <w:t>建设取</w:t>
      </w:r>
      <w:r>
        <w:rPr>
          <w:rFonts w:hint="eastAsia" w:ascii="仿宋_GB2312"/>
        </w:rPr>
        <w:t>得明显进展，</w:t>
      </w:r>
      <w:bookmarkStart w:id="390" w:name="_Hlk140518112"/>
      <w:r>
        <w:rPr>
          <w:rFonts w:hint="eastAsia" w:ascii="仿宋_GB2312"/>
        </w:rPr>
        <w:t>城乡人居环境明显改善，乡村振兴战略全面推进，“生态、活力、幸福”新仁化的建设成效充分体现，成功打造北部生态发展区绿色发展仁化样板。</w:t>
      </w:r>
      <w:bookmarkEnd w:id="390"/>
    </w:p>
    <w:bookmarkEnd w:id="389"/>
    <w:p w14:paraId="7CF7E374">
      <w:pPr>
        <w:ind w:firstLine="600"/>
        <w:jc w:val="both"/>
        <w:rPr>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到</w:t>
      </w:r>
      <w:r>
        <w:rPr>
          <w:rFonts w:ascii="Times New Roman" w:hAnsi="Times New Roman" w:cs="Times New Roman"/>
          <w:color w:val="000000" w:themeColor="text1"/>
          <w14:textFill>
            <w14:solidFill>
              <w14:schemeClr w14:val="tx1"/>
            </w14:solidFill>
          </w14:textFill>
        </w:rPr>
        <w:t>2035</w:t>
      </w:r>
      <w:r>
        <w:rPr>
          <w:rFonts w:hint="eastAsia"/>
          <w:color w:val="000000" w:themeColor="text1"/>
          <w14:textFill>
            <w14:solidFill>
              <w14:schemeClr w14:val="tx1"/>
            </w14:solidFill>
          </w14:textFill>
        </w:rPr>
        <w:t>年，</w:t>
      </w:r>
      <w:bookmarkStart w:id="391" w:name="_Hlk140518020"/>
      <w:r>
        <w:rPr>
          <w:rFonts w:hint="eastAsia"/>
          <w:color w:val="000000" w:themeColor="text1"/>
          <w14:textFill>
            <w14:solidFill>
              <w14:schemeClr w14:val="tx1"/>
            </w14:solidFill>
          </w14:textFill>
        </w:rPr>
        <w:t>与全国全省全市同步基本实现社会主义现代化，</w:t>
      </w:r>
      <w:r>
        <w:rPr>
          <w:rFonts w:hint="eastAsia" w:ascii="仿宋_GB2312"/>
        </w:rPr>
        <w:t>基本实现新型工业化、信息化、城镇化、农业农村现代化，建成现代化经济体系</w:t>
      </w:r>
      <w:bookmarkEnd w:id="391"/>
      <w:r>
        <w:rPr>
          <w:rFonts w:hint="eastAsia" w:ascii="仿宋_GB2312"/>
        </w:rPr>
        <w:t>，</w:t>
      </w:r>
      <w:r>
        <w:rPr>
          <w:rFonts w:hint="eastAsia"/>
          <w:color w:val="000000" w:themeColor="text1"/>
          <w14:textFill>
            <w14:solidFill>
              <w14:schemeClr w14:val="tx1"/>
            </w14:solidFill>
          </w14:textFill>
        </w:rPr>
        <w:t>建成与</w:t>
      </w:r>
      <w:r>
        <w:rPr>
          <w:rFonts w:hint="eastAsia" w:ascii="仿宋_GB2312"/>
          <w:color w:val="000000" w:themeColor="text1"/>
          <w14:textFill>
            <w14:solidFill>
              <w14:schemeClr w14:val="tx1"/>
            </w14:solidFill>
          </w14:textFill>
        </w:rPr>
        <w:t>“</w:t>
      </w:r>
      <w:r>
        <w:rPr>
          <w:rFonts w:hint="eastAsia"/>
          <w:color w:val="000000" w:themeColor="text1"/>
          <w14:textFill>
            <w14:solidFill>
              <w14:schemeClr w14:val="tx1"/>
            </w14:solidFill>
          </w14:textFill>
        </w:rPr>
        <w:t>双区</w:t>
      </w:r>
      <w:r>
        <w:rPr>
          <w:rFonts w:hint="eastAsia" w:ascii="仿宋_GB2312"/>
          <w:color w:val="000000" w:themeColor="text1"/>
          <w14:textFill>
            <w14:solidFill>
              <w14:schemeClr w14:val="tx1"/>
            </w14:solidFill>
          </w14:textFill>
        </w:rPr>
        <w:t>”</w:t>
      </w:r>
      <w:r>
        <w:rPr>
          <w:rFonts w:hint="eastAsia"/>
          <w:color w:val="000000" w:themeColor="text1"/>
          <w14:textFill>
            <w14:solidFill>
              <w14:schemeClr w14:val="tx1"/>
            </w14:solidFill>
          </w14:textFill>
        </w:rPr>
        <w:t>功能互补的重要支点城市、</w:t>
      </w:r>
      <w:r>
        <w:rPr>
          <w:color w:val="000000" w:themeColor="text1"/>
          <w14:textFill>
            <w14:solidFill>
              <w14:schemeClr w14:val="tx1"/>
            </w14:solidFill>
          </w14:textFill>
        </w:rPr>
        <w:t>粤北生态保护</w:t>
      </w:r>
      <w:r>
        <w:rPr>
          <w:rFonts w:hint="eastAsia"/>
          <w:color w:val="000000" w:themeColor="text1"/>
          <w14:textFill>
            <w14:solidFill>
              <w14:schemeClr w14:val="tx1"/>
            </w14:solidFill>
          </w14:textFill>
        </w:rPr>
        <w:t>和</w:t>
      </w:r>
      <w:r>
        <w:rPr>
          <w:color w:val="000000" w:themeColor="text1"/>
          <w14:textFill>
            <w14:solidFill>
              <w14:schemeClr w14:val="tx1"/>
            </w14:solidFill>
          </w14:textFill>
        </w:rPr>
        <w:t>产业绿色发展建设典范</w:t>
      </w:r>
      <w:r>
        <w:rPr>
          <w:rFonts w:hint="eastAsia"/>
          <w:color w:val="000000" w:themeColor="text1"/>
          <w14:textFill>
            <w14:solidFill>
              <w14:schemeClr w14:val="tx1"/>
            </w14:solidFill>
          </w14:textFill>
        </w:rPr>
        <w:t>、国际知名的山水名城。</w:t>
      </w:r>
    </w:p>
    <w:p w14:paraId="391B3500">
      <w:pPr>
        <w:ind w:firstLine="600"/>
        <w:jc w:val="both"/>
        <w:rPr>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到</w:t>
      </w:r>
      <w:r>
        <w:rPr>
          <w:rFonts w:ascii="Times New Roman" w:hAnsi="Times New Roman" w:cs="Times New Roman"/>
          <w:color w:val="000000" w:themeColor="text1"/>
          <w14:textFill>
            <w14:solidFill>
              <w14:schemeClr w14:val="tx1"/>
            </w14:solidFill>
          </w14:textFill>
        </w:rPr>
        <w:t>2050</w:t>
      </w:r>
      <w:r>
        <w:rPr>
          <w:rFonts w:hint="eastAsia"/>
          <w:color w:val="000000" w:themeColor="text1"/>
          <w14:textFill>
            <w14:solidFill>
              <w14:schemeClr w14:val="tx1"/>
            </w14:solidFill>
          </w14:textFill>
        </w:rPr>
        <w:t>年，绿色生态效益完全凸显，以丹霞山为引领，带动全域旅游发展，成为具有国际影响力的生态休闲旅游目的地，全面建成高质量可持续发展的魅力城市。</w:t>
      </w:r>
    </w:p>
    <w:p w14:paraId="54C4D9CB">
      <w:pPr>
        <w:pStyle w:val="6"/>
        <w:spacing w:before="163" w:after="163"/>
        <w:rPr>
          <w:b/>
        </w:rPr>
      </w:pPr>
      <w:bookmarkStart w:id="392" w:name="_Toc141887856"/>
      <w:bookmarkStart w:id="393" w:name="_Toc132305759"/>
      <w:bookmarkStart w:id="394" w:name="_Toc15572"/>
      <w:r>
        <w:rPr>
          <w:rFonts w:hint="eastAsia"/>
        </w:rPr>
        <w:t>城市性质</w:t>
      </w:r>
      <w:bookmarkEnd w:id="392"/>
      <w:bookmarkEnd w:id="393"/>
      <w:bookmarkEnd w:id="394"/>
    </w:p>
    <w:p w14:paraId="2FFF29F7">
      <w:pPr>
        <w:ind w:firstLine="600"/>
        <w:jc w:val="both"/>
        <w:rPr>
          <w:rFonts w:ascii="仿宋_GB2312" w:hAnsi="黑体"/>
          <w:szCs w:val="30"/>
          <w:highlight w:val="yellow"/>
        </w:rPr>
      </w:pPr>
      <w:r>
        <w:rPr>
          <w:rFonts w:hint="eastAsia" w:ascii="仿宋_GB2312" w:hAnsi="黑体"/>
          <w:szCs w:val="30"/>
        </w:rPr>
        <w:t>城市性质为具有国际影响力的生态休闲旅游目的地、韶关产城融合转型发展实践地、彰显丹霞文化特色的山水精致城市。</w:t>
      </w:r>
    </w:p>
    <w:p w14:paraId="06BC9B77">
      <w:pPr>
        <w:ind w:firstLine="600"/>
        <w:jc w:val="both"/>
      </w:pPr>
      <w:bookmarkStart w:id="395" w:name="_Hlk144908193"/>
      <w:r>
        <w:rPr>
          <w:rFonts w:hint="eastAsia" w:ascii="楷体_GB2312" w:hAnsi="楷体_GB2312" w:eastAsia="楷体_GB2312" w:cs="楷体_GB2312"/>
          <w:szCs w:val="30"/>
        </w:rPr>
        <w:t>具有国际影响力的生态休闲旅游目的地。</w:t>
      </w:r>
      <w:bookmarkEnd w:id="395"/>
      <w:r>
        <w:rPr>
          <w:rFonts w:hint="eastAsia" w:ascii="仿宋_GB2312" w:hAnsi="黑体"/>
          <w:szCs w:val="30"/>
        </w:rPr>
        <w:t>以世界自然遗产典型丹霞地貌为特征，以创建丹霞山国家公园为契机，重点打造丹霞山标志性旅游景区，提高中心城区服务功能和品质，连同环丹产业带、红色文化旅游经济带，带动全域旅游发展。</w:t>
      </w:r>
    </w:p>
    <w:p w14:paraId="7E02A973">
      <w:pPr>
        <w:ind w:firstLine="600"/>
        <w:jc w:val="both"/>
        <w:rPr>
          <w:rFonts w:ascii="仿宋_GB2312" w:hAnsi="黑体"/>
          <w:szCs w:val="30"/>
        </w:rPr>
      </w:pPr>
      <w:r>
        <w:rPr>
          <w:rFonts w:hint="eastAsia" w:ascii="楷体_GB2312" w:hAnsi="楷体_GB2312" w:eastAsia="楷体_GB2312" w:cs="楷体_GB2312"/>
          <w:szCs w:val="30"/>
        </w:rPr>
        <w:t>韶关产城融合转型发展实践地。</w:t>
      </w:r>
      <w:r>
        <w:rPr>
          <w:rFonts w:hint="eastAsia" w:ascii="仿宋_GB2312" w:hAnsi="黑体"/>
          <w:szCs w:val="30"/>
        </w:rPr>
        <w:t>坚持制造业当家，扎实推进董塘凡口绿色工业园区、仁化产业转移工业园等平台建设，加快园区传统产业绿色化转型，提升空间利用效率，强化功能配套，加大基础设施建设力度，提高城市宜居宜业水平，实现产城融合转型发展。</w:t>
      </w:r>
    </w:p>
    <w:p w14:paraId="21B9F89F">
      <w:pPr>
        <w:ind w:firstLine="600"/>
        <w:jc w:val="both"/>
        <w:rPr>
          <w:color w:val="000000" w:themeColor="text1"/>
          <w14:textFill>
            <w14:solidFill>
              <w14:schemeClr w14:val="tx1"/>
            </w14:solidFill>
          </w14:textFill>
        </w:rPr>
      </w:pPr>
      <w:r>
        <w:rPr>
          <w:rFonts w:hint="eastAsia" w:ascii="楷体_GB2312" w:hAnsi="楷体_GB2312" w:eastAsia="楷体_GB2312" w:cs="楷体_GB2312"/>
          <w:szCs w:val="30"/>
        </w:rPr>
        <w:t>彰显丹霞文化</w:t>
      </w:r>
      <w:r>
        <w:rPr>
          <w:rFonts w:hint="eastAsia" w:ascii="仿宋_GB2312" w:hAnsi="黑体"/>
          <w:szCs w:val="30"/>
        </w:rPr>
        <w:t>特色</w:t>
      </w:r>
      <w:r>
        <w:rPr>
          <w:rFonts w:hint="eastAsia" w:ascii="楷体_GB2312" w:hAnsi="楷体_GB2312" w:eastAsia="楷体_GB2312" w:cs="楷体_GB2312"/>
          <w:szCs w:val="30"/>
        </w:rPr>
        <w:t>的山水精致城市。</w:t>
      </w:r>
      <w:r>
        <w:rPr>
          <w:rFonts w:hint="eastAsia" w:ascii="仿宋_GB2312" w:hAnsi="黑体"/>
          <w:szCs w:val="30"/>
        </w:rPr>
        <w:t>依托丹霞文化内涵，突出仁化新时代城市风貌；融丹山－锦水－绿树－田园为一体，促进建设空间集约高效，提高设施服务品质，优化城区空间形态，推动景城一体化发展。</w:t>
      </w:r>
    </w:p>
    <w:p w14:paraId="18FCA3F1">
      <w:pPr>
        <w:pStyle w:val="6"/>
        <w:spacing w:before="163" w:after="163"/>
        <w:rPr>
          <w:b/>
        </w:rPr>
      </w:pPr>
      <w:bookmarkStart w:id="396" w:name="_Toc8011"/>
      <w:bookmarkStart w:id="397" w:name="_Toc132305760"/>
      <w:bookmarkStart w:id="398" w:name="_Toc141887857"/>
      <w:r>
        <w:rPr>
          <w:rFonts w:hint="eastAsia"/>
        </w:rPr>
        <w:t>城市规模</w:t>
      </w:r>
      <w:bookmarkEnd w:id="396"/>
      <w:bookmarkEnd w:id="397"/>
      <w:bookmarkEnd w:id="398"/>
    </w:p>
    <w:p w14:paraId="2D1AAF66">
      <w:pPr>
        <w:ind w:firstLine="600"/>
        <w:jc w:val="both"/>
        <w:rPr>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合理预测人口规模与城镇化水平。</w:t>
      </w:r>
      <w:r>
        <w:rPr>
          <w:rFonts w:hint="eastAsia"/>
          <w:color w:val="000000" w:themeColor="text1"/>
          <w14:textFill>
            <w14:solidFill>
              <w14:schemeClr w14:val="tx1"/>
            </w14:solidFill>
          </w14:textFill>
        </w:rPr>
        <w:t>规划至</w:t>
      </w:r>
      <w:r>
        <w:rPr>
          <w:rFonts w:ascii="Times New Roman" w:hAnsi="Times New Roman" w:cs="Times New Roman"/>
          <w:color w:val="000000" w:themeColor="text1"/>
          <w14:textFill>
            <w14:solidFill>
              <w14:schemeClr w14:val="tx1"/>
            </w14:solidFill>
          </w14:textFill>
        </w:rPr>
        <w:t>2035</w:t>
      </w:r>
      <w:r>
        <w:rPr>
          <w:rFonts w:hint="eastAsia"/>
          <w:color w:val="000000" w:themeColor="text1"/>
          <w14:textFill>
            <w14:solidFill>
              <w14:schemeClr w14:val="tx1"/>
            </w14:solidFill>
          </w14:textFill>
        </w:rPr>
        <w:t>年</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县域</w:t>
      </w:r>
      <w:r>
        <w:rPr>
          <w:color w:val="000000" w:themeColor="text1"/>
          <w14:textFill>
            <w14:solidFill>
              <w14:schemeClr w14:val="tx1"/>
            </w14:solidFill>
          </w14:textFill>
        </w:rPr>
        <w:t>常住人口</w:t>
      </w:r>
      <w:r>
        <w:rPr>
          <w:rFonts w:ascii="Times New Roman" w:hAnsi="Times New Roman" w:cs="Times New Roman"/>
          <w:color w:val="000000" w:themeColor="text1"/>
          <w14:textFill>
            <w14:solidFill>
              <w14:schemeClr w14:val="tx1"/>
            </w14:solidFill>
          </w14:textFill>
        </w:rPr>
        <w:t>19</w:t>
      </w:r>
      <w:r>
        <w:rPr>
          <w:color w:val="000000" w:themeColor="text1"/>
          <w14:textFill>
            <w14:solidFill>
              <w14:schemeClr w14:val="tx1"/>
            </w14:solidFill>
          </w14:textFill>
        </w:rPr>
        <w:t>万人，</w:t>
      </w:r>
      <w:r>
        <w:rPr>
          <w:rFonts w:hint="eastAsia"/>
          <w:color w:val="000000" w:themeColor="text1"/>
          <w14:textFill>
            <w14:solidFill>
              <w14:schemeClr w14:val="tx1"/>
            </w14:solidFill>
          </w14:textFill>
        </w:rPr>
        <w:t>全县</w:t>
      </w:r>
      <w:r>
        <w:rPr>
          <w:color w:val="000000" w:themeColor="text1"/>
          <w14:textFill>
            <w14:solidFill>
              <w14:schemeClr w14:val="tx1"/>
            </w14:solidFill>
          </w14:textFill>
        </w:rPr>
        <w:t>城镇化</w:t>
      </w:r>
      <w:r>
        <w:rPr>
          <w:rFonts w:hint="eastAsia"/>
          <w:color w:val="000000" w:themeColor="text1"/>
          <w14:textFill>
            <w14:solidFill>
              <w14:schemeClr w14:val="tx1"/>
            </w14:solidFill>
          </w14:textFill>
        </w:rPr>
        <w:t>水平达到</w:t>
      </w:r>
      <w:r>
        <w:rPr>
          <w:rFonts w:ascii="Times New Roman" w:hAnsi="Times New Roman" w:cs="Times New Roman"/>
          <w:color w:val="000000" w:themeColor="text1"/>
          <w14:textFill>
            <w14:solidFill>
              <w14:schemeClr w14:val="tx1"/>
            </w14:solidFill>
          </w14:textFill>
        </w:rPr>
        <w:t>55%</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中心城区常住人口</w:t>
      </w:r>
      <w:r>
        <w:rPr>
          <w:rFonts w:ascii="Times New Roman" w:hAnsi="Times New Roman" w:cs="Times New Roman"/>
          <w:color w:val="000000" w:themeColor="text1"/>
          <w14:textFill>
            <w14:solidFill>
              <w14:schemeClr w14:val="tx1"/>
            </w14:solidFill>
          </w14:textFill>
        </w:rPr>
        <w:t>7</w:t>
      </w:r>
      <w:r>
        <w:rPr>
          <w:color w:val="000000" w:themeColor="text1"/>
          <w14:textFill>
            <w14:solidFill>
              <w14:schemeClr w14:val="tx1"/>
            </w14:solidFill>
          </w14:textFill>
        </w:rPr>
        <w:t>万人</w:t>
      </w:r>
      <w:r>
        <w:rPr>
          <w:rFonts w:hint="eastAsia"/>
          <w:color w:val="000000" w:themeColor="text1"/>
          <w14:textFill>
            <w14:solidFill>
              <w14:schemeClr w14:val="tx1"/>
            </w14:solidFill>
          </w14:textFill>
        </w:rPr>
        <w:t>，统筹考虑短期停留人口对城市设施需求，按照全县实际服务管理人口</w:t>
      </w:r>
      <w:r>
        <w:rPr>
          <w:rFonts w:ascii="Times New Roman" w:hAnsi="Times New Roman" w:cs="Times New Roman"/>
          <w:color w:val="000000" w:themeColor="text1"/>
          <w14:textFill>
            <w14:solidFill>
              <w14:schemeClr w14:val="tx1"/>
            </w14:solidFill>
          </w14:textFill>
        </w:rPr>
        <w:t>21</w:t>
      </w:r>
      <w:r>
        <w:rPr>
          <w:rFonts w:hint="eastAsia"/>
          <w:color w:val="000000" w:themeColor="text1"/>
          <w14:textFill>
            <w14:solidFill>
              <w14:schemeClr w14:val="tx1"/>
            </w14:solidFill>
          </w14:textFill>
        </w:rPr>
        <w:t>万人，预留公共服务设施和基础设施的配置保障能力。</w:t>
      </w:r>
    </w:p>
    <w:p w14:paraId="5CBE5790">
      <w:pPr>
        <w:pStyle w:val="20"/>
        <w:ind w:firstLine="600"/>
      </w:pPr>
      <w:r>
        <w:rPr>
          <w:rFonts w:hint="eastAsia" w:ascii="楷体_GB2312" w:hAnsi="宋体" w:eastAsia="楷体_GB2312"/>
          <w:color w:val="000000" w:themeColor="text1"/>
          <w14:textFill>
            <w14:solidFill>
              <w14:schemeClr w14:val="tx1"/>
            </w14:solidFill>
          </w14:textFill>
        </w:rPr>
        <w:t>坚持节约集约利用土地。</w:t>
      </w:r>
      <w:r>
        <w:rPr>
          <w:rFonts w:hint="eastAsia"/>
        </w:rPr>
        <w:t>持续推进存量空间盘活和低效用地再开发，依托全域土地综合整治和城乡建设用地增减挂钩，优先保障重点平台、重大项目和民生项目，逐步引导土地利用方式从增量扩张向增量与存量并重转变。引导城镇建设用地混合利用，</w:t>
      </w:r>
      <w:r>
        <w:rPr>
          <w:rFonts w:hint="eastAsia"/>
          <w:u w:val="single"/>
        </w:rPr>
        <w:t>规划至</w:t>
      </w:r>
      <w:r>
        <w:rPr>
          <w:rFonts w:ascii="Times New Roman" w:hAnsi="Times New Roman" w:cs="Times New Roman"/>
          <w:u w:val="single"/>
        </w:rPr>
        <w:t>2035</w:t>
      </w:r>
      <w:r>
        <w:rPr>
          <w:u w:val="single"/>
        </w:rPr>
        <w:t>年，</w:t>
      </w:r>
      <w:r>
        <w:rPr>
          <w:rFonts w:hint="eastAsia"/>
          <w:u w:val="single"/>
        </w:rPr>
        <w:t>县域</w:t>
      </w:r>
      <w:r>
        <w:rPr>
          <w:u w:val="single"/>
        </w:rPr>
        <w:t>和中心城区人均城镇建设用地</w:t>
      </w:r>
      <w:r>
        <w:rPr>
          <w:rFonts w:hint="eastAsia"/>
          <w:u w:val="single"/>
        </w:rPr>
        <w:t>均</w:t>
      </w:r>
      <w:r>
        <w:rPr>
          <w:u w:val="single"/>
        </w:rPr>
        <w:t>为</w:t>
      </w:r>
      <w:r>
        <w:rPr>
          <w:rFonts w:ascii="Times New Roman" w:hAnsi="Times New Roman" w:cs="Times New Roman"/>
          <w:u w:val="single"/>
        </w:rPr>
        <w:t>120</w:t>
      </w:r>
      <w:r>
        <w:rPr>
          <w:u w:val="single"/>
        </w:rPr>
        <w:t>平方米。</w:t>
      </w:r>
    </w:p>
    <w:p w14:paraId="4A441F9E">
      <w:pPr>
        <w:pStyle w:val="6"/>
        <w:spacing w:before="163" w:after="163"/>
        <w:rPr>
          <w:b/>
        </w:rPr>
      </w:pPr>
      <w:bookmarkStart w:id="399" w:name="_Toc143355079"/>
      <w:bookmarkEnd w:id="399"/>
      <w:bookmarkStart w:id="400" w:name="_Toc143353651"/>
      <w:bookmarkEnd w:id="400"/>
      <w:bookmarkStart w:id="401" w:name="_Toc143355659"/>
      <w:bookmarkEnd w:id="401"/>
      <w:bookmarkStart w:id="402" w:name="_Toc143355369"/>
      <w:bookmarkEnd w:id="402"/>
      <w:bookmarkStart w:id="403" w:name="_Toc143357123"/>
      <w:bookmarkEnd w:id="403"/>
      <w:bookmarkStart w:id="404" w:name="_Toc143357413"/>
      <w:bookmarkEnd w:id="404"/>
      <w:bookmarkStart w:id="405" w:name="_Toc143354511"/>
      <w:bookmarkEnd w:id="405"/>
      <w:bookmarkStart w:id="406" w:name="_Toc143352677"/>
      <w:bookmarkEnd w:id="406"/>
      <w:bookmarkStart w:id="407" w:name="_Toc143099325"/>
      <w:bookmarkEnd w:id="407"/>
      <w:bookmarkStart w:id="408" w:name="_Toc143354795"/>
      <w:bookmarkEnd w:id="408"/>
      <w:bookmarkStart w:id="409" w:name="_Toc143357704"/>
      <w:bookmarkEnd w:id="409"/>
      <w:bookmarkStart w:id="410" w:name="_Toc143356239"/>
      <w:bookmarkEnd w:id="410"/>
      <w:bookmarkStart w:id="411" w:name="_Toc143355949"/>
      <w:bookmarkEnd w:id="411"/>
      <w:bookmarkStart w:id="412" w:name="_Toc143356833"/>
      <w:bookmarkEnd w:id="412"/>
      <w:bookmarkStart w:id="413" w:name="_Toc143353937"/>
      <w:bookmarkEnd w:id="413"/>
      <w:bookmarkStart w:id="414" w:name="_Toc142858781"/>
      <w:bookmarkEnd w:id="414"/>
      <w:bookmarkStart w:id="415" w:name="_Toc143260732"/>
      <w:bookmarkEnd w:id="415"/>
      <w:bookmarkStart w:id="416" w:name="_Toc143356529"/>
      <w:bookmarkEnd w:id="416"/>
      <w:bookmarkStart w:id="417" w:name="_Toc143358576"/>
      <w:bookmarkEnd w:id="417"/>
      <w:bookmarkStart w:id="418" w:name="_Toc143357995"/>
      <w:bookmarkEnd w:id="418"/>
      <w:bookmarkStart w:id="419" w:name="_Toc143354227"/>
      <w:bookmarkEnd w:id="419"/>
      <w:bookmarkStart w:id="420" w:name="_Toc143352973"/>
      <w:bookmarkEnd w:id="420"/>
      <w:bookmarkStart w:id="421" w:name="_Toc143358285"/>
      <w:bookmarkEnd w:id="421"/>
      <w:bookmarkStart w:id="422" w:name="_Toc143099040"/>
      <w:bookmarkEnd w:id="422"/>
      <w:bookmarkStart w:id="423" w:name="_Toc88472360"/>
      <w:bookmarkStart w:id="424" w:name="_Toc19744"/>
      <w:bookmarkStart w:id="425" w:name="_Toc132305761"/>
      <w:bookmarkStart w:id="426" w:name="_Toc141887858"/>
      <w:r>
        <w:rPr>
          <w:rFonts w:hint="eastAsia"/>
        </w:rPr>
        <w:t>国土空间开发保护</w:t>
      </w:r>
      <w:bookmarkEnd w:id="423"/>
      <w:r>
        <w:rPr>
          <w:rFonts w:hint="eastAsia"/>
        </w:rPr>
        <w:t>策略</w:t>
      </w:r>
      <w:bookmarkEnd w:id="424"/>
      <w:bookmarkEnd w:id="425"/>
      <w:bookmarkEnd w:id="426"/>
    </w:p>
    <w:p w14:paraId="29FE4A75">
      <w:pPr>
        <w:ind w:firstLine="600"/>
        <w:jc w:val="both"/>
        <w:rPr>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生态优先策略。</w:t>
      </w:r>
      <w:r>
        <w:rPr>
          <w:rFonts w:hint="eastAsia"/>
          <w:color w:val="000000" w:themeColor="text1"/>
          <w14:textFill>
            <w14:solidFill>
              <w14:schemeClr w14:val="tx1"/>
            </w14:solidFill>
          </w14:textFill>
        </w:rPr>
        <w:t>落实最严格的生态环境保护制度，夯实国土生态安全格局，筑牢粤北生态屏障。创建丹霞山国家公园，推动丹霞山自然生态系统保护与修复；推动生态和乡村地区以“点状开发”促进用地精准投放，分区分类推动存量用地盘活；以自然资源优势为基础，积极推进生态产业化和产业生态化，打造“两山”转化和生态产品价值实现路径，建设绿色发展高地。</w:t>
      </w:r>
    </w:p>
    <w:p w14:paraId="4208DA3C">
      <w:pPr>
        <w:ind w:firstLine="600"/>
        <w:jc w:val="both"/>
        <w:rPr>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区域协同策略。</w:t>
      </w:r>
      <w:r>
        <w:rPr>
          <w:rFonts w:hint="eastAsia"/>
          <w:color w:val="000000" w:themeColor="text1"/>
          <w14:textFill>
            <w14:solidFill>
              <w14:schemeClr w14:val="tx1"/>
            </w14:solidFill>
          </w14:textFill>
        </w:rPr>
        <w:t>立足“山水林田湖生命共同体”理念，协同推进绿美韶关生态建设；立足区域联动发展，因地制宜发展绿色低碳、环境友好型产业，共建北部生态发展区；支撑长征国家文化公园（广东段）等红色文化设施建设，与湘南赣南共同推进文化旅游合作。</w:t>
      </w:r>
    </w:p>
    <w:p w14:paraId="1AC3DF1A">
      <w:pPr>
        <w:ind w:firstLine="600"/>
        <w:jc w:val="both"/>
        <w:rPr>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融湾赋能策略。</w:t>
      </w:r>
      <w:bookmarkStart w:id="427" w:name="_Hlk140486318"/>
      <w:r>
        <w:rPr>
          <w:rFonts w:hint="eastAsia"/>
          <w:color w:val="000000" w:themeColor="text1"/>
          <w14:textFill>
            <w14:solidFill>
              <w14:schemeClr w14:val="tx1"/>
            </w14:solidFill>
          </w14:textFill>
        </w:rPr>
        <w:t>主动对接融入和支持服务“双区”和横琴、前海、南沙三大平台建设，积极承接粤港澳大湾区产业有序转移，</w:t>
      </w:r>
      <w:bookmarkEnd w:id="427"/>
      <w:r>
        <w:rPr>
          <w:rFonts w:hint="eastAsia"/>
          <w:color w:val="000000" w:themeColor="text1"/>
          <w14:textFill>
            <w14:solidFill>
              <w14:schemeClr w14:val="tx1"/>
            </w14:solidFill>
          </w14:textFill>
        </w:rPr>
        <w:t>发展高新技术产业；着力建设现代农业产业园和特色工业产业平台，形成以生态农业、绿色工业为主体的生态产业体系。</w:t>
      </w:r>
    </w:p>
    <w:p w14:paraId="6943D56C">
      <w:pPr>
        <w:ind w:firstLine="600"/>
        <w:jc w:val="both"/>
        <w:rPr>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全域旅游策略。</w:t>
      </w:r>
      <w:r>
        <w:rPr>
          <w:rFonts w:hint="eastAsia"/>
          <w:color w:val="000000" w:themeColor="text1"/>
          <w14:textFill>
            <w14:solidFill>
              <w14:schemeClr w14:val="tx1"/>
            </w14:solidFill>
          </w14:textFill>
        </w:rPr>
        <w:t>依托独特的自然山水资源，深度融合农业、文化、康养及农产品加工等产业，以创建丹霞山国家公园为契机，不断丰富新兴旅游业态，构建以丹霞山景区为龙头的环丹休闲旅游带，带动全域旅游发展。</w:t>
      </w:r>
    </w:p>
    <w:p w14:paraId="08ACB289">
      <w:pPr>
        <w:pStyle w:val="4"/>
        <w:spacing w:before="326" w:after="326"/>
        <w:ind w:firstLine="726"/>
        <w:rPr>
          <w:b w:val="0"/>
          <w:bCs w:val="0"/>
          <w:color w:val="000000" w:themeColor="text1"/>
          <w14:textFill>
            <w14:solidFill>
              <w14:schemeClr w14:val="tx1"/>
            </w14:solidFill>
          </w14:textFill>
        </w:rPr>
      </w:pPr>
      <w:bookmarkStart w:id="428" w:name="_Toc30443"/>
      <w:bookmarkStart w:id="429" w:name="_Toc141887860"/>
      <w:bookmarkStart w:id="430" w:name="_Toc167271380"/>
      <w:bookmarkStart w:id="431" w:name="_Toc132305763"/>
      <w:r>
        <w:rPr>
          <w:rFonts w:hint="eastAsia"/>
          <w:b w:val="0"/>
          <w:bCs w:val="0"/>
          <w:color w:val="000000" w:themeColor="text1"/>
          <w14:textFill>
            <w14:solidFill>
              <w14:schemeClr w14:val="tx1"/>
            </w14:solidFill>
          </w14:textFill>
        </w:rPr>
        <w:t>构建国土空间开发保护格局</w:t>
      </w:r>
      <w:bookmarkEnd w:id="428"/>
      <w:bookmarkEnd w:id="429"/>
      <w:bookmarkEnd w:id="430"/>
      <w:bookmarkEnd w:id="431"/>
    </w:p>
    <w:p w14:paraId="077B545F">
      <w:pPr>
        <w:pStyle w:val="5"/>
        <w:spacing w:before="163" w:after="163"/>
        <w:rPr>
          <w:b/>
        </w:rPr>
      </w:pPr>
      <w:bookmarkStart w:id="432" w:name="_Toc142858787"/>
      <w:bookmarkEnd w:id="432"/>
      <w:bookmarkStart w:id="433" w:name="_Toc143353656"/>
      <w:bookmarkEnd w:id="433"/>
      <w:bookmarkStart w:id="434" w:name="_Toc143353658"/>
      <w:bookmarkEnd w:id="434"/>
      <w:bookmarkStart w:id="435" w:name="_Toc143355956"/>
      <w:bookmarkEnd w:id="435"/>
      <w:bookmarkStart w:id="436" w:name="_Toc143353655"/>
      <w:bookmarkEnd w:id="436"/>
      <w:bookmarkStart w:id="437" w:name="_Toc143357710"/>
      <w:bookmarkEnd w:id="437"/>
      <w:bookmarkStart w:id="438" w:name="_Toc143355955"/>
      <w:bookmarkEnd w:id="438"/>
      <w:bookmarkStart w:id="439" w:name="_Toc143358584"/>
      <w:bookmarkEnd w:id="439"/>
      <w:bookmarkStart w:id="440" w:name="_Toc143354518"/>
      <w:bookmarkEnd w:id="440"/>
      <w:bookmarkStart w:id="441" w:name="_Toc143358582"/>
      <w:bookmarkEnd w:id="441"/>
      <w:bookmarkStart w:id="442" w:name="_Toc132402216"/>
      <w:bookmarkEnd w:id="442"/>
      <w:bookmarkStart w:id="443" w:name="_Toc132399763"/>
      <w:bookmarkEnd w:id="443"/>
      <w:bookmarkStart w:id="444" w:name="_Toc143357418"/>
      <w:bookmarkEnd w:id="444"/>
      <w:bookmarkStart w:id="445" w:name="_Toc143353657"/>
      <w:bookmarkEnd w:id="445"/>
      <w:bookmarkStart w:id="446" w:name="_Toc143357128"/>
      <w:bookmarkEnd w:id="446"/>
      <w:bookmarkStart w:id="447" w:name="_Toc142858788"/>
      <w:bookmarkEnd w:id="447"/>
      <w:bookmarkStart w:id="448" w:name="_Toc143352982"/>
      <w:bookmarkEnd w:id="448"/>
      <w:bookmarkStart w:id="449" w:name="_Toc143356243"/>
      <w:bookmarkEnd w:id="449"/>
      <w:bookmarkStart w:id="450" w:name="_Toc143357423"/>
      <w:bookmarkEnd w:id="450"/>
      <w:bookmarkStart w:id="451" w:name="_Toc132401323"/>
      <w:bookmarkEnd w:id="451"/>
      <w:bookmarkStart w:id="452" w:name="_Toc143358004"/>
      <w:bookmarkEnd w:id="452"/>
      <w:bookmarkStart w:id="453" w:name="_Toc143354515"/>
      <w:bookmarkEnd w:id="453"/>
      <w:bookmarkStart w:id="454" w:name="_Toc143099048"/>
      <w:bookmarkEnd w:id="454"/>
      <w:bookmarkStart w:id="455" w:name="_Toc143356840"/>
      <w:bookmarkEnd w:id="455"/>
      <w:bookmarkStart w:id="456" w:name="_Toc143354233"/>
      <w:bookmarkEnd w:id="456"/>
      <w:bookmarkStart w:id="457" w:name="_Toc143099049"/>
      <w:bookmarkEnd w:id="457"/>
      <w:bookmarkStart w:id="458" w:name="_Toc143357420"/>
      <w:bookmarkEnd w:id="458"/>
      <w:bookmarkStart w:id="459" w:name="_Toc143099332"/>
      <w:bookmarkEnd w:id="459"/>
      <w:bookmarkStart w:id="460" w:name="_Toc143354519"/>
      <w:bookmarkEnd w:id="460"/>
      <w:bookmarkStart w:id="461" w:name="_Toc143355953"/>
      <w:bookmarkEnd w:id="461"/>
      <w:bookmarkStart w:id="462" w:name="_Toc143260736"/>
      <w:bookmarkEnd w:id="462"/>
      <w:bookmarkStart w:id="463" w:name="_Toc142858786"/>
      <w:bookmarkEnd w:id="463"/>
      <w:bookmarkStart w:id="464" w:name="_Toc143099329"/>
      <w:bookmarkEnd w:id="464"/>
      <w:bookmarkStart w:id="465" w:name="_Toc143357714"/>
      <w:bookmarkEnd w:id="465"/>
      <w:bookmarkStart w:id="466" w:name="_Toc143353947"/>
      <w:bookmarkEnd w:id="466"/>
      <w:bookmarkStart w:id="467" w:name="_Toc132399987"/>
      <w:bookmarkEnd w:id="467"/>
      <w:bookmarkStart w:id="468" w:name="_Toc143358005"/>
      <w:bookmarkEnd w:id="468"/>
      <w:bookmarkStart w:id="469" w:name="_Toc143355958"/>
      <w:bookmarkEnd w:id="469"/>
      <w:bookmarkStart w:id="470" w:name="_Toc143356837"/>
      <w:bookmarkEnd w:id="470"/>
      <w:bookmarkStart w:id="471" w:name="_Toc143356248"/>
      <w:bookmarkEnd w:id="471"/>
      <w:bookmarkStart w:id="472" w:name="_Toc143357130"/>
      <w:bookmarkEnd w:id="472"/>
      <w:bookmarkStart w:id="473" w:name="_Toc143353942"/>
      <w:bookmarkEnd w:id="473"/>
      <w:bookmarkStart w:id="474" w:name="_Toc143352683"/>
      <w:bookmarkEnd w:id="474"/>
      <w:bookmarkStart w:id="475" w:name="_Toc143355089"/>
      <w:bookmarkEnd w:id="475"/>
      <w:bookmarkStart w:id="476" w:name="_Toc143356842"/>
      <w:bookmarkEnd w:id="476"/>
      <w:bookmarkStart w:id="477" w:name="_Toc143357133"/>
      <w:bookmarkEnd w:id="477"/>
      <w:bookmarkStart w:id="478" w:name="_Toc132400878"/>
      <w:bookmarkEnd w:id="478"/>
      <w:bookmarkStart w:id="479" w:name="_Toc143358002"/>
      <w:bookmarkEnd w:id="479"/>
      <w:bookmarkStart w:id="480" w:name="_Toc143099044"/>
      <w:bookmarkEnd w:id="480"/>
      <w:bookmarkStart w:id="481" w:name="_Toc143355084"/>
      <w:bookmarkEnd w:id="481"/>
      <w:bookmarkStart w:id="482" w:name="_Toc143358580"/>
      <w:bookmarkEnd w:id="482"/>
      <w:bookmarkStart w:id="483" w:name="_Toc143355957"/>
      <w:bookmarkEnd w:id="483"/>
      <w:bookmarkStart w:id="484" w:name="_Toc143355375"/>
      <w:bookmarkEnd w:id="484"/>
      <w:bookmarkStart w:id="485" w:name="_Toc143354799"/>
      <w:bookmarkEnd w:id="485"/>
      <w:bookmarkStart w:id="486" w:name="_Toc143356838"/>
      <w:bookmarkEnd w:id="486"/>
      <w:bookmarkStart w:id="487" w:name="_Toc143354805"/>
      <w:bookmarkEnd w:id="487"/>
      <w:bookmarkStart w:id="488" w:name="_Toc143358581"/>
      <w:bookmarkEnd w:id="488"/>
      <w:bookmarkStart w:id="489" w:name="_Toc132400210"/>
      <w:bookmarkEnd w:id="489"/>
      <w:bookmarkStart w:id="490" w:name="_Toc143357127"/>
      <w:bookmarkEnd w:id="490"/>
      <w:bookmarkStart w:id="491" w:name="_Toc132402439"/>
      <w:bookmarkEnd w:id="491"/>
      <w:bookmarkStart w:id="492" w:name="_Toc143356249"/>
      <w:bookmarkEnd w:id="492"/>
      <w:bookmarkStart w:id="493" w:name="_Toc143353941"/>
      <w:bookmarkEnd w:id="493"/>
      <w:bookmarkStart w:id="494" w:name="_Toc143352681"/>
      <w:bookmarkEnd w:id="494"/>
      <w:bookmarkStart w:id="495" w:name="_Toc143357417"/>
      <w:bookmarkEnd w:id="495"/>
      <w:bookmarkStart w:id="496" w:name="_Toc132401770"/>
      <w:bookmarkEnd w:id="496"/>
      <w:bookmarkStart w:id="497" w:name="_Toc143352978"/>
      <w:bookmarkEnd w:id="497"/>
      <w:bookmarkStart w:id="498" w:name="_Toc142858785"/>
      <w:bookmarkEnd w:id="498"/>
      <w:bookmarkStart w:id="499" w:name="_Toc143356535"/>
      <w:bookmarkEnd w:id="499"/>
      <w:bookmarkStart w:id="500" w:name="_Toc143356244"/>
      <w:bookmarkEnd w:id="500"/>
      <w:bookmarkStart w:id="501" w:name="_Toc143260737"/>
      <w:bookmarkEnd w:id="501"/>
      <w:bookmarkStart w:id="502" w:name="_Toc143357708"/>
      <w:bookmarkEnd w:id="502"/>
      <w:bookmarkStart w:id="503" w:name="_Toc132400433"/>
      <w:bookmarkEnd w:id="503"/>
      <w:bookmarkStart w:id="504" w:name="_Toc143099330"/>
      <w:bookmarkEnd w:id="504"/>
      <w:bookmarkStart w:id="505" w:name="_Toc132401324"/>
      <w:bookmarkEnd w:id="505"/>
      <w:bookmarkStart w:id="506" w:name="_Toc143356539"/>
      <w:bookmarkEnd w:id="506"/>
      <w:bookmarkStart w:id="507" w:name="_Toc143354232"/>
      <w:bookmarkEnd w:id="507"/>
      <w:bookmarkStart w:id="508" w:name="_Toc143355665"/>
      <w:bookmarkEnd w:id="508"/>
      <w:bookmarkStart w:id="509" w:name="_Toc143354800"/>
      <w:bookmarkEnd w:id="509"/>
      <w:bookmarkStart w:id="510" w:name="_Toc143355373"/>
      <w:bookmarkEnd w:id="510"/>
      <w:bookmarkStart w:id="511" w:name="_Toc143353945"/>
      <w:bookmarkEnd w:id="511"/>
      <w:bookmarkStart w:id="512" w:name="_Toc143354234"/>
      <w:bookmarkEnd w:id="512"/>
      <w:bookmarkStart w:id="513" w:name="_Toc143357711"/>
      <w:bookmarkEnd w:id="513"/>
      <w:bookmarkStart w:id="514" w:name="_Toc143356533"/>
      <w:bookmarkEnd w:id="514"/>
      <w:bookmarkStart w:id="515" w:name="_Toc143352979"/>
      <w:bookmarkEnd w:id="515"/>
      <w:bookmarkStart w:id="516" w:name="_Toc143260738"/>
      <w:bookmarkEnd w:id="516"/>
      <w:bookmarkStart w:id="517" w:name="_Toc143099045"/>
      <w:bookmarkEnd w:id="517"/>
      <w:bookmarkStart w:id="518" w:name="_Toc143355663"/>
      <w:bookmarkEnd w:id="518"/>
      <w:bookmarkStart w:id="519" w:name="_Toc143353944"/>
      <w:bookmarkEnd w:id="519"/>
      <w:bookmarkStart w:id="520" w:name="_Toc143352977"/>
      <w:bookmarkEnd w:id="520"/>
      <w:bookmarkStart w:id="521" w:name="_Toc143357999"/>
      <w:bookmarkEnd w:id="521"/>
      <w:bookmarkStart w:id="522" w:name="_Toc142858789"/>
      <w:bookmarkEnd w:id="522"/>
      <w:bookmarkStart w:id="523" w:name="_Toc143355954"/>
      <w:bookmarkEnd w:id="523"/>
      <w:bookmarkStart w:id="524" w:name="_Toc142858791"/>
      <w:bookmarkEnd w:id="524"/>
      <w:bookmarkStart w:id="525" w:name="_Toc143099046"/>
      <w:bookmarkEnd w:id="525"/>
      <w:bookmarkStart w:id="526" w:name="_Toc143352980"/>
      <w:bookmarkEnd w:id="526"/>
      <w:bookmarkStart w:id="527" w:name="_Toc143099334"/>
      <w:bookmarkEnd w:id="527"/>
      <w:bookmarkStart w:id="528" w:name="_Toc143355664"/>
      <w:bookmarkEnd w:id="528"/>
      <w:bookmarkStart w:id="529" w:name="_Toc143355378"/>
      <w:bookmarkEnd w:id="529"/>
      <w:bookmarkStart w:id="530" w:name="_Toc143355669"/>
      <w:bookmarkEnd w:id="530"/>
      <w:bookmarkStart w:id="531" w:name="_Toc143358295"/>
      <w:bookmarkEnd w:id="531"/>
      <w:bookmarkStart w:id="532" w:name="_Toc143358290"/>
      <w:bookmarkEnd w:id="532"/>
      <w:bookmarkStart w:id="533" w:name="_Toc143355083"/>
      <w:bookmarkEnd w:id="533"/>
      <w:bookmarkStart w:id="534" w:name="_Toc132402664"/>
      <w:bookmarkEnd w:id="534"/>
      <w:bookmarkStart w:id="535" w:name="_Toc143352682"/>
      <w:bookmarkEnd w:id="535"/>
      <w:bookmarkStart w:id="536" w:name="_Toc143260739"/>
      <w:bookmarkEnd w:id="536"/>
      <w:bookmarkStart w:id="537" w:name="_Toc143355666"/>
      <w:bookmarkEnd w:id="537"/>
      <w:bookmarkStart w:id="538" w:name="_Toc143356843"/>
      <w:bookmarkEnd w:id="538"/>
      <w:bookmarkStart w:id="539" w:name="_Toc143358583"/>
      <w:bookmarkEnd w:id="539"/>
      <w:bookmarkStart w:id="540" w:name="_Toc132403553"/>
      <w:bookmarkEnd w:id="540"/>
      <w:bookmarkStart w:id="541" w:name="_Toc143354231"/>
      <w:bookmarkEnd w:id="541"/>
      <w:bookmarkStart w:id="542" w:name="_Toc143358003"/>
      <w:bookmarkEnd w:id="542"/>
      <w:bookmarkStart w:id="543" w:name="_Toc143357709"/>
      <w:bookmarkEnd w:id="543"/>
      <w:bookmarkStart w:id="544" w:name="_Toc143353943"/>
      <w:bookmarkEnd w:id="544"/>
      <w:bookmarkStart w:id="545" w:name="_Toc132400432"/>
      <w:bookmarkEnd w:id="545"/>
      <w:bookmarkStart w:id="546" w:name="_Toc143356536"/>
      <w:bookmarkEnd w:id="546"/>
      <w:bookmarkStart w:id="547" w:name="_Toc143355379"/>
      <w:bookmarkEnd w:id="547"/>
      <w:bookmarkStart w:id="548" w:name="_Toc143353660"/>
      <w:bookmarkEnd w:id="548"/>
      <w:bookmarkStart w:id="549" w:name="_Toc143356534"/>
      <w:bookmarkEnd w:id="549"/>
      <w:bookmarkStart w:id="550" w:name="_Toc143352981"/>
      <w:bookmarkEnd w:id="550"/>
      <w:bookmarkStart w:id="551" w:name="_Toc143357131"/>
      <w:bookmarkEnd w:id="551"/>
      <w:bookmarkStart w:id="552" w:name="_Toc143357419"/>
      <w:bookmarkEnd w:id="552"/>
      <w:bookmarkStart w:id="553" w:name="_Toc143099333"/>
      <w:bookmarkEnd w:id="553"/>
      <w:bookmarkStart w:id="554" w:name="_Toc143356841"/>
      <w:bookmarkEnd w:id="554"/>
      <w:bookmarkStart w:id="555" w:name="_Toc143352686"/>
      <w:bookmarkEnd w:id="555"/>
      <w:bookmarkStart w:id="556" w:name="_Toc143352684"/>
      <w:bookmarkEnd w:id="556"/>
      <w:bookmarkStart w:id="557" w:name="_Toc143355085"/>
      <w:bookmarkEnd w:id="557"/>
      <w:bookmarkStart w:id="558" w:name="_Toc143354802"/>
      <w:bookmarkEnd w:id="558"/>
      <w:bookmarkStart w:id="559" w:name="_Toc143356537"/>
      <w:bookmarkEnd w:id="559"/>
      <w:bookmarkStart w:id="560" w:name="_Toc132401100"/>
      <w:bookmarkEnd w:id="560"/>
      <w:bookmarkStart w:id="561" w:name="_Toc143260741"/>
      <w:bookmarkEnd w:id="561"/>
      <w:bookmarkStart w:id="562" w:name="_Toc143356247"/>
      <w:bookmarkEnd w:id="562"/>
      <w:bookmarkStart w:id="563" w:name="_Toc143357421"/>
      <w:bookmarkEnd w:id="563"/>
      <w:bookmarkStart w:id="564" w:name="_Toc143354801"/>
      <w:bookmarkEnd w:id="564"/>
      <w:bookmarkStart w:id="565" w:name="_Toc143354517"/>
      <w:bookmarkEnd w:id="565"/>
      <w:bookmarkStart w:id="566" w:name="_Toc143355087"/>
      <w:bookmarkEnd w:id="566"/>
      <w:bookmarkStart w:id="567" w:name="_Toc143353659"/>
      <w:bookmarkEnd w:id="567"/>
      <w:bookmarkStart w:id="568" w:name="_Toc143354236"/>
      <w:bookmarkEnd w:id="568"/>
      <w:bookmarkStart w:id="569" w:name="_Toc143358000"/>
      <w:bookmarkEnd w:id="569"/>
      <w:bookmarkStart w:id="570" w:name="_Toc143355668"/>
      <w:bookmarkEnd w:id="570"/>
      <w:bookmarkStart w:id="571" w:name="_Toc143260742"/>
      <w:bookmarkEnd w:id="571"/>
      <w:bookmarkStart w:id="572" w:name="_Toc143358293"/>
      <w:bookmarkEnd w:id="572"/>
      <w:bookmarkStart w:id="573" w:name="_Toc143354520"/>
      <w:bookmarkEnd w:id="573"/>
      <w:bookmarkStart w:id="574" w:name="_Toc132401101"/>
      <w:bookmarkEnd w:id="574"/>
      <w:bookmarkStart w:id="575" w:name="_Toc143355086"/>
      <w:bookmarkEnd w:id="575"/>
      <w:bookmarkStart w:id="576" w:name="_Toc143354804"/>
      <w:bookmarkEnd w:id="576"/>
      <w:bookmarkStart w:id="577" w:name="_Toc143358585"/>
      <w:bookmarkEnd w:id="577"/>
      <w:bookmarkStart w:id="578" w:name="_Toc132469649"/>
      <w:bookmarkEnd w:id="578"/>
      <w:bookmarkStart w:id="579" w:name="_Toc143355374"/>
      <w:bookmarkEnd w:id="579"/>
      <w:bookmarkStart w:id="580" w:name="_Toc143355088"/>
      <w:bookmarkEnd w:id="580"/>
      <w:bookmarkStart w:id="581" w:name="_Toc132399762"/>
      <w:bookmarkEnd w:id="581"/>
      <w:bookmarkStart w:id="582" w:name="_Toc143099331"/>
      <w:bookmarkEnd w:id="582"/>
      <w:bookmarkStart w:id="583" w:name="_Toc143357422"/>
      <w:bookmarkEnd w:id="583"/>
      <w:bookmarkStart w:id="584" w:name="_Toc143355376"/>
      <w:bookmarkEnd w:id="584"/>
      <w:bookmarkStart w:id="585" w:name="_Toc143356246"/>
      <w:bookmarkEnd w:id="585"/>
      <w:bookmarkStart w:id="586" w:name="_Toc143357712"/>
      <w:bookmarkEnd w:id="586"/>
      <w:bookmarkStart w:id="587" w:name="_Toc143353661"/>
      <w:bookmarkEnd w:id="587"/>
      <w:bookmarkStart w:id="588" w:name="_Toc143354521"/>
      <w:bookmarkEnd w:id="588"/>
      <w:bookmarkStart w:id="589" w:name="_Toc143099047"/>
      <w:bookmarkEnd w:id="589"/>
      <w:bookmarkStart w:id="590" w:name="_Toc143358294"/>
      <w:bookmarkEnd w:id="590"/>
      <w:bookmarkStart w:id="591" w:name="_Toc143358586"/>
      <w:bookmarkEnd w:id="591"/>
      <w:bookmarkStart w:id="592" w:name="_Toc143260740"/>
      <w:bookmarkEnd w:id="592"/>
      <w:bookmarkStart w:id="593" w:name="_Toc143099050"/>
      <w:bookmarkEnd w:id="593"/>
      <w:bookmarkStart w:id="594" w:name="_Toc143355377"/>
      <w:bookmarkEnd w:id="594"/>
      <w:bookmarkStart w:id="595" w:name="_Toc143355667"/>
      <w:bookmarkEnd w:id="595"/>
      <w:bookmarkStart w:id="596" w:name="_Toc132401769"/>
      <w:bookmarkEnd w:id="596"/>
      <w:bookmarkStart w:id="597" w:name="_Toc143357132"/>
      <w:bookmarkEnd w:id="597"/>
      <w:bookmarkStart w:id="598" w:name="_Toc132400879"/>
      <w:bookmarkEnd w:id="598"/>
      <w:bookmarkStart w:id="599" w:name="_Toc132401992"/>
      <w:bookmarkEnd w:id="599"/>
      <w:bookmarkStart w:id="600" w:name="_Toc143356839"/>
      <w:bookmarkEnd w:id="600"/>
      <w:bookmarkStart w:id="601" w:name="_Toc143352983"/>
      <w:bookmarkEnd w:id="601"/>
      <w:bookmarkStart w:id="602" w:name="_Toc143352685"/>
      <w:bookmarkEnd w:id="602"/>
      <w:bookmarkStart w:id="603" w:name="_Toc132400656"/>
      <w:bookmarkEnd w:id="603"/>
      <w:bookmarkStart w:id="604" w:name="_Toc143354235"/>
      <w:bookmarkEnd w:id="604"/>
      <w:bookmarkStart w:id="605" w:name="_Toc143352687"/>
      <w:bookmarkEnd w:id="605"/>
      <w:bookmarkStart w:id="606" w:name="_Toc143356245"/>
      <w:bookmarkEnd w:id="606"/>
      <w:bookmarkStart w:id="607" w:name="_Toc132402215"/>
      <w:bookmarkEnd w:id="607"/>
      <w:bookmarkStart w:id="608" w:name="_Toc143357129"/>
      <w:bookmarkEnd w:id="608"/>
      <w:bookmarkStart w:id="609" w:name="_Toc143358292"/>
      <w:bookmarkEnd w:id="609"/>
      <w:bookmarkStart w:id="610" w:name="_Toc143356538"/>
      <w:bookmarkEnd w:id="610"/>
      <w:bookmarkStart w:id="611" w:name="_Toc143358289"/>
      <w:bookmarkEnd w:id="611"/>
      <w:bookmarkStart w:id="612" w:name="_Toc143099335"/>
      <w:bookmarkEnd w:id="612"/>
      <w:bookmarkStart w:id="613" w:name="_Toc143355959"/>
      <w:bookmarkEnd w:id="613"/>
      <w:bookmarkStart w:id="614" w:name="_Toc132402663"/>
      <w:bookmarkEnd w:id="614"/>
      <w:bookmarkStart w:id="615" w:name="_Toc132402440"/>
      <w:bookmarkEnd w:id="615"/>
      <w:bookmarkStart w:id="616" w:name="_Toc143354237"/>
      <w:bookmarkEnd w:id="616"/>
      <w:bookmarkStart w:id="617" w:name="_Toc132400209"/>
      <w:bookmarkEnd w:id="617"/>
      <w:bookmarkStart w:id="618" w:name="_Toc132401993"/>
      <w:bookmarkEnd w:id="618"/>
      <w:bookmarkStart w:id="619" w:name="_Toc142858790"/>
      <w:bookmarkEnd w:id="619"/>
      <w:bookmarkStart w:id="620" w:name="_Toc143354803"/>
      <w:bookmarkEnd w:id="620"/>
      <w:bookmarkStart w:id="621" w:name="_Toc143353946"/>
      <w:bookmarkEnd w:id="621"/>
      <w:bookmarkStart w:id="622" w:name="_Toc143357713"/>
      <w:bookmarkEnd w:id="622"/>
      <w:bookmarkStart w:id="623" w:name="_Toc132403554"/>
      <w:bookmarkEnd w:id="623"/>
      <w:bookmarkStart w:id="624" w:name="_Toc143358291"/>
      <w:bookmarkEnd w:id="624"/>
      <w:bookmarkStart w:id="625" w:name="_Toc132469650"/>
      <w:bookmarkEnd w:id="625"/>
      <w:bookmarkStart w:id="626" w:name="_Toc143354516"/>
      <w:bookmarkEnd w:id="626"/>
      <w:bookmarkStart w:id="627" w:name="_Toc143358001"/>
      <w:bookmarkEnd w:id="627"/>
      <w:bookmarkStart w:id="628" w:name="_Toc132400655"/>
      <w:bookmarkEnd w:id="628"/>
      <w:bookmarkStart w:id="629" w:name="_Toc132399986"/>
      <w:bookmarkEnd w:id="629"/>
      <w:bookmarkStart w:id="630" w:name="_Toc167271381"/>
      <w:bookmarkStart w:id="631" w:name="_Toc88472366"/>
      <w:bookmarkStart w:id="632" w:name="_Toc132305768"/>
      <w:bookmarkStart w:id="633" w:name="_Toc88472368"/>
      <w:r>
        <w:rPr>
          <w:rFonts w:hint="eastAsia"/>
        </w:rPr>
        <w:t>三条控制线划定与管控</w:t>
      </w:r>
      <w:bookmarkEnd w:id="630"/>
    </w:p>
    <w:p w14:paraId="6A0F69B5">
      <w:pPr>
        <w:pStyle w:val="6"/>
        <w:spacing w:before="163" w:after="163"/>
        <w:rPr>
          <w:b/>
        </w:rPr>
      </w:pPr>
      <w:bookmarkStart w:id="634" w:name="_Toc132305772"/>
      <w:bookmarkStart w:id="635" w:name="_Toc141887865"/>
      <w:bookmarkStart w:id="636" w:name="_Toc25173"/>
      <w:r>
        <w:rPr>
          <w:rFonts w:hint="eastAsia"/>
        </w:rPr>
        <w:t>优先划定耕地和永久基本农田</w:t>
      </w:r>
      <w:bookmarkEnd w:id="634"/>
      <w:bookmarkEnd w:id="635"/>
      <w:bookmarkEnd w:id="636"/>
      <w:r>
        <w:rPr>
          <w:rFonts w:hint="eastAsia"/>
        </w:rPr>
        <w:t>保护红线</w:t>
      </w:r>
    </w:p>
    <w:p w14:paraId="17B29F72">
      <w:pPr>
        <w:ind w:firstLine="600"/>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按照应划尽划、应保尽保的原则，落实耕地保护目标，</w:t>
      </w:r>
      <w:r>
        <w:rPr>
          <w:rFonts w:hint="eastAsia"/>
          <w:color w:val="000000" w:themeColor="text1"/>
          <w:u w:val="single"/>
          <w14:textFill>
            <w14:solidFill>
              <w14:schemeClr w14:val="tx1"/>
            </w14:solidFill>
          </w14:textFill>
        </w:rPr>
        <w:t>到</w:t>
      </w:r>
      <w:r>
        <w:rPr>
          <w:rFonts w:ascii="Times New Roman" w:hAnsi="Times New Roman" w:cs="Times New Roman"/>
          <w:color w:val="000000" w:themeColor="text1"/>
          <w:u w:val="single"/>
          <w14:textFill>
            <w14:solidFill>
              <w14:schemeClr w14:val="tx1"/>
            </w14:solidFill>
          </w14:textFill>
        </w:rPr>
        <w:t>2035</w:t>
      </w:r>
      <w:r>
        <w:rPr>
          <w:color w:val="000000" w:themeColor="text1"/>
          <w:u w:val="single"/>
          <w14:textFill>
            <w14:solidFill>
              <w14:schemeClr w14:val="tx1"/>
            </w14:solidFill>
          </w14:textFill>
        </w:rPr>
        <w:t>年</w:t>
      </w:r>
      <w:r>
        <w:rPr>
          <w:rFonts w:hint="eastAsia"/>
          <w:color w:val="000000" w:themeColor="text1"/>
          <w:u w:val="single"/>
          <w14:textFill>
            <w14:solidFill>
              <w14:schemeClr w14:val="tx1"/>
            </w14:solidFill>
          </w14:textFill>
        </w:rPr>
        <w:t>，全县耕地保有量不低于</w:t>
      </w:r>
      <w:r>
        <w:rPr>
          <w:rFonts w:ascii="Times New Roman" w:hAnsi="Times New Roman" w:cs="Times New Roman"/>
          <w:color w:val="000000" w:themeColor="text1"/>
          <w:u w:val="single"/>
          <w14:textFill>
            <w14:solidFill>
              <w14:schemeClr w14:val="tx1"/>
            </w14:solidFill>
          </w14:textFill>
        </w:rPr>
        <w:t>96.80</w:t>
      </w:r>
      <w:r>
        <w:rPr>
          <w:rFonts w:hint="eastAsia"/>
          <w:color w:val="000000" w:themeColor="text1"/>
          <w:u w:val="single"/>
          <w14:textFill>
            <w14:solidFill>
              <w14:schemeClr w14:val="tx1"/>
            </w14:solidFill>
          </w14:textFill>
        </w:rPr>
        <w:t>平方公里（</w:t>
      </w:r>
      <w:r>
        <w:rPr>
          <w:rFonts w:ascii="Times New Roman" w:hAnsi="Times New Roman" w:cs="Times New Roman"/>
          <w:color w:val="000000" w:themeColor="text1"/>
          <w:u w:val="single"/>
          <w14:textFill>
            <w14:solidFill>
              <w14:schemeClr w14:val="tx1"/>
            </w14:solidFill>
          </w14:textFill>
        </w:rPr>
        <w:t>14.52</w:t>
      </w:r>
      <w:r>
        <w:rPr>
          <w:rFonts w:hint="eastAsia"/>
          <w:color w:val="000000" w:themeColor="text1"/>
          <w:u w:val="single"/>
          <w14:textFill>
            <w14:solidFill>
              <w14:schemeClr w14:val="tx1"/>
            </w14:solidFill>
          </w14:textFill>
        </w:rPr>
        <w:t>万亩）。</w:t>
      </w:r>
      <w:r>
        <w:rPr>
          <w:rFonts w:ascii="仿宋_GB2312"/>
        </w:rPr>
        <w:t>严格落实永久基本农田保护任务，将可长期稳定利用耕地</w:t>
      </w:r>
      <w:r>
        <w:rPr>
          <w:rFonts w:hint="eastAsia" w:ascii="仿宋_GB2312"/>
        </w:rPr>
        <w:t>优先划入永久基本农田，</w:t>
      </w:r>
      <w:r>
        <w:rPr>
          <w:rFonts w:hint="eastAsia" w:ascii="仿宋_GB2312"/>
          <w:u w:val="single"/>
        </w:rPr>
        <w:t>到</w:t>
      </w:r>
      <w:r>
        <w:rPr>
          <w:rFonts w:ascii="Times New Roman" w:hAnsi="Times New Roman" w:cs="Times New Roman"/>
          <w:u w:val="single"/>
        </w:rPr>
        <w:t>2035</w:t>
      </w:r>
      <w:r>
        <w:rPr>
          <w:rFonts w:hint="eastAsia" w:ascii="仿宋_GB2312"/>
          <w:u w:val="single"/>
        </w:rPr>
        <w:t>年，</w:t>
      </w:r>
      <w:r>
        <w:rPr>
          <w:rFonts w:hint="eastAsia"/>
          <w:color w:val="000000" w:themeColor="text1"/>
          <w:u w:val="single"/>
          <w14:textFill>
            <w14:solidFill>
              <w14:schemeClr w14:val="tx1"/>
            </w14:solidFill>
          </w14:textFill>
        </w:rPr>
        <w:t>全县永久基本农田保护面积不低于</w:t>
      </w:r>
      <w:r>
        <w:rPr>
          <w:rFonts w:ascii="Times New Roman" w:hAnsi="Times New Roman" w:cs="Times New Roman"/>
          <w:color w:val="000000" w:themeColor="text1"/>
          <w:u w:val="single"/>
          <w14:textFill>
            <w14:solidFill>
              <w14:schemeClr w14:val="tx1"/>
            </w14:solidFill>
          </w14:textFill>
        </w:rPr>
        <w:t>88.18</w:t>
      </w:r>
      <w:r>
        <w:rPr>
          <w:rFonts w:hint="eastAsia"/>
          <w:color w:val="000000" w:themeColor="text1"/>
          <w:u w:val="single"/>
          <w14:textFill>
            <w14:solidFill>
              <w14:schemeClr w14:val="tx1"/>
            </w14:solidFill>
          </w14:textFill>
        </w:rPr>
        <w:t>平方公里（</w:t>
      </w:r>
      <w:r>
        <w:rPr>
          <w:rFonts w:ascii="Times New Roman" w:hAnsi="Times New Roman" w:cs="Times New Roman"/>
          <w:color w:val="000000" w:themeColor="text1"/>
          <w:u w:val="single"/>
          <w14:textFill>
            <w14:solidFill>
              <w14:schemeClr w14:val="tx1"/>
            </w14:solidFill>
          </w14:textFill>
        </w:rPr>
        <w:t>13.23</w:t>
      </w:r>
      <w:r>
        <w:rPr>
          <w:rFonts w:hint="eastAsia"/>
          <w:color w:val="000000" w:themeColor="text1"/>
          <w:u w:val="single"/>
          <w14:textFill>
            <w14:solidFill>
              <w14:schemeClr w14:val="tx1"/>
            </w14:solidFill>
          </w14:textFill>
        </w:rPr>
        <w:t>万亩）。</w:t>
      </w:r>
    </w:p>
    <w:p w14:paraId="5CB9A826">
      <w:pPr>
        <w:pStyle w:val="6"/>
        <w:spacing w:before="163" w:after="163"/>
        <w:rPr>
          <w:b/>
        </w:rPr>
      </w:pPr>
      <w:bookmarkStart w:id="637" w:name="_Toc145277542"/>
      <w:bookmarkEnd w:id="637"/>
      <w:bookmarkStart w:id="638" w:name="_Toc145499874"/>
      <w:bookmarkEnd w:id="638"/>
      <w:bookmarkStart w:id="639" w:name="_Toc6992"/>
      <w:bookmarkStart w:id="640" w:name="_Toc132305773"/>
      <w:bookmarkStart w:id="641" w:name="_Toc141887866"/>
      <w:r>
        <w:rPr>
          <w:rFonts w:hint="eastAsia"/>
        </w:rPr>
        <w:t>科学划定生态保护红线</w:t>
      </w:r>
      <w:bookmarkEnd w:id="639"/>
      <w:bookmarkEnd w:id="640"/>
      <w:bookmarkEnd w:id="641"/>
    </w:p>
    <w:p w14:paraId="57FED74F">
      <w:pPr>
        <w:ind w:firstLine="600"/>
        <w:jc w:val="both"/>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到</w:t>
      </w:r>
      <w:r>
        <w:rPr>
          <w:rFonts w:ascii="Times New Roman" w:hAnsi="Times New Roman" w:cs="Times New Roman"/>
          <w:color w:val="000000" w:themeColor="text1"/>
          <w:u w:val="single"/>
          <w14:textFill>
            <w14:solidFill>
              <w14:schemeClr w14:val="tx1"/>
            </w14:solidFill>
          </w14:textFill>
        </w:rPr>
        <w:t>2035</w:t>
      </w:r>
      <w:r>
        <w:rPr>
          <w:rFonts w:hint="eastAsia"/>
          <w:color w:val="000000" w:themeColor="text1"/>
          <w:u w:val="single"/>
          <w14:textFill>
            <w14:solidFill>
              <w14:schemeClr w14:val="tx1"/>
            </w14:solidFill>
          </w14:textFill>
        </w:rPr>
        <w:t>年，全县陆域生态保护红线不低于</w:t>
      </w:r>
      <w:r>
        <w:rPr>
          <w:rFonts w:ascii="Times New Roman" w:hAnsi="Times New Roman" w:cs="Times New Roman"/>
          <w:color w:val="000000" w:themeColor="text1"/>
          <w:u w:val="single"/>
          <w14:textFill>
            <w14:solidFill>
              <w14:schemeClr w14:val="tx1"/>
            </w14:solidFill>
          </w14:textFill>
        </w:rPr>
        <w:t>785.14</w:t>
      </w:r>
      <w:r>
        <w:rPr>
          <w:color w:val="000000" w:themeColor="text1"/>
          <w:u w:val="single"/>
          <w14:textFill>
            <w14:solidFill>
              <w14:schemeClr w14:val="tx1"/>
            </w14:solidFill>
          </w14:textFill>
        </w:rPr>
        <w:t>平方公里。</w:t>
      </w:r>
      <w:r>
        <w:rPr>
          <w:rFonts w:hint="eastAsia"/>
          <w:color w:val="000000" w:themeColor="text1"/>
          <w:u w:val="single"/>
          <w14:textFill>
            <w14:solidFill>
              <w14:schemeClr w14:val="tx1"/>
            </w14:solidFill>
          </w14:textFill>
        </w:rPr>
        <w:t>生态保护红线一经划定，未经批准，严禁擅自调整。</w:t>
      </w:r>
    </w:p>
    <w:p w14:paraId="617C3FEC">
      <w:pPr>
        <w:pStyle w:val="6"/>
        <w:spacing w:before="163" w:after="163"/>
        <w:rPr>
          <w:b/>
        </w:rPr>
      </w:pPr>
      <w:bookmarkStart w:id="642" w:name="_Toc145277544"/>
      <w:bookmarkEnd w:id="642"/>
      <w:bookmarkStart w:id="643" w:name="_Toc145499876"/>
      <w:bookmarkEnd w:id="643"/>
      <w:bookmarkStart w:id="644" w:name="_Toc132305774"/>
      <w:bookmarkStart w:id="645" w:name="_Toc27882"/>
      <w:bookmarkStart w:id="646" w:name="_Toc141887867"/>
      <w:bookmarkStart w:id="647" w:name="_Toc141887869"/>
      <w:bookmarkStart w:id="648" w:name="_Toc26909"/>
      <w:r>
        <w:rPr>
          <w:rFonts w:hint="eastAsia"/>
        </w:rPr>
        <w:t>合理划定城镇开发边界</w:t>
      </w:r>
      <w:bookmarkEnd w:id="644"/>
      <w:bookmarkEnd w:id="645"/>
      <w:bookmarkEnd w:id="646"/>
    </w:p>
    <w:p w14:paraId="07CD77B4">
      <w:pPr>
        <w:ind w:firstLine="6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将支撑实体经济高质量发展的中心城区、重点平台、重大项目优先纳入城镇开发边界，</w:t>
      </w:r>
      <w:r>
        <w:rPr>
          <w:rFonts w:hint="eastAsia"/>
          <w:color w:val="000000" w:themeColor="text1"/>
          <w:u w:val="single"/>
          <w14:textFill>
            <w14:solidFill>
              <w14:schemeClr w14:val="tx1"/>
            </w14:solidFill>
          </w14:textFill>
        </w:rPr>
        <w:t>到</w:t>
      </w:r>
      <w:r>
        <w:rPr>
          <w:rFonts w:ascii="Times New Roman" w:hAnsi="Times New Roman" w:cs="Times New Roman"/>
          <w:color w:val="000000" w:themeColor="text1"/>
          <w:u w:val="single"/>
          <w14:textFill>
            <w14:solidFill>
              <w14:schemeClr w14:val="tx1"/>
            </w14:solidFill>
          </w14:textFill>
        </w:rPr>
        <w:t>2035</w:t>
      </w:r>
      <w:r>
        <w:rPr>
          <w:rFonts w:hint="eastAsia"/>
          <w:color w:val="000000" w:themeColor="text1"/>
          <w:u w:val="single"/>
          <w14:textFill>
            <w14:solidFill>
              <w14:schemeClr w14:val="tx1"/>
            </w14:solidFill>
          </w14:textFill>
        </w:rPr>
        <w:t>年，全县城镇开发边界面积控制在</w:t>
      </w:r>
      <w:r>
        <w:rPr>
          <w:rFonts w:ascii="Times New Roman" w:hAnsi="Times New Roman" w:cs="Times New Roman"/>
          <w:color w:val="000000" w:themeColor="text1"/>
          <w:u w:val="single"/>
          <w14:textFill>
            <w14:solidFill>
              <w14:schemeClr w14:val="tx1"/>
            </w14:solidFill>
          </w14:textFill>
        </w:rPr>
        <w:t>28.68</w:t>
      </w:r>
      <w:r>
        <w:rPr>
          <w:rFonts w:hint="eastAsia"/>
          <w:color w:val="000000" w:themeColor="text1"/>
          <w:u w:val="single"/>
          <w14:textFill>
            <w14:solidFill>
              <w14:schemeClr w14:val="tx1"/>
            </w14:solidFill>
          </w14:textFill>
        </w:rPr>
        <w:t>平方公里</w:t>
      </w:r>
      <w:r>
        <w:rPr>
          <w:color w:val="000000" w:themeColor="text1"/>
          <w:u w:val="single"/>
          <w14:textFill>
            <w14:solidFill>
              <w14:schemeClr w14:val="tx1"/>
            </w14:solidFill>
          </w14:textFill>
        </w:rPr>
        <w:t>以内。</w:t>
      </w:r>
    </w:p>
    <w:tbl>
      <w:tblPr>
        <w:tblStyle w:val="37"/>
        <w:tblW w:w="49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8253"/>
      </w:tblGrid>
      <w:tr w14:paraId="665EF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tcBorders>
              <w:top w:val="single" w:color="auto" w:sz="4" w:space="0"/>
              <w:left w:val="single" w:color="auto" w:sz="4" w:space="0"/>
              <w:bottom w:val="single" w:color="auto" w:sz="4" w:space="0"/>
              <w:right w:val="single" w:color="auto" w:sz="4" w:space="0"/>
            </w:tcBorders>
            <w:shd w:val="clear" w:color="auto" w:fill="D9D9D9"/>
          </w:tcPr>
          <w:p w14:paraId="400F8D4F">
            <w:pPr>
              <w:spacing w:before="46" w:after="46"/>
              <w:ind w:firstLine="0" w:firstLineChars="0"/>
              <w:jc w:val="center"/>
              <w:rPr>
                <w:rFonts w:eastAsia="黑体"/>
                <w:u w:val="single"/>
              </w:rPr>
            </w:pPr>
            <w:r>
              <w:rPr>
                <w:rFonts w:eastAsia="黑体"/>
                <w:szCs w:val="30"/>
                <w:u w:val="single"/>
              </w:rPr>
              <w:t>专栏</w:t>
            </w:r>
            <w:r>
              <w:rPr>
                <w:rFonts w:ascii="Times New Roman" w:hAnsi="Times New Roman" w:eastAsia="黑体" w:cs="Times New Roman"/>
                <w:szCs w:val="30"/>
                <w:u w:val="single"/>
              </w:rPr>
              <w:t>4</w:t>
            </w:r>
            <w:r>
              <w:rPr>
                <w:rFonts w:ascii="Times New Roman" w:hAnsi="Times New Roman" w:cs="Times New Roman"/>
                <w:szCs w:val="30"/>
                <w:u w:val="single"/>
              </w:rPr>
              <w:t>-</w:t>
            </w:r>
            <w:r>
              <w:rPr>
                <w:rFonts w:ascii="Times New Roman" w:hAnsi="Times New Roman" w:eastAsia="黑体" w:cs="Times New Roman"/>
                <w:szCs w:val="30"/>
                <w:u w:val="single"/>
              </w:rPr>
              <w:t>1</w:t>
            </w:r>
            <w:r>
              <w:rPr>
                <w:rFonts w:eastAsia="黑体"/>
                <w:szCs w:val="30"/>
                <w:u w:val="single"/>
              </w:rPr>
              <w:t>：</w:t>
            </w:r>
            <w:r>
              <w:rPr>
                <w:rFonts w:hint="eastAsia" w:eastAsia="黑体"/>
                <w:szCs w:val="30"/>
                <w:u w:val="single"/>
              </w:rPr>
              <w:t>“三线”管控基本要求</w:t>
            </w:r>
          </w:p>
        </w:tc>
      </w:tr>
      <w:tr w14:paraId="39F58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pct"/>
            <w:tcBorders>
              <w:top w:val="single" w:color="auto" w:sz="4" w:space="0"/>
              <w:left w:val="single" w:color="auto" w:sz="4" w:space="0"/>
              <w:bottom w:val="single" w:color="auto" w:sz="4" w:space="0"/>
              <w:right w:val="single" w:color="auto" w:sz="4" w:space="0"/>
            </w:tcBorders>
            <w:vAlign w:val="center"/>
          </w:tcPr>
          <w:p w14:paraId="554787D8">
            <w:pPr>
              <w:pStyle w:val="185"/>
              <w:widowControl/>
              <w:spacing w:before="48" w:beforeLines="15" w:after="48" w:afterLines="15" w:line="280" w:lineRule="exact"/>
              <w:jc w:val="center"/>
              <w:rPr>
                <w:rFonts w:ascii="Times New Roman" w:eastAsia="仿宋_GB2312" w:cs="Times New Roman"/>
                <w:color w:val="auto"/>
              </w:rPr>
            </w:pPr>
            <w:r>
              <w:rPr>
                <w:rFonts w:hint="eastAsia" w:ascii="Times New Roman" w:eastAsia="仿宋_GB2312" w:cs="Times New Roman"/>
                <w:color w:val="auto"/>
              </w:rPr>
              <w:t>耕地和永久基本农田保护红线</w:t>
            </w:r>
          </w:p>
        </w:tc>
        <w:tc>
          <w:tcPr>
            <w:tcW w:w="4525" w:type="pct"/>
            <w:tcBorders>
              <w:top w:val="single" w:color="auto" w:sz="4" w:space="0"/>
              <w:left w:val="single" w:color="auto" w:sz="4" w:space="0"/>
              <w:bottom w:val="single" w:color="auto" w:sz="4" w:space="0"/>
              <w:right w:val="single" w:color="auto" w:sz="4" w:space="0"/>
            </w:tcBorders>
          </w:tcPr>
          <w:p w14:paraId="75AAF64A">
            <w:pPr>
              <w:pStyle w:val="185"/>
              <w:widowControl/>
              <w:spacing w:before="48" w:beforeLines="15" w:after="48" w:afterLines="15" w:line="280" w:lineRule="exact"/>
              <w:ind w:firstLine="480"/>
              <w:rPr>
                <w:rFonts w:ascii="Times New Roman" w:eastAsia="仿宋_GB2312" w:cs="Times New Roman"/>
                <w:color w:val="auto"/>
              </w:rPr>
            </w:pPr>
            <w:r>
              <w:rPr>
                <w:rFonts w:ascii="Times New Roman" w:hAnsi="Times New Roman" w:eastAsia="仿宋_GB2312" w:cs="Times New Roman"/>
                <w:color w:val="auto"/>
              </w:rPr>
              <w:t>1</w:t>
            </w:r>
            <w:r>
              <w:rPr>
                <w:rFonts w:ascii="Times New Roman" w:eastAsia="仿宋_GB2312" w:cs="Times New Roman"/>
                <w:color w:val="auto"/>
              </w:rPr>
              <w:t>.耕地</w:t>
            </w:r>
          </w:p>
          <w:p w14:paraId="61694840">
            <w:pPr>
              <w:pStyle w:val="185"/>
              <w:widowControl/>
              <w:spacing w:before="48" w:beforeLines="15" w:after="48" w:afterLines="15" w:line="280" w:lineRule="exact"/>
              <w:ind w:firstLine="480"/>
              <w:rPr>
                <w:rFonts w:ascii="Times New Roman" w:eastAsia="仿宋_GB2312" w:cs="Times New Roman"/>
                <w:color w:val="auto"/>
              </w:rPr>
            </w:pPr>
            <w:r>
              <w:rPr>
                <w:rFonts w:hint="eastAsia" w:ascii="Times New Roman" w:eastAsia="仿宋_GB2312" w:cs="Times New Roman"/>
                <w:color w:val="auto"/>
              </w:rPr>
              <w:t>（</w:t>
            </w:r>
            <w:r>
              <w:rPr>
                <w:rFonts w:ascii="Times New Roman" w:hAnsi="Times New Roman" w:eastAsia="仿宋_GB2312" w:cs="Times New Roman"/>
                <w:color w:val="auto"/>
              </w:rPr>
              <w:t>1</w:t>
            </w:r>
            <w:r>
              <w:rPr>
                <w:rFonts w:ascii="Times New Roman" w:eastAsia="仿宋_GB2312" w:cs="Times New Roman"/>
                <w:color w:val="auto"/>
              </w:rPr>
              <w:t>）严守耕地保护红线，严格控制耕地转为非耕地。</w:t>
            </w:r>
          </w:p>
          <w:p w14:paraId="56F364A8">
            <w:pPr>
              <w:pStyle w:val="185"/>
              <w:widowControl/>
              <w:spacing w:before="48" w:beforeLines="15" w:after="48" w:afterLines="15" w:line="280" w:lineRule="exact"/>
              <w:ind w:firstLine="480"/>
              <w:rPr>
                <w:rFonts w:ascii="Times New Roman" w:eastAsia="仿宋_GB2312" w:cs="Times New Roman"/>
                <w:color w:val="auto"/>
              </w:rPr>
            </w:pPr>
            <w:r>
              <w:rPr>
                <w:rFonts w:hint="eastAsia" w:ascii="Times New Roman" w:eastAsia="仿宋_GB2312" w:cs="Times New Roman"/>
                <w:color w:val="auto"/>
              </w:rPr>
              <w:t>（</w:t>
            </w:r>
            <w:r>
              <w:rPr>
                <w:rFonts w:ascii="Times New Roman" w:hAnsi="Times New Roman" w:eastAsia="仿宋_GB2312" w:cs="Times New Roman"/>
                <w:color w:val="auto"/>
              </w:rPr>
              <w:t>2</w:t>
            </w:r>
            <w:r>
              <w:rPr>
                <w:rFonts w:ascii="Times New Roman" w:eastAsia="仿宋_GB2312" w:cs="Times New Roman"/>
                <w:color w:val="auto"/>
              </w:rPr>
              <w:t>）非农业建设必须节约使用土地，尽量不占或者少占耕地。</w:t>
            </w:r>
          </w:p>
          <w:p w14:paraId="3D23A0F7">
            <w:pPr>
              <w:pStyle w:val="185"/>
              <w:widowControl/>
              <w:spacing w:before="48" w:beforeLines="15" w:after="48" w:afterLines="15" w:line="280" w:lineRule="exact"/>
              <w:ind w:firstLine="480"/>
              <w:rPr>
                <w:rFonts w:ascii="Times New Roman" w:eastAsia="仿宋_GB2312" w:cs="Times New Roman"/>
                <w:color w:val="auto"/>
              </w:rPr>
            </w:pPr>
            <w:r>
              <w:rPr>
                <w:rFonts w:hint="eastAsia" w:ascii="Times New Roman" w:eastAsia="仿宋_GB2312" w:cs="Times New Roman"/>
                <w:color w:val="auto"/>
              </w:rPr>
              <w:t>（</w:t>
            </w:r>
            <w:r>
              <w:rPr>
                <w:rFonts w:ascii="Times New Roman" w:hAnsi="Times New Roman" w:eastAsia="仿宋_GB2312" w:cs="Times New Roman"/>
                <w:color w:val="auto"/>
              </w:rPr>
              <w:t>3</w:t>
            </w:r>
            <w:r>
              <w:rPr>
                <w:rFonts w:ascii="Times New Roman" w:eastAsia="仿宋_GB2312" w:cs="Times New Roman"/>
                <w:color w:val="auto"/>
              </w:rPr>
              <w:t>）非农业建设经批准占用耕地的，按照“占多少，垦多少”的原则，由占用耕地的单位负责补充与所占用耕地数量相等、质量相当的耕地。</w:t>
            </w:r>
          </w:p>
          <w:p w14:paraId="27A45C23">
            <w:pPr>
              <w:pStyle w:val="185"/>
              <w:widowControl/>
              <w:spacing w:before="48" w:beforeLines="15" w:after="48" w:afterLines="15" w:line="280" w:lineRule="exact"/>
              <w:ind w:firstLine="480"/>
              <w:rPr>
                <w:rFonts w:ascii="Times New Roman" w:eastAsia="仿宋_GB2312" w:cs="Times New Roman"/>
                <w:color w:val="auto"/>
              </w:rPr>
            </w:pPr>
            <w:r>
              <w:rPr>
                <w:rFonts w:hint="eastAsia" w:ascii="Times New Roman" w:eastAsia="仿宋_GB2312" w:cs="Times New Roman"/>
                <w:color w:val="auto"/>
              </w:rPr>
              <w:t>（</w:t>
            </w:r>
            <w:r>
              <w:rPr>
                <w:rFonts w:ascii="Times New Roman" w:hAnsi="Times New Roman" w:eastAsia="仿宋_GB2312" w:cs="Times New Roman"/>
                <w:color w:val="auto"/>
              </w:rPr>
              <w:t>4</w:t>
            </w:r>
            <w:r>
              <w:rPr>
                <w:rFonts w:ascii="Times New Roman" w:eastAsia="仿宋_GB2312" w:cs="Times New Roman"/>
                <w:color w:val="auto"/>
              </w:rPr>
              <w:t>）严格控制耕地转为林地、草地、园地、农业设施建设用地。</w:t>
            </w:r>
          </w:p>
          <w:p w14:paraId="59E144E9">
            <w:pPr>
              <w:pStyle w:val="185"/>
              <w:widowControl/>
              <w:spacing w:before="48" w:beforeLines="15" w:after="48" w:afterLines="15" w:line="280" w:lineRule="exact"/>
              <w:ind w:firstLine="480"/>
              <w:rPr>
                <w:rFonts w:ascii="Times New Roman" w:eastAsia="仿宋_GB2312" w:cs="Times New Roman"/>
                <w:color w:val="auto"/>
              </w:rPr>
            </w:pPr>
            <w:r>
              <w:rPr>
                <w:rFonts w:hint="eastAsia" w:ascii="Times New Roman" w:eastAsia="仿宋_GB2312" w:cs="Times New Roman"/>
                <w:color w:val="auto"/>
              </w:rPr>
              <w:t>（</w:t>
            </w:r>
            <w:r>
              <w:rPr>
                <w:rFonts w:ascii="Times New Roman" w:hAnsi="Times New Roman" w:eastAsia="仿宋_GB2312" w:cs="Times New Roman"/>
                <w:color w:val="auto"/>
              </w:rPr>
              <w:t>5</w:t>
            </w:r>
            <w:r>
              <w:rPr>
                <w:rFonts w:ascii="Times New Roman" w:eastAsia="仿宋_GB2312" w:cs="Times New Roman"/>
                <w:color w:val="auto"/>
              </w:rPr>
              <w:t>）因农业结构调整、农业设施建设等，确需将永久基本农田以外的耕地转为其他农用地的，应当按照“出多少，进多少”的原则，通过将其他农用地整治为耕地等方式，补充同等数量质量的耕地。</w:t>
            </w:r>
          </w:p>
          <w:p w14:paraId="5879BEBD">
            <w:pPr>
              <w:pStyle w:val="185"/>
              <w:widowControl/>
              <w:spacing w:before="48" w:beforeLines="15" w:after="48" w:afterLines="15" w:line="280" w:lineRule="exact"/>
              <w:ind w:firstLine="480"/>
              <w:rPr>
                <w:rFonts w:ascii="Times New Roman" w:eastAsia="仿宋_GB2312" w:cs="Times New Roman"/>
                <w:color w:val="auto"/>
              </w:rPr>
            </w:pPr>
            <w:r>
              <w:rPr>
                <w:rFonts w:ascii="Times New Roman" w:hAnsi="Times New Roman" w:eastAsia="仿宋_GB2312" w:cs="Times New Roman"/>
                <w:color w:val="auto"/>
              </w:rPr>
              <w:t>2</w:t>
            </w:r>
            <w:r>
              <w:rPr>
                <w:rFonts w:ascii="Times New Roman" w:eastAsia="仿宋_GB2312" w:cs="Times New Roman"/>
                <w:color w:val="auto"/>
              </w:rPr>
              <w:t>.永久基本农田</w:t>
            </w:r>
          </w:p>
          <w:p w14:paraId="453FA5AF">
            <w:pPr>
              <w:pStyle w:val="185"/>
              <w:widowControl/>
              <w:spacing w:before="48" w:beforeLines="15" w:after="48" w:afterLines="15" w:line="280" w:lineRule="exact"/>
              <w:ind w:firstLine="480"/>
              <w:rPr>
                <w:rFonts w:ascii="Times New Roman" w:eastAsia="仿宋_GB2312" w:cs="Times New Roman"/>
                <w:color w:val="auto"/>
              </w:rPr>
            </w:pPr>
            <w:r>
              <w:rPr>
                <w:rFonts w:hint="eastAsia" w:ascii="Times New Roman" w:eastAsia="仿宋_GB2312" w:cs="Times New Roman"/>
                <w:color w:val="auto"/>
              </w:rPr>
              <w:t>（</w:t>
            </w:r>
            <w:r>
              <w:rPr>
                <w:rFonts w:ascii="Times New Roman" w:hAnsi="Times New Roman" w:eastAsia="仿宋_GB2312" w:cs="Times New Roman"/>
                <w:color w:val="auto"/>
              </w:rPr>
              <w:t>1</w:t>
            </w:r>
            <w:r>
              <w:rPr>
                <w:rFonts w:ascii="Times New Roman" w:eastAsia="仿宋_GB2312" w:cs="Times New Roman"/>
                <w:color w:val="auto"/>
              </w:rPr>
              <w:t>）永久基本农田一经划定，不得擅自占用或者改变用途。</w:t>
            </w:r>
          </w:p>
          <w:p w14:paraId="35354EDE">
            <w:pPr>
              <w:pStyle w:val="185"/>
              <w:widowControl/>
              <w:spacing w:before="48" w:beforeLines="15" w:after="48" w:afterLines="15" w:line="280" w:lineRule="exact"/>
              <w:ind w:firstLine="480"/>
              <w:rPr>
                <w:rFonts w:ascii="Times New Roman" w:eastAsia="仿宋_GB2312" w:cs="Times New Roman"/>
                <w:color w:val="auto"/>
              </w:rPr>
            </w:pPr>
            <w:r>
              <w:rPr>
                <w:rFonts w:hint="eastAsia" w:ascii="Times New Roman" w:eastAsia="仿宋_GB2312" w:cs="Times New Roman"/>
                <w:color w:val="auto"/>
              </w:rPr>
              <w:t>（</w:t>
            </w:r>
            <w:r>
              <w:rPr>
                <w:rFonts w:ascii="Times New Roman" w:hAnsi="Times New Roman" w:eastAsia="仿宋_GB2312" w:cs="Times New Roman"/>
                <w:color w:val="auto"/>
              </w:rPr>
              <w:t>2</w:t>
            </w:r>
            <w:r>
              <w:rPr>
                <w:rFonts w:ascii="Times New Roman" w:eastAsia="仿宋_GB2312" w:cs="Times New Roman"/>
                <w:color w:val="auto"/>
              </w:rPr>
              <w:t>）永久基本农田不得转为林地、草地、园地等其他农用地及农业设施建设用地。</w:t>
            </w:r>
          </w:p>
          <w:p w14:paraId="6CA40334">
            <w:pPr>
              <w:pStyle w:val="185"/>
              <w:widowControl/>
              <w:spacing w:before="48" w:beforeLines="15" w:after="48" w:afterLines="15" w:line="280" w:lineRule="exact"/>
              <w:ind w:firstLine="480" w:firstLineChars="200"/>
              <w:rPr>
                <w:rFonts w:ascii="Times New Roman" w:eastAsia="仿宋_GB2312" w:cs="Times New Roman"/>
                <w:color w:val="auto"/>
              </w:rPr>
            </w:pPr>
            <w:r>
              <w:rPr>
                <w:rFonts w:hint="eastAsia" w:ascii="Times New Roman" w:eastAsia="仿宋_GB2312" w:cs="Times New Roman"/>
                <w:color w:val="auto"/>
              </w:rPr>
              <w:t>（</w:t>
            </w:r>
            <w:r>
              <w:rPr>
                <w:rFonts w:ascii="Times New Roman" w:hAnsi="Times New Roman" w:cs="Times New Roman"/>
              </w:rPr>
              <w:t>3</w:t>
            </w:r>
            <w:r>
              <w:rPr>
                <w:rFonts w:ascii="Times New Roman" w:eastAsia="仿宋_GB2312" w:cs="Times New Roman"/>
                <w:color w:val="auto"/>
              </w:rPr>
              <w:t>）国家能源、交通、水利、军事设施等重点建设项目选址确实难以避让永久基本农田的，涉及农用地转用或者土地征收的，必须经国务院批准，并依法依规补划到位。</w:t>
            </w:r>
          </w:p>
        </w:tc>
      </w:tr>
      <w:tr w14:paraId="4AD3C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pct"/>
            <w:tcBorders>
              <w:top w:val="single" w:color="auto" w:sz="4" w:space="0"/>
              <w:left w:val="single" w:color="auto" w:sz="4" w:space="0"/>
              <w:bottom w:val="single" w:color="auto" w:sz="4" w:space="0"/>
              <w:right w:val="single" w:color="auto" w:sz="4" w:space="0"/>
            </w:tcBorders>
            <w:vAlign w:val="center"/>
          </w:tcPr>
          <w:p w14:paraId="238FD99B">
            <w:pPr>
              <w:pStyle w:val="185"/>
              <w:widowControl/>
              <w:spacing w:before="48" w:beforeLines="15" w:after="48" w:afterLines="15" w:line="280" w:lineRule="exact"/>
              <w:jc w:val="center"/>
              <w:rPr>
                <w:rFonts w:ascii="Times New Roman" w:eastAsia="仿宋_GB2312" w:cs="Times New Roman"/>
                <w:color w:val="auto"/>
              </w:rPr>
            </w:pPr>
            <w:r>
              <w:rPr>
                <w:rFonts w:hint="eastAsia" w:ascii="Times New Roman" w:eastAsia="仿宋_GB2312" w:cs="Times New Roman"/>
                <w:color w:val="auto"/>
              </w:rPr>
              <w:t>生态保护红线</w:t>
            </w:r>
          </w:p>
        </w:tc>
        <w:tc>
          <w:tcPr>
            <w:tcW w:w="4525" w:type="pct"/>
            <w:tcBorders>
              <w:top w:val="single" w:color="auto" w:sz="4" w:space="0"/>
              <w:left w:val="single" w:color="auto" w:sz="4" w:space="0"/>
              <w:bottom w:val="single" w:color="auto" w:sz="4" w:space="0"/>
              <w:right w:val="single" w:color="auto" w:sz="4" w:space="0"/>
            </w:tcBorders>
          </w:tcPr>
          <w:p w14:paraId="202CC24E">
            <w:pPr>
              <w:pStyle w:val="185"/>
              <w:widowControl/>
              <w:spacing w:before="48" w:beforeLines="15" w:after="48" w:afterLines="15" w:line="280" w:lineRule="exact"/>
              <w:ind w:firstLine="480"/>
              <w:rPr>
                <w:rFonts w:ascii="Times New Roman" w:eastAsia="仿宋_GB2312" w:cs="Times New Roman"/>
                <w:color w:val="auto"/>
              </w:rPr>
            </w:pPr>
            <w:r>
              <w:rPr>
                <w:rFonts w:ascii="Times New Roman" w:hAnsi="Times New Roman" w:eastAsia="仿宋_GB2312" w:cs="Times New Roman"/>
                <w:color w:val="auto"/>
              </w:rPr>
              <w:t>1</w:t>
            </w:r>
            <w:r>
              <w:rPr>
                <w:rFonts w:ascii="Times New Roman" w:eastAsia="仿宋_GB2312" w:cs="Times New Roman"/>
                <w:color w:val="auto"/>
              </w:rPr>
              <w:t>.规范管控有限人为活动</w:t>
            </w:r>
          </w:p>
          <w:p w14:paraId="6D33E203">
            <w:pPr>
              <w:pStyle w:val="185"/>
              <w:widowControl/>
              <w:spacing w:before="48" w:beforeLines="15" w:after="48" w:afterLines="15" w:line="280" w:lineRule="exact"/>
              <w:ind w:firstLine="480"/>
              <w:rPr>
                <w:rFonts w:ascii="Times New Roman" w:eastAsia="仿宋_GB2312" w:cs="Times New Roman"/>
                <w:color w:val="auto"/>
              </w:rPr>
            </w:pPr>
            <w:r>
              <w:rPr>
                <w:rFonts w:hint="eastAsia" w:ascii="Times New Roman" w:eastAsia="仿宋_GB2312" w:cs="Times New Roman"/>
                <w:color w:val="auto"/>
              </w:rPr>
              <w:t>（</w:t>
            </w:r>
            <w:r>
              <w:rPr>
                <w:rFonts w:ascii="Times New Roman" w:hAnsi="Times New Roman" w:eastAsia="仿宋_GB2312" w:cs="Times New Roman"/>
                <w:color w:val="auto"/>
              </w:rPr>
              <w:t>1</w:t>
            </w:r>
            <w:r>
              <w:rPr>
                <w:rFonts w:ascii="Times New Roman" w:eastAsia="仿宋_GB2312" w:cs="Times New Roman"/>
                <w:color w:val="auto"/>
              </w:rPr>
              <w:t>）生态保护红线内，自然保护地核心保护区原则上禁止人为活动。</w:t>
            </w:r>
          </w:p>
          <w:p w14:paraId="729C79A3">
            <w:pPr>
              <w:pStyle w:val="185"/>
              <w:widowControl/>
              <w:spacing w:before="48" w:beforeLines="15" w:after="48" w:afterLines="15" w:line="280" w:lineRule="exact"/>
              <w:ind w:firstLine="480"/>
              <w:rPr>
                <w:rFonts w:ascii="Times New Roman" w:eastAsia="仿宋_GB2312" w:cs="Times New Roman"/>
                <w:color w:val="auto"/>
              </w:rPr>
            </w:pPr>
            <w:r>
              <w:rPr>
                <w:rFonts w:hint="eastAsia" w:ascii="Times New Roman" w:eastAsia="仿宋_GB2312" w:cs="Times New Roman"/>
                <w:color w:val="auto"/>
              </w:rPr>
              <w:t>（</w:t>
            </w:r>
            <w:r>
              <w:rPr>
                <w:rFonts w:ascii="Times New Roman" w:hAnsi="Times New Roman" w:eastAsia="仿宋_GB2312" w:cs="Times New Roman"/>
                <w:color w:val="auto"/>
              </w:rPr>
              <w:t>2</w:t>
            </w:r>
            <w:r>
              <w:rPr>
                <w:rFonts w:ascii="Times New Roman" w:eastAsia="仿宋_GB2312" w:cs="Times New Roman"/>
                <w:color w:val="auto"/>
              </w:rPr>
              <w:t>）生态保护红线内，自然保护地核心保护区外，禁止开发性、生产性建设活动，在符合法律法规的前提下，仅允许对生态功能不造成破坏的有限人为活动。</w:t>
            </w:r>
          </w:p>
          <w:p w14:paraId="100ABCC4">
            <w:pPr>
              <w:pStyle w:val="185"/>
              <w:widowControl/>
              <w:spacing w:before="48" w:beforeLines="15" w:after="48" w:afterLines="15" w:line="280" w:lineRule="exact"/>
              <w:ind w:firstLine="480"/>
              <w:rPr>
                <w:rFonts w:ascii="Times New Roman" w:eastAsia="仿宋_GB2312" w:cs="Times New Roman"/>
                <w:color w:val="auto"/>
              </w:rPr>
            </w:pPr>
            <w:r>
              <w:rPr>
                <w:rFonts w:hint="eastAsia" w:ascii="Times New Roman" w:eastAsia="仿宋_GB2312" w:cs="Times New Roman"/>
                <w:color w:val="auto"/>
              </w:rPr>
              <w:t>（</w:t>
            </w:r>
            <w:r>
              <w:rPr>
                <w:rFonts w:ascii="Times New Roman" w:hAnsi="Times New Roman" w:eastAsia="仿宋_GB2312" w:cs="Times New Roman"/>
                <w:color w:val="auto"/>
              </w:rPr>
              <w:t>3</w:t>
            </w:r>
            <w:r>
              <w:rPr>
                <w:rFonts w:ascii="Times New Roman" w:eastAsia="仿宋_GB2312" w:cs="Times New Roman"/>
                <w:color w:val="auto"/>
              </w:rPr>
              <w:t>）符合规定的生态保护红线管控范围内有限人为活动，涉及新增建设用地审批的，在报批农用地转用、土地征收时，需附省级人民政府出具符合生态保护红线内允许有限人为活动的认定意见。</w:t>
            </w:r>
          </w:p>
          <w:p w14:paraId="57D4B852">
            <w:pPr>
              <w:pStyle w:val="185"/>
              <w:widowControl/>
              <w:spacing w:before="48" w:beforeLines="15" w:after="48" w:afterLines="15" w:line="280" w:lineRule="exact"/>
              <w:ind w:firstLine="480"/>
              <w:rPr>
                <w:rFonts w:ascii="Times New Roman" w:eastAsia="仿宋_GB2312" w:cs="Times New Roman"/>
                <w:color w:val="auto"/>
              </w:rPr>
            </w:pPr>
            <w:r>
              <w:rPr>
                <w:rFonts w:ascii="Times New Roman" w:hAnsi="Times New Roman" w:eastAsia="仿宋_GB2312" w:cs="Times New Roman"/>
                <w:color w:val="auto"/>
              </w:rPr>
              <w:t>2</w:t>
            </w:r>
            <w:r>
              <w:rPr>
                <w:rFonts w:ascii="Times New Roman" w:eastAsia="仿宋_GB2312" w:cs="Times New Roman"/>
                <w:color w:val="auto"/>
              </w:rPr>
              <w:t>.规范国家重大项目占用审批</w:t>
            </w:r>
          </w:p>
          <w:p w14:paraId="228F1910">
            <w:pPr>
              <w:pStyle w:val="185"/>
              <w:widowControl/>
              <w:spacing w:before="48" w:beforeLines="15" w:after="48" w:afterLines="15" w:line="280" w:lineRule="exact"/>
              <w:ind w:firstLine="480"/>
              <w:rPr>
                <w:rFonts w:ascii="Times New Roman" w:eastAsia="仿宋_GB2312" w:cs="Times New Roman"/>
                <w:color w:val="auto"/>
              </w:rPr>
            </w:pPr>
            <w:r>
              <w:rPr>
                <w:rFonts w:hint="eastAsia" w:ascii="Times New Roman" w:eastAsia="仿宋_GB2312" w:cs="Times New Roman"/>
                <w:color w:val="auto"/>
              </w:rPr>
              <w:t>（</w:t>
            </w:r>
            <w:r>
              <w:rPr>
                <w:rFonts w:ascii="Times New Roman" w:hAnsi="Times New Roman" w:eastAsia="仿宋_GB2312" w:cs="Times New Roman"/>
                <w:color w:val="auto"/>
              </w:rPr>
              <w:t>1</w:t>
            </w:r>
            <w:r>
              <w:rPr>
                <w:rFonts w:ascii="Times New Roman" w:eastAsia="仿宋_GB2312" w:cs="Times New Roman"/>
                <w:color w:val="auto"/>
              </w:rPr>
              <w:t>）生态保护红线内，除有限人为活动之外，仅允许国家重大项目占用生态保护红线。</w:t>
            </w:r>
          </w:p>
          <w:p w14:paraId="7E1DFE53">
            <w:pPr>
              <w:pStyle w:val="185"/>
              <w:widowControl/>
              <w:spacing w:before="48" w:beforeLines="15" w:after="48" w:afterLines="15" w:line="280" w:lineRule="exact"/>
              <w:ind w:firstLine="480" w:firstLineChars="200"/>
              <w:rPr>
                <w:rFonts w:ascii="Times New Roman" w:eastAsia="仿宋_GB2312" w:cs="Times New Roman"/>
                <w:color w:val="auto"/>
              </w:rPr>
            </w:pPr>
            <w:r>
              <w:rPr>
                <w:rFonts w:hint="eastAsia" w:ascii="Times New Roman" w:eastAsia="仿宋_GB2312" w:cs="Times New Roman"/>
                <w:color w:val="auto"/>
              </w:rPr>
              <w:t>（</w:t>
            </w:r>
            <w:r>
              <w:rPr>
                <w:rFonts w:ascii="Times New Roman" w:hAnsi="Times New Roman" w:eastAsia="仿宋_GB2312" w:cs="Times New Roman"/>
                <w:color w:val="auto"/>
              </w:rPr>
              <w:t>2</w:t>
            </w:r>
            <w:r>
              <w:rPr>
                <w:rFonts w:ascii="Times New Roman" w:eastAsia="仿宋_GB2312" w:cs="Times New Roman"/>
                <w:color w:val="auto"/>
              </w:rPr>
              <w:t>）涉及生态保护红线的国家重大项目须报国务院批准，且需附省级人民政府出具的不可避让论证意见。</w:t>
            </w:r>
          </w:p>
        </w:tc>
      </w:tr>
      <w:tr w14:paraId="14E7D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pct"/>
            <w:tcBorders>
              <w:top w:val="single" w:color="auto" w:sz="4" w:space="0"/>
              <w:left w:val="single" w:color="auto" w:sz="4" w:space="0"/>
              <w:bottom w:val="single" w:color="auto" w:sz="4" w:space="0"/>
              <w:right w:val="single" w:color="auto" w:sz="4" w:space="0"/>
            </w:tcBorders>
            <w:vAlign w:val="center"/>
          </w:tcPr>
          <w:p w14:paraId="675CF06E">
            <w:pPr>
              <w:pStyle w:val="185"/>
              <w:widowControl/>
              <w:spacing w:before="48" w:beforeLines="15" w:after="48" w:afterLines="15" w:line="280" w:lineRule="exact"/>
              <w:jc w:val="center"/>
              <w:rPr>
                <w:rFonts w:ascii="Times New Roman" w:eastAsia="仿宋_GB2312" w:cs="Times New Roman"/>
                <w:color w:val="auto"/>
              </w:rPr>
            </w:pPr>
            <w:r>
              <w:rPr>
                <w:rFonts w:hint="eastAsia" w:ascii="Times New Roman" w:eastAsia="仿宋_GB2312" w:cs="Times New Roman"/>
                <w:color w:val="auto"/>
              </w:rPr>
              <w:t>城镇开发边界</w:t>
            </w:r>
          </w:p>
        </w:tc>
        <w:tc>
          <w:tcPr>
            <w:tcW w:w="4525" w:type="pct"/>
            <w:tcBorders>
              <w:top w:val="single" w:color="auto" w:sz="4" w:space="0"/>
              <w:left w:val="single" w:color="auto" w:sz="4" w:space="0"/>
              <w:bottom w:val="single" w:color="auto" w:sz="4" w:space="0"/>
              <w:right w:val="single" w:color="auto" w:sz="4" w:space="0"/>
            </w:tcBorders>
          </w:tcPr>
          <w:p w14:paraId="73B5351F">
            <w:pPr>
              <w:pStyle w:val="185"/>
              <w:widowControl/>
              <w:spacing w:before="48" w:beforeLines="15" w:after="48" w:afterLines="15" w:line="280" w:lineRule="exact"/>
              <w:ind w:firstLine="480"/>
              <w:rPr>
                <w:rFonts w:ascii="Times New Roman" w:eastAsia="仿宋_GB2312" w:cs="Times New Roman"/>
                <w:color w:val="252525"/>
              </w:rPr>
            </w:pPr>
            <w:r>
              <w:rPr>
                <w:rFonts w:ascii="Times New Roman" w:hAnsi="Times New Roman" w:eastAsia="仿宋_GB2312" w:cs="Times New Roman"/>
                <w:color w:val="252525"/>
              </w:rPr>
              <w:t>1</w:t>
            </w:r>
            <w:r>
              <w:rPr>
                <w:rFonts w:ascii="Times New Roman" w:eastAsia="仿宋_GB2312" w:cs="Times New Roman"/>
                <w:color w:val="252525"/>
              </w:rPr>
              <w:t>.城镇开发边界内</w:t>
            </w:r>
          </w:p>
          <w:p w14:paraId="40900CCD">
            <w:pPr>
              <w:pStyle w:val="185"/>
              <w:widowControl/>
              <w:spacing w:before="48" w:beforeLines="15" w:after="48" w:afterLines="15" w:line="280" w:lineRule="exact"/>
              <w:ind w:firstLine="480"/>
              <w:rPr>
                <w:rFonts w:ascii="Times New Roman" w:eastAsia="仿宋_GB2312" w:cs="Times New Roman"/>
                <w:color w:val="252525"/>
              </w:rPr>
            </w:pPr>
            <w:r>
              <w:rPr>
                <w:rFonts w:hint="eastAsia" w:ascii="Times New Roman" w:eastAsia="仿宋_GB2312" w:cs="Times New Roman"/>
                <w:color w:val="252525"/>
              </w:rPr>
              <w:t>城镇开发边界内，各类建设活动严格实行用途管制，按照规划用途依法办理有关手续，并加强与蓝线、绿线、黄线、紫线、历史文化保护线、工业用地控制线等协同管控。</w:t>
            </w:r>
          </w:p>
          <w:p w14:paraId="178D2D86">
            <w:pPr>
              <w:pStyle w:val="185"/>
              <w:widowControl/>
              <w:spacing w:before="48" w:beforeLines="15" w:after="48" w:afterLines="15" w:line="280" w:lineRule="exact"/>
              <w:ind w:firstLine="480"/>
              <w:rPr>
                <w:rFonts w:ascii="Times New Roman" w:eastAsia="仿宋_GB2312" w:cs="Times New Roman"/>
                <w:color w:val="252525"/>
              </w:rPr>
            </w:pPr>
            <w:r>
              <w:rPr>
                <w:rFonts w:ascii="Times New Roman" w:hAnsi="Times New Roman" w:eastAsia="仿宋_GB2312" w:cs="Times New Roman"/>
                <w:color w:val="252525"/>
              </w:rPr>
              <w:t>2</w:t>
            </w:r>
            <w:r>
              <w:rPr>
                <w:rFonts w:ascii="Times New Roman" w:eastAsia="仿宋_GB2312" w:cs="Times New Roman"/>
                <w:color w:val="252525"/>
              </w:rPr>
              <w:t>.城镇开发边界外</w:t>
            </w:r>
          </w:p>
          <w:p w14:paraId="21ABA547">
            <w:pPr>
              <w:pStyle w:val="185"/>
              <w:widowControl/>
              <w:spacing w:before="48" w:beforeLines="15" w:after="48" w:afterLines="15" w:line="280" w:lineRule="exact"/>
              <w:ind w:firstLine="480" w:firstLineChars="200"/>
              <w:rPr>
                <w:rFonts w:ascii="Times New Roman" w:eastAsia="仿宋_GB2312" w:cs="Times New Roman"/>
                <w:color w:val="auto"/>
              </w:rPr>
            </w:pPr>
            <w:r>
              <w:rPr>
                <w:rFonts w:hint="eastAsia" w:ascii="Times New Roman" w:eastAsia="仿宋_GB2312" w:cs="Times New Roman"/>
                <w:color w:val="252525"/>
              </w:rPr>
              <w:t>城镇开发边界外，原则上不得进行城镇集中建设，不得设立各类开发区。</w:t>
            </w:r>
          </w:p>
        </w:tc>
      </w:tr>
      <w:bookmarkEnd w:id="647"/>
      <w:bookmarkEnd w:id="648"/>
    </w:tbl>
    <w:p w14:paraId="428BB089">
      <w:pPr>
        <w:pStyle w:val="5"/>
        <w:spacing w:before="163" w:after="163"/>
        <w:rPr>
          <w:b/>
        </w:rPr>
      </w:pPr>
      <w:bookmarkStart w:id="649" w:name="_Toc162897828"/>
      <w:bookmarkEnd w:id="649"/>
      <w:bookmarkStart w:id="650" w:name="_Toc167271382"/>
      <w:bookmarkStart w:id="651" w:name="_Toc141887871"/>
      <w:bookmarkStart w:id="652" w:name="_Toc1578"/>
      <w:r>
        <w:rPr>
          <w:rFonts w:hint="eastAsia"/>
        </w:rPr>
        <w:t>国土空间开发保护格局</w:t>
      </w:r>
      <w:bookmarkEnd w:id="650"/>
      <w:bookmarkEnd w:id="651"/>
      <w:bookmarkEnd w:id="652"/>
    </w:p>
    <w:bookmarkEnd w:id="631"/>
    <w:bookmarkEnd w:id="632"/>
    <w:p w14:paraId="721545C1">
      <w:pPr>
        <w:pStyle w:val="6"/>
        <w:spacing w:before="163" w:after="163"/>
        <w:rPr>
          <w:b/>
        </w:rPr>
      </w:pPr>
      <w:bookmarkStart w:id="653" w:name="_Toc21116"/>
      <w:bookmarkStart w:id="654" w:name="_Toc141887872"/>
      <w:r>
        <w:rPr>
          <w:rFonts w:hint="eastAsia"/>
        </w:rPr>
        <w:t>深化落实主体功能区战略</w:t>
      </w:r>
    </w:p>
    <w:p w14:paraId="541C6614">
      <w:pPr>
        <w:ind w:firstLine="600"/>
        <w:jc w:val="both"/>
      </w:pPr>
      <w:r>
        <w:rPr>
          <w:rFonts w:hint="eastAsia"/>
        </w:rPr>
        <w:t>落实广东省主体功能区的相关要求，</w:t>
      </w:r>
      <w:r>
        <w:rPr>
          <w:rFonts w:hint="eastAsia"/>
          <w:u w:val="single"/>
        </w:rPr>
        <w:t>仁化县为国家级重点生态功能区。</w:t>
      </w:r>
      <w:r>
        <w:rPr>
          <w:rFonts w:hint="eastAsia"/>
        </w:rPr>
        <w:t>推进粤北生态屏障保护修复，强化锦江、浈江等自然水系廊道保护，构筑以重要水系、森林带为主的生态廊道，重点加强生态维育，强化生态系统多样性、稳定性、持续性。</w:t>
      </w:r>
    </w:p>
    <w:p w14:paraId="36BE8430">
      <w:pPr>
        <w:pStyle w:val="6"/>
        <w:spacing w:before="163" w:after="163"/>
        <w:rPr>
          <w:b/>
        </w:rPr>
      </w:pPr>
      <w:r>
        <w:rPr>
          <w:rFonts w:hint="eastAsia"/>
        </w:rPr>
        <w:t>构建国土空间开发保护格局</w:t>
      </w:r>
      <w:bookmarkEnd w:id="653"/>
      <w:bookmarkEnd w:id="654"/>
    </w:p>
    <w:p w14:paraId="0B22D9D4">
      <w:pPr>
        <w:ind w:firstLine="6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立足资源环境禀赋和社会经济发展水平，以“三区三线”和主体功能区战略格局为基础，以支撑构建全省“一核两极多支点、一链两屏多廊道”、韶关</w:t>
      </w:r>
      <w:r>
        <w:rPr>
          <w:rFonts w:hint="eastAsia" w:ascii="仿宋_GB2312"/>
          <w:color w:val="000000" w:themeColor="text1"/>
          <w14:textFill>
            <w14:solidFill>
              <w14:schemeClr w14:val="tx1"/>
            </w14:solidFill>
          </w14:textFill>
        </w:rPr>
        <w:t>“</w:t>
      </w:r>
      <w:r>
        <w:rPr>
          <w:rFonts w:hint="eastAsia"/>
          <w:color w:val="000000" w:themeColor="text1"/>
          <w14:textFill>
            <w14:solidFill>
              <w14:schemeClr w14:val="tx1"/>
            </w14:solidFill>
          </w14:textFill>
        </w:rPr>
        <w:t>三屏维育、两核示范、两轴融湾、三区共生</w:t>
      </w:r>
      <w:r>
        <w:rPr>
          <w:rFonts w:hint="eastAsia" w:ascii="仿宋_GB2312"/>
          <w:color w:val="000000" w:themeColor="text1"/>
          <w14:textFill>
            <w14:solidFill>
              <w14:schemeClr w14:val="tx1"/>
            </w14:solidFill>
          </w14:textFill>
        </w:rPr>
        <w:t>”</w:t>
      </w:r>
      <w:r>
        <w:rPr>
          <w:rFonts w:hint="eastAsia"/>
          <w:color w:val="000000" w:themeColor="text1"/>
          <w14:textFill>
            <w14:solidFill>
              <w14:schemeClr w14:val="tx1"/>
            </w14:solidFill>
          </w14:textFill>
        </w:rPr>
        <w:t>的国土空间开发保护</w:t>
      </w:r>
      <w:r>
        <w:rPr>
          <w:rFonts w:hint="eastAsia"/>
        </w:rPr>
        <w:t>格局</w:t>
      </w:r>
      <w:r>
        <w:rPr>
          <w:rFonts w:hint="eastAsia"/>
          <w:color w:val="000000" w:themeColor="text1"/>
          <w14:textFill>
            <w14:solidFill>
              <w14:schemeClr w14:val="tx1"/>
            </w14:solidFill>
          </w14:textFill>
        </w:rPr>
        <w:t>为引领，规划构建</w:t>
      </w:r>
      <w:r>
        <w:rPr>
          <w:rFonts w:hint="eastAsia" w:ascii="仿宋_GB2312"/>
          <w:color w:val="000000" w:themeColor="text1"/>
          <w14:textFill>
            <w14:solidFill>
              <w14:schemeClr w14:val="tx1"/>
            </w14:solidFill>
          </w14:textFill>
        </w:rPr>
        <w:t>“</w:t>
      </w:r>
      <w:r>
        <w:rPr>
          <w:rFonts w:hint="eastAsia"/>
          <w:color w:val="000000" w:themeColor="text1"/>
          <w14:textFill>
            <w14:solidFill>
              <w14:schemeClr w14:val="tx1"/>
            </w14:solidFill>
          </w14:textFill>
        </w:rPr>
        <w:t>一核</w:t>
      </w:r>
      <w:r>
        <w:rPr>
          <w:color w:val="000000" w:themeColor="text1"/>
          <w14:textFill>
            <w14:solidFill>
              <w14:schemeClr w14:val="tx1"/>
            </w14:solidFill>
          </w14:textFill>
        </w:rPr>
        <w:t>一屏</w:t>
      </w:r>
      <w:r>
        <w:rPr>
          <w:rFonts w:hint="eastAsia"/>
          <w:color w:val="000000" w:themeColor="text1"/>
          <w14:textFill>
            <w14:solidFill>
              <w14:schemeClr w14:val="tx1"/>
            </w14:solidFill>
          </w14:textFill>
        </w:rPr>
        <w:t>两廊、</w:t>
      </w:r>
      <w:r>
        <w:rPr>
          <w:color w:val="000000" w:themeColor="text1"/>
          <w14:textFill>
            <w14:solidFill>
              <w14:schemeClr w14:val="tx1"/>
            </w14:solidFill>
          </w14:textFill>
        </w:rPr>
        <w:t>两轴四区多点</w:t>
      </w:r>
      <w:r>
        <w:rPr>
          <w:rFonts w:hint="eastAsia" w:ascii="仿宋_GB2312"/>
          <w:color w:val="000000" w:themeColor="text1"/>
          <w14:textFill>
            <w14:solidFill>
              <w14:schemeClr w14:val="tx1"/>
            </w14:solidFill>
          </w14:textFill>
        </w:rPr>
        <w:t>”</w:t>
      </w:r>
      <w:r>
        <w:rPr>
          <w:color w:val="000000" w:themeColor="text1"/>
          <w14:textFill>
            <w14:solidFill>
              <w14:schemeClr w14:val="tx1"/>
            </w14:solidFill>
          </w14:textFill>
        </w:rPr>
        <w:t>的</w:t>
      </w:r>
      <w:r>
        <w:rPr>
          <w:rFonts w:hint="eastAsia"/>
          <w:color w:val="000000" w:themeColor="text1"/>
          <w14:textFill>
            <w14:solidFill>
              <w14:schemeClr w14:val="tx1"/>
            </w14:solidFill>
          </w14:textFill>
        </w:rPr>
        <w:t>国土空间开发保护</w:t>
      </w:r>
      <w:r>
        <w:rPr>
          <w:rFonts w:hint="eastAsia"/>
        </w:rPr>
        <w:t>格局</w:t>
      </w:r>
      <w:r>
        <w:rPr>
          <w:rFonts w:hint="eastAsia"/>
          <w:color w:val="000000" w:themeColor="text1"/>
          <w14:textFill>
            <w14:solidFill>
              <w14:schemeClr w14:val="tx1"/>
            </w14:solidFill>
          </w14:textFill>
        </w:rPr>
        <w:t>。</w:t>
      </w:r>
    </w:p>
    <w:p w14:paraId="4BE4584C">
      <w:pPr>
        <w:ind w:firstLine="600"/>
        <w:jc w:val="both"/>
        <w:rPr>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“一核”</w:t>
      </w:r>
      <w:r>
        <w:rPr>
          <w:rFonts w:hint="eastAsia"/>
          <w:color w:val="000000" w:themeColor="text1"/>
          <w14:textFill>
            <w14:solidFill>
              <w14:schemeClr w14:val="tx1"/>
            </w14:solidFill>
          </w14:textFill>
        </w:rPr>
        <w:t>指丹霞山生态核心，保护具有世界代表性的自然遗产保护地，推进丹霞山国家公园创建。</w:t>
      </w:r>
    </w:p>
    <w:p w14:paraId="4F5C826B">
      <w:pPr>
        <w:ind w:firstLine="600"/>
        <w:jc w:val="both"/>
        <w:rPr>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“一屏”</w:t>
      </w:r>
      <w:r>
        <w:rPr>
          <w:rFonts w:hint="eastAsia"/>
          <w:color w:val="000000" w:themeColor="text1"/>
          <w14:textFill>
            <w14:solidFill>
              <w14:schemeClr w14:val="tx1"/>
            </w14:solidFill>
          </w14:textFill>
        </w:rPr>
        <w:t>为由韶关华南虎地方级</w:t>
      </w:r>
      <w:r>
        <w:rPr>
          <w:color w:val="000000" w:themeColor="text1"/>
          <w14:textFill>
            <w14:solidFill>
              <w14:schemeClr w14:val="tx1"/>
            </w14:solidFill>
          </w14:textFill>
        </w:rPr>
        <w:t>自然保护区、</w:t>
      </w:r>
      <w:r>
        <w:rPr>
          <w:rFonts w:hint="eastAsia"/>
          <w:color w:val="000000" w:themeColor="text1"/>
          <w14:textFill>
            <w14:solidFill>
              <w14:schemeClr w14:val="tx1"/>
            </w14:solidFill>
          </w14:textFill>
        </w:rPr>
        <w:t>韶关仁化高坪地方级</w:t>
      </w:r>
      <w:r>
        <w:rPr>
          <w:color w:val="000000" w:themeColor="text1"/>
          <w14:textFill>
            <w14:solidFill>
              <w14:schemeClr w14:val="tx1"/>
            </w14:solidFill>
          </w14:textFill>
        </w:rPr>
        <w:t>自然保护区</w:t>
      </w:r>
      <w:r>
        <w:rPr>
          <w:rFonts w:hint="eastAsia"/>
          <w:color w:val="000000" w:themeColor="text1"/>
          <w14:textFill>
            <w14:solidFill>
              <w14:schemeClr w14:val="tx1"/>
            </w14:solidFill>
          </w14:textFill>
        </w:rPr>
        <w:t>、韶关仁化黄岭地方级森林自然公园、韶关仁化长江地方级森林自然公园、韶关仁化扶溪地方级森林自然公园、韶关仁化地方级森林自然公园、韶关仁化</w:t>
      </w:r>
      <w:r>
        <w:rPr>
          <w:rFonts w:hint="eastAsia" w:ascii="仿宋" w:hAnsi="仿宋" w:eastAsia="仿宋" w:cs="微软雅黑"/>
          <w:color w:val="000000" w:themeColor="text1"/>
          <w14:textFill>
            <w14:solidFill>
              <w14:schemeClr w14:val="tx1"/>
            </w14:solidFill>
          </w14:textFill>
        </w:rPr>
        <w:t>凘</w:t>
      </w:r>
      <w:r>
        <w:rPr>
          <w:rFonts w:hint="eastAsia"/>
          <w:color w:val="000000" w:themeColor="text1"/>
          <w14:textFill>
            <w14:solidFill>
              <w14:schemeClr w14:val="tx1"/>
            </w14:solidFill>
          </w14:textFill>
        </w:rPr>
        <w:t>溪山地方级森林自然公园等</w:t>
      </w:r>
      <w:r>
        <w:rPr>
          <w:color w:val="000000" w:themeColor="text1"/>
          <w14:textFill>
            <w14:solidFill>
              <w14:schemeClr w14:val="tx1"/>
            </w14:solidFill>
          </w14:textFill>
        </w:rPr>
        <w:t>组成</w:t>
      </w:r>
      <w:r>
        <w:rPr>
          <w:rFonts w:hint="eastAsia"/>
          <w:color w:val="000000" w:themeColor="text1"/>
          <w14:textFill>
            <w14:solidFill>
              <w14:schemeClr w14:val="tx1"/>
            </w14:solidFill>
          </w14:textFill>
        </w:rPr>
        <w:t>的北部</w:t>
      </w:r>
      <w:r>
        <w:rPr>
          <w:color w:val="000000" w:themeColor="text1"/>
          <w14:textFill>
            <w14:solidFill>
              <w14:schemeClr w14:val="tx1"/>
            </w14:solidFill>
          </w14:textFill>
        </w:rPr>
        <w:t>生态屏障</w:t>
      </w:r>
      <w:r>
        <w:rPr>
          <w:rFonts w:hint="eastAsia"/>
          <w:color w:val="000000" w:themeColor="text1"/>
          <w14:textFill>
            <w14:solidFill>
              <w14:schemeClr w14:val="tx1"/>
            </w14:solidFill>
          </w14:textFill>
        </w:rPr>
        <w:t>区</w:t>
      </w:r>
      <w:r>
        <w:rPr>
          <w:color w:val="000000" w:themeColor="text1"/>
          <w14:textFill>
            <w14:solidFill>
              <w14:schemeClr w14:val="tx1"/>
            </w14:solidFill>
          </w14:textFill>
        </w:rPr>
        <w:t>域，</w:t>
      </w:r>
      <w:r>
        <w:rPr>
          <w:rFonts w:hint="eastAsia"/>
          <w:color w:val="000000" w:themeColor="text1"/>
          <w14:textFill>
            <w14:solidFill>
              <w14:schemeClr w14:val="tx1"/>
            </w14:solidFill>
          </w14:textFill>
        </w:rPr>
        <w:t>重点</w:t>
      </w:r>
      <w:r>
        <w:rPr>
          <w:color w:val="000000" w:themeColor="text1"/>
          <w14:textFill>
            <w14:solidFill>
              <w14:schemeClr w14:val="tx1"/>
            </w14:solidFill>
          </w14:textFill>
        </w:rPr>
        <w:t>加强生态维育</w:t>
      </w:r>
      <w:r>
        <w:rPr>
          <w:rFonts w:hint="eastAsia"/>
          <w:color w:val="000000" w:themeColor="text1"/>
          <w14:textFill>
            <w14:solidFill>
              <w14:schemeClr w14:val="tx1"/>
            </w14:solidFill>
          </w14:textFill>
        </w:rPr>
        <w:t>。</w:t>
      </w:r>
    </w:p>
    <w:p w14:paraId="5153E2D1">
      <w:pPr>
        <w:ind w:firstLine="600"/>
        <w:jc w:val="both"/>
        <w:rPr>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“两廊”</w:t>
      </w:r>
      <w:r>
        <w:rPr>
          <w:rFonts w:hint="eastAsia"/>
          <w:color w:val="000000" w:themeColor="text1"/>
          <w14:textFill>
            <w14:solidFill>
              <w14:schemeClr w14:val="tx1"/>
            </w14:solidFill>
          </w14:textFill>
        </w:rPr>
        <w:t>为锦江、浈江两条自然水系廊道。串联沿线自然保护地、水库、湖泊、湿地等生态斑块，强化水土保持、水源涵养、生物多样性维护等生态服务功能。</w:t>
      </w:r>
    </w:p>
    <w:p w14:paraId="0A744FBE">
      <w:pPr>
        <w:ind w:firstLine="600"/>
        <w:jc w:val="both"/>
        <w:rPr>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“两轴”</w:t>
      </w:r>
      <w:r>
        <w:rPr>
          <w:rFonts w:hint="eastAsia"/>
          <w:color w:val="000000" w:themeColor="text1"/>
          <w14:textFill>
            <w14:solidFill>
              <w14:schemeClr w14:val="tx1"/>
            </w14:solidFill>
          </w14:textFill>
        </w:rPr>
        <w:t>为横向、纵向城市联动发展轴。依托雄乐高速（谋划研究）、南韶高速、国道</w:t>
      </w:r>
      <w:r>
        <w:rPr>
          <w:rFonts w:ascii="Times New Roman" w:hAnsi="Times New Roman" w:cs="Times New Roman"/>
          <w:color w:val="000000" w:themeColor="text1"/>
          <w14:textFill>
            <w14:solidFill>
              <w14:schemeClr w14:val="tx1"/>
            </w14:solidFill>
          </w14:textFill>
        </w:rPr>
        <w:t>G535</w:t>
      </w:r>
      <w:r>
        <w:rPr>
          <w:rFonts w:hint="eastAsia"/>
          <w:color w:val="000000" w:themeColor="text1"/>
          <w14:textFill>
            <w14:solidFill>
              <w14:schemeClr w14:val="tx1"/>
            </w14:solidFill>
          </w14:textFill>
        </w:rPr>
        <w:t>、国道</w:t>
      </w:r>
      <w:r>
        <w:rPr>
          <w:rFonts w:ascii="Times New Roman" w:hAnsi="Times New Roman" w:cs="Times New Roman"/>
          <w:color w:val="000000" w:themeColor="text1"/>
          <w14:textFill>
            <w14:solidFill>
              <w14:schemeClr w14:val="tx1"/>
            </w14:solidFill>
          </w14:textFill>
        </w:rPr>
        <w:t>G106</w:t>
      </w:r>
      <w:r>
        <w:rPr>
          <w:rFonts w:hint="eastAsia"/>
          <w:color w:val="000000" w:themeColor="text1"/>
          <w14:textFill>
            <w14:solidFill>
              <w14:schemeClr w14:val="tx1"/>
            </w14:solidFill>
          </w14:textFill>
        </w:rPr>
        <w:t>、国道</w:t>
      </w:r>
      <w:r>
        <w:rPr>
          <w:rFonts w:ascii="Times New Roman" w:hAnsi="Times New Roman" w:cs="Times New Roman"/>
          <w:color w:val="000000" w:themeColor="text1"/>
          <w14:textFill>
            <w14:solidFill>
              <w14:schemeClr w14:val="tx1"/>
            </w14:solidFill>
          </w14:textFill>
        </w:rPr>
        <w:t>G323</w:t>
      </w:r>
      <w:r>
        <w:rPr>
          <w:rFonts w:hint="eastAsia"/>
          <w:color w:val="000000" w:themeColor="text1"/>
          <w14:textFill>
            <w14:solidFill>
              <w14:schemeClr w14:val="tx1"/>
            </w14:solidFill>
          </w14:textFill>
        </w:rPr>
        <w:t>等交通干道，支撑仁化与乐昌、始兴等周边县市区的联系，形成横向的城市联动发展轴；依托武深高速、南韶高速、国道</w:t>
      </w:r>
      <w:r>
        <w:rPr>
          <w:rFonts w:ascii="Times New Roman" w:hAnsi="Times New Roman" w:cs="Times New Roman"/>
          <w:color w:val="000000" w:themeColor="text1"/>
          <w14:textFill>
            <w14:solidFill>
              <w14:schemeClr w14:val="tx1"/>
            </w14:solidFill>
          </w14:textFill>
        </w:rPr>
        <w:t>G106</w:t>
      </w:r>
      <w:r>
        <w:rPr>
          <w:rFonts w:hint="eastAsia"/>
          <w:color w:val="000000" w:themeColor="text1"/>
          <w14:textFill>
            <w14:solidFill>
              <w14:schemeClr w14:val="tx1"/>
            </w14:solidFill>
          </w14:textFill>
        </w:rPr>
        <w:t>等交通干道，支撑仁化与韶关市区、湘南赣南等周边县市区的联系，形成纵向的城市联动发展轴。</w:t>
      </w:r>
    </w:p>
    <w:p w14:paraId="31EDB5F8">
      <w:pPr>
        <w:ind w:firstLine="600"/>
        <w:jc w:val="both"/>
        <w:rPr>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“四区”</w:t>
      </w:r>
      <w:r>
        <w:rPr>
          <w:rFonts w:hint="eastAsia"/>
          <w:color w:val="000000" w:themeColor="text1"/>
          <w14:textFill>
            <w14:solidFill>
              <w14:schemeClr w14:val="tx1"/>
            </w14:solidFill>
          </w14:textFill>
        </w:rPr>
        <w:t>指城镇发展区、农旅融合发展区、生态保育发展区、丹霞特色旅游区。城镇发展区以中心城区扩容提质为重点，完善基础设施配套及公共服务设施水平，提升产业承载能力；农旅融合发展区以保障农产品供给为基础，发展特色农业种植、农业休闲旅游等产业，强化农产品加工能力，提升产品输出附加值；生态保育发展区以保育为基础，适度发展红色文化游、古驿道精品游、生态康养游等产业；丹霞特色旅游区以丹霞山景区为核心，发展健康养生、地质观光、岭南文化体验等业态。</w:t>
      </w:r>
    </w:p>
    <w:p w14:paraId="5AE7CC7C">
      <w:pPr>
        <w:ind w:firstLine="600"/>
        <w:jc w:val="both"/>
        <w:rPr>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“多点”</w:t>
      </w:r>
      <w:r>
        <w:rPr>
          <w:rFonts w:hint="eastAsia"/>
          <w:color w:val="000000" w:themeColor="text1"/>
          <w14:textFill>
            <w14:solidFill>
              <w14:schemeClr w14:val="tx1"/>
            </w14:solidFill>
          </w14:textFill>
        </w:rPr>
        <w:t>指丹霞街道、董塘、周田、长江、大桥、城口、扶溪、黄坑、闻韶、石塘、红山等特色镇（街）。</w:t>
      </w:r>
    </w:p>
    <w:bookmarkEnd w:id="633"/>
    <w:p w14:paraId="76E3B7F8">
      <w:pPr>
        <w:pStyle w:val="5"/>
        <w:spacing w:before="163" w:after="163"/>
      </w:pPr>
      <w:bookmarkStart w:id="655" w:name="_Toc145499886"/>
      <w:bookmarkEnd w:id="655"/>
      <w:bookmarkStart w:id="656" w:name="_Toc76561530"/>
      <w:bookmarkEnd w:id="656"/>
      <w:bookmarkStart w:id="657" w:name="_Toc143356258"/>
      <w:bookmarkEnd w:id="657"/>
      <w:bookmarkStart w:id="658" w:name="_Toc143355678"/>
      <w:bookmarkEnd w:id="658"/>
      <w:bookmarkStart w:id="659" w:name="_Toc143358595"/>
      <w:bookmarkEnd w:id="659"/>
      <w:bookmarkStart w:id="660" w:name="_Toc145277551"/>
      <w:bookmarkEnd w:id="660"/>
      <w:bookmarkStart w:id="661" w:name="_Toc143358014"/>
      <w:bookmarkEnd w:id="661"/>
      <w:bookmarkStart w:id="662" w:name="_Toc143352696"/>
      <w:bookmarkEnd w:id="662"/>
      <w:bookmarkStart w:id="663" w:name="_Toc143357723"/>
      <w:bookmarkEnd w:id="663"/>
      <w:bookmarkStart w:id="664" w:name="_Toc143357142"/>
      <w:bookmarkEnd w:id="664"/>
      <w:bookmarkStart w:id="665" w:name="_Toc143260751"/>
      <w:bookmarkEnd w:id="665"/>
      <w:bookmarkStart w:id="666" w:name="_Toc76561531"/>
      <w:bookmarkEnd w:id="666"/>
      <w:bookmarkStart w:id="667" w:name="_Toc145499885"/>
      <w:bookmarkEnd w:id="667"/>
      <w:bookmarkStart w:id="668" w:name="_Toc76561532"/>
      <w:bookmarkEnd w:id="668"/>
      <w:bookmarkStart w:id="669" w:name="_Toc145277552"/>
      <w:bookmarkEnd w:id="669"/>
      <w:bookmarkStart w:id="670" w:name="_Toc143353956"/>
      <w:bookmarkEnd w:id="670"/>
      <w:bookmarkStart w:id="671" w:name="_Toc143355388"/>
      <w:bookmarkEnd w:id="671"/>
      <w:bookmarkStart w:id="672" w:name="_Toc143358304"/>
      <w:bookmarkEnd w:id="672"/>
      <w:bookmarkStart w:id="673" w:name="_Toc143356852"/>
      <w:bookmarkEnd w:id="673"/>
      <w:bookmarkStart w:id="674" w:name="_Toc143355098"/>
      <w:bookmarkEnd w:id="674"/>
      <w:bookmarkStart w:id="675" w:name="_Toc143354814"/>
      <w:bookmarkEnd w:id="675"/>
      <w:bookmarkStart w:id="676" w:name="_Toc145277554"/>
      <w:bookmarkEnd w:id="676"/>
      <w:bookmarkStart w:id="677" w:name="_Toc143354246"/>
      <w:bookmarkEnd w:id="677"/>
      <w:bookmarkStart w:id="678" w:name="_Toc145499893"/>
      <w:bookmarkEnd w:id="678"/>
      <w:bookmarkStart w:id="679" w:name="_Toc143355968"/>
      <w:bookmarkEnd w:id="679"/>
      <w:bookmarkStart w:id="680" w:name="_Toc143099344"/>
      <w:bookmarkEnd w:id="680"/>
      <w:bookmarkStart w:id="681" w:name="_Toc142858801"/>
      <w:bookmarkEnd w:id="681"/>
      <w:bookmarkStart w:id="682" w:name="_Toc143357432"/>
      <w:bookmarkEnd w:id="682"/>
      <w:bookmarkStart w:id="683" w:name="_Toc145277562"/>
      <w:bookmarkEnd w:id="683"/>
      <w:bookmarkStart w:id="684" w:name="_Toc143099059"/>
      <w:bookmarkEnd w:id="684"/>
      <w:bookmarkStart w:id="685" w:name="_Toc145499884"/>
      <w:bookmarkEnd w:id="685"/>
      <w:bookmarkStart w:id="686" w:name="_Toc143352992"/>
      <w:bookmarkEnd w:id="686"/>
      <w:bookmarkStart w:id="687" w:name="_Toc143353670"/>
      <w:bookmarkEnd w:id="687"/>
      <w:bookmarkStart w:id="688" w:name="_Toc145499883"/>
      <w:bookmarkEnd w:id="688"/>
      <w:bookmarkStart w:id="689" w:name="_Toc145277553"/>
      <w:bookmarkEnd w:id="689"/>
      <w:bookmarkStart w:id="690" w:name="_Toc143354530"/>
      <w:bookmarkEnd w:id="690"/>
      <w:bookmarkStart w:id="691" w:name="_Toc143356548"/>
      <w:bookmarkEnd w:id="691"/>
      <w:bookmarkStart w:id="692" w:name="_Toc167271383"/>
      <w:bookmarkStart w:id="693" w:name="_Toc141887877"/>
      <w:bookmarkStart w:id="694" w:name="_Toc14880"/>
      <w:bookmarkStart w:id="695" w:name="_Toc132305784"/>
      <w:bookmarkStart w:id="696" w:name="_Toc7783"/>
      <w:bookmarkStart w:id="697" w:name="_Toc6341"/>
      <w:bookmarkStart w:id="698" w:name="_Toc88472370"/>
      <w:r>
        <w:rPr>
          <w:rFonts w:hint="eastAsia"/>
        </w:rPr>
        <w:t>国土空间规划分区与用途结构</w:t>
      </w:r>
      <w:bookmarkEnd w:id="692"/>
    </w:p>
    <w:p w14:paraId="2C105D94">
      <w:pPr>
        <w:pStyle w:val="6"/>
        <w:spacing w:before="163" w:after="163"/>
        <w:rPr>
          <w:b/>
        </w:rPr>
      </w:pPr>
      <w:r>
        <w:rPr>
          <w:rFonts w:hint="eastAsia"/>
        </w:rPr>
        <w:t>划定国土</w:t>
      </w:r>
      <w:r>
        <w:t>空间规划分区</w:t>
      </w:r>
    </w:p>
    <w:p w14:paraId="49244169">
      <w:pPr>
        <w:ind w:firstLine="600"/>
        <w:jc w:val="both"/>
        <w:rPr>
          <w:rFonts w:ascii="Times New Roman" w:hAnsi="Times New Roman"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县域层面划定生态保护区、生态控制区、农田</w:t>
      </w:r>
      <w:r>
        <w:rPr>
          <w:rFonts w:hint="eastAsia" w:ascii="Times New Roman" w:hAnsi="Times New Roman" w:cs="Times New Roman"/>
          <w:color w:val="000000" w:themeColor="text1"/>
          <w14:textFill>
            <w14:solidFill>
              <w14:schemeClr w14:val="tx1"/>
            </w14:solidFill>
          </w14:textFill>
        </w:rPr>
        <w:t>保护区、城镇发展区、乡村发展区和矿产能源发展区</w:t>
      </w:r>
      <w:r>
        <w:rPr>
          <w:rFonts w:ascii="Times New Roman" w:hAnsi="Times New Roman" w:cs="Times New Roman"/>
          <w:color w:val="000000" w:themeColor="text1"/>
          <w14:textFill>
            <w14:solidFill>
              <w14:schemeClr w14:val="tx1"/>
            </w14:solidFill>
          </w14:textFill>
        </w:rPr>
        <w:t>6</w:t>
      </w:r>
      <w:r>
        <w:rPr>
          <w:rFonts w:cs="Times New Roman"/>
          <w:color w:val="000000" w:themeColor="text1"/>
          <w14:textFill>
            <w14:solidFill>
              <w14:schemeClr w14:val="tx1"/>
            </w14:solidFill>
          </w14:textFill>
        </w:rPr>
        <w:t>类</w:t>
      </w:r>
      <w:r>
        <w:rPr>
          <w:rFonts w:hint="eastAsia" w:cs="Times New Roman"/>
          <w:color w:val="000000" w:themeColor="text1"/>
          <w14:textFill>
            <w14:solidFill>
              <w14:schemeClr w14:val="tx1"/>
            </w14:solidFill>
          </w14:textFill>
        </w:rPr>
        <w:t>国土空间</w:t>
      </w:r>
      <w:r>
        <w:rPr>
          <w:rFonts w:cs="Times New Roman"/>
          <w:color w:val="000000" w:themeColor="text1"/>
          <w14:textFill>
            <w14:solidFill>
              <w14:schemeClr w14:val="tx1"/>
            </w14:solidFill>
          </w14:textFill>
        </w:rPr>
        <w:t>一级规划分区，</w:t>
      </w:r>
      <w:r>
        <w:rPr>
          <w:rFonts w:hint="eastAsia" w:cs="Times New Roman"/>
          <w:color w:val="000000" w:themeColor="text1"/>
          <w14:textFill>
            <w14:solidFill>
              <w14:schemeClr w14:val="tx1"/>
            </w14:solidFill>
          </w14:textFill>
        </w:rPr>
        <w:t>加强全域全要素国土空间用途管制</w:t>
      </w:r>
      <w:r>
        <w:rPr>
          <w:rFonts w:hint="eastAsia" w:ascii="Times New Roman" w:hAnsi="Times New Roman" w:cs="Times New Roman"/>
          <w:color w:val="000000" w:themeColor="text1"/>
          <w14:textFill>
            <w14:solidFill>
              <w14:schemeClr w14:val="tx1"/>
            </w14:solidFill>
          </w14:textFill>
        </w:rPr>
        <w:t>。</w:t>
      </w:r>
    </w:p>
    <w:p w14:paraId="5177AE22">
      <w:pPr>
        <w:ind w:firstLine="600"/>
        <w:rPr>
          <w:rFonts w:cs="宋体"/>
          <w:bCs/>
          <w:szCs w:val="24"/>
        </w:rPr>
      </w:pPr>
      <w:r>
        <w:rPr>
          <w:rFonts w:hint="eastAsia"/>
        </w:rPr>
        <w:t>生态保护区原则上按照生态保护红线要求进行严格管控，严禁任何不符合主体功能定位的开发活动。生态控制区内除生态保护修复等特定功能设施、必要的基础设施和乡村生活服务设施外，严格控制对生态功能产生影响的开发建设活动。</w:t>
      </w:r>
      <w:r>
        <w:rPr>
          <w:rFonts w:hint="eastAsia"/>
          <w:szCs w:val="30"/>
        </w:rPr>
        <w:t>农田保护区</w:t>
      </w:r>
      <w:r>
        <w:rPr>
          <w:rFonts w:hint="eastAsia"/>
        </w:rPr>
        <w:t>内的永久基本农田按照永久基本农田保护要求进行严格管控，从严管控非农建设占用。城镇发展区内依据城镇开发边界实行“详细规划</w:t>
      </w:r>
      <w:r>
        <w:t>+规划许可”的管控方式</w:t>
      </w:r>
      <w:r>
        <w:rPr>
          <w:rFonts w:hint="eastAsia"/>
        </w:rPr>
        <w:t>；在城镇开发边界外的建设，按照主导用途分区，实行“详细规划</w:t>
      </w:r>
      <w:r>
        <w:t>+规划许可”和“约束指标+分区准入”的管制方式</w:t>
      </w:r>
      <w:r>
        <w:rPr>
          <w:rFonts w:hint="eastAsia"/>
        </w:rPr>
        <w:t>。乡村发展区重点开展农村居民点、新产业新业态项目、农村生产生活配套及必要的民生保障设施建设，严禁集中连片城镇开发建设。矿产能源发展区按照国家相关政策要求实施空间管控与开采利用，提高矿产能源资源综合利用效率</w:t>
      </w:r>
      <w:r>
        <w:rPr>
          <w:rFonts w:hint="eastAsia" w:cs="宋体"/>
          <w:bCs/>
          <w:szCs w:val="24"/>
        </w:rPr>
        <w:t>。</w:t>
      </w:r>
    </w:p>
    <w:p w14:paraId="1C62AC0A">
      <w:pPr>
        <w:pStyle w:val="6"/>
        <w:spacing w:before="163" w:after="163"/>
        <w:rPr>
          <w:b/>
        </w:rPr>
      </w:pPr>
      <w:r>
        <w:rPr>
          <w:rFonts w:hint="eastAsia"/>
        </w:rPr>
        <w:t>优化国土空间用途结构</w:t>
      </w:r>
    </w:p>
    <w:p w14:paraId="45F9DC3C">
      <w:pPr>
        <w:ind w:firstLine="600"/>
        <w:jc w:val="both"/>
        <w:rPr>
          <w:rFonts w:cs="Times New Roman"/>
          <w:color w:val="000000" w:themeColor="text1"/>
          <w14:textFill>
            <w14:solidFill>
              <w14:schemeClr w14:val="tx1"/>
            </w14:solidFill>
          </w14:textFill>
        </w:rPr>
      </w:pPr>
      <w:r>
        <w:rPr>
          <w:rFonts w:hint="eastAsia" w:ascii="楷体_GB2312" w:hAnsi="Times New Roman" w:eastAsia="楷体_GB2312" w:cs="Times New Roman"/>
          <w:color w:val="000000" w:themeColor="text1"/>
          <w14:textFill>
            <w14:solidFill>
              <w14:schemeClr w14:val="tx1"/>
            </w14:solidFill>
          </w14:textFill>
        </w:rPr>
        <w:t>优先保护农业和生态用地。</w:t>
      </w:r>
      <w:r>
        <w:rPr>
          <w:rFonts w:hint="eastAsia" w:cs="Times New Roman"/>
          <w:color w:val="000000" w:themeColor="text1"/>
          <w14:textFill>
            <w14:solidFill>
              <w14:schemeClr w14:val="tx1"/>
            </w14:solidFill>
          </w14:textFill>
        </w:rPr>
        <w:t>优先保护耕地、园地、林地、湿地等重要农业和生态功能用地。结合现代农业和特色农业发展，扎实推进供港澳蔬菜标准化示范基地等农业发展平台建设，重点保障粮食、蔬菜等农业生产空间。积极引导园地向丘陵、台地和荒坡地集中布局。合理配置林地资源，加强森林生态维育，保护好城郊森林和丹霞山生态环境，严格保护天然林、国家级公益林，促进重要生态功能区、脆弱区森林资源的有效保护。拓展绿色空间和水源涵养空间，加快锦江、浈江流域生态保护与修复，持续强化澌溪湖湿地公园、锦江水库等湿地保护工作。</w:t>
      </w:r>
    </w:p>
    <w:p w14:paraId="6E40C633">
      <w:pPr>
        <w:ind w:firstLine="600"/>
        <w:jc w:val="both"/>
        <w:rPr>
          <w:rFonts w:cs="Times New Roman"/>
          <w:color w:val="000000" w:themeColor="text1"/>
          <w14:textFill>
            <w14:solidFill>
              <w14:schemeClr w14:val="tx1"/>
            </w14:solidFill>
          </w14:textFill>
        </w:rPr>
      </w:pPr>
      <w:r>
        <w:rPr>
          <w:rFonts w:hint="eastAsia" w:ascii="楷体_GB2312" w:hAnsi="Times New Roman" w:eastAsia="楷体_GB2312" w:cs="Times New Roman"/>
          <w:color w:val="000000" w:themeColor="text1"/>
          <w14:textFill>
            <w14:solidFill>
              <w14:schemeClr w14:val="tx1"/>
            </w14:solidFill>
          </w14:textFill>
        </w:rPr>
        <w:t>优化建设用地结构。</w:t>
      </w:r>
      <w:r>
        <w:rPr>
          <w:rFonts w:hint="eastAsia" w:cs="Times New Roman"/>
          <w:color w:val="000000" w:themeColor="text1"/>
          <w14:textFill>
            <w14:solidFill>
              <w14:schemeClr w14:val="tx1"/>
            </w14:solidFill>
          </w14:textFill>
        </w:rPr>
        <w:t>统筹居住生活、公共服务、交通运输、公用设施、产业发展等用地布局，稳步提升居住用地规模，强化公共服务、基础设施配套的用地供给，保持产业用地规模处于合理水平，有效促进建设用地高效配置。重点保障仁化产业转移工业园等产业平台建设，支撑产城融合转型发展。建立低效建设用地退出和腾挪机制，引导建设用地资源集中布局。统筹考虑军事设施发展需求，铁路、公路等区域交通设施、电力油气和网络通信等布局选线应当兼顾军事设施保护需要，书面征求军事设施管理单位的意见。</w:t>
      </w:r>
    </w:p>
    <w:p w14:paraId="1E2834A6">
      <w:pPr>
        <w:pStyle w:val="4"/>
        <w:spacing w:before="326" w:after="326"/>
        <w:ind w:firstLine="726"/>
        <w:rPr>
          <w:b w:val="0"/>
          <w:bCs w:val="0"/>
          <w:color w:val="000000" w:themeColor="text1"/>
          <w14:textFill>
            <w14:solidFill>
              <w14:schemeClr w14:val="tx1"/>
            </w14:solidFill>
          </w14:textFill>
        </w:rPr>
      </w:pPr>
      <w:bookmarkStart w:id="699" w:name="_Toc167271384"/>
      <w:r>
        <w:rPr>
          <w:rFonts w:hint="eastAsia"/>
          <w:b w:val="0"/>
          <w:bCs w:val="0"/>
          <w:color w:val="000000" w:themeColor="text1"/>
          <w14:textFill>
            <w14:solidFill>
              <w14:schemeClr w14:val="tx1"/>
            </w14:solidFill>
          </w14:textFill>
        </w:rPr>
        <w:t>营造精致高效的农业空间</w:t>
      </w:r>
      <w:bookmarkEnd w:id="693"/>
      <w:bookmarkEnd w:id="694"/>
      <w:bookmarkEnd w:id="695"/>
      <w:bookmarkEnd w:id="699"/>
    </w:p>
    <w:p w14:paraId="42AAB242">
      <w:pPr>
        <w:pStyle w:val="5"/>
        <w:numPr>
          <w:ilvl w:val="1"/>
          <w:numId w:val="5"/>
        </w:numPr>
        <w:spacing w:before="163" w:after="163"/>
        <w:rPr>
          <w:b/>
        </w:rPr>
      </w:pPr>
      <w:bookmarkStart w:id="700" w:name="_Toc3923"/>
      <w:bookmarkStart w:id="701" w:name="_Toc167271385"/>
      <w:bookmarkStart w:id="702" w:name="_Toc141887878"/>
      <w:bookmarkStart w:id="703" w:name="_Toc132305785"/>
      <w:r>
        <w:rPr>
          <w:rFonts w:hint="eastAsia"/>
        </w:rPr>
        <w:t>优化农业空间格局</w:t>
      </w:r>
      <w:bookmarkEnd w:id="700"/>
      <w:bookmarkEnd w:id="701"/>
      <w:bookmarkEnd w:id="702"/>
      <w:bookmarkEnd w:id="703"/>
    </w:p>
    <w:p w14:paraId="5641E004">
      <w:pPr>
        <w:pStyle w:val="6"/>
        <w:spacing w:before="163" w:after="163"/>
      </w:pPr>
      <w:bookmarkStart w:id="704" w:name="_Toc132305786"/>
      <w:bookmarkStart w:id="705" w:name="_Toc141887879"/>
      <w:bookmarkStart w:id="706" w:name="_Toc32652"/>
      <w:bookmarkStart w:id="707" w:name="_Toc3765"/>
      <w:bookmarkStart w:id="708" w:name="_Toc141887881"/>
      <w:r>
        <w:t>构建</w:t>
      </w:r>
      <w:r>
        <w:rPr>
          <w:rFonts w:hint="eastAsia"/>
        </w:rPr>
        <w:t>现代农业空间</w:t>
      </w:r>
      <w:bookmarkEnd w:id="704"/>
      <w:r>
        <w:rPr>
          <w:rFonts w:hint="eastAsia"/>
        </w:rPr>
        <w:t>格局</w:t>
      </w:r>
      <w:bookmarkEnd w:id="705"/>
      <w:bookmarkEnd w:id="706"/>
    </w:p>
    <w:p w14:paraId="7A3978AD">
      <w:pPr>
        <w:ind w:firstLine="6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落实韶关</w:t>
      </w:r>
      <w:r>
        <w:rPr>
          <w:rFonts w:hint="eastAsia" w:ascii="仿宋_GB2312"/>
          <w:color w:val="000000" w:themeColor="text1"/>
          <w14:textFill>
            <w14:solidFill>
              <w14:schemeClr w14:val="tx1"/>
            </w14:solidFill>
          </w14:textFill>
        </w:rPr>
        <w:t>“</w:t>
      </w:r>
      <w:r>
        <w:rPr>
          <w:rFonts w:hint="eastAsia"/>
          <w:color w:val="000000" w:themeColor="text1"/>
          <w14:textFill>
            <w14:solidFill>
              <w14:schemeClr w14:val="tx1"/>
            </w14:solidFill>
          </w14:textFill>
        </w:rPr>
        <w:t>一心、七核、四区</w:t>
      </w:r>
      <w:r>
        <w:rPr>
          <w:rFonts w:hint="eastAsia" w:ascii="仿宋_GB2312"/>
          <w:color w:val="000000" w:themeColor="text1"/>
          <w14:textFill>
            <w14:solidFill>
              <w14:schemeClr w14:val="tx1"/>
            </w14:solidFill>
          </w14:textFill>
        </w:rPr>
        <w:t>”</w:t>
      </w:r>
      <w:r>
        <w:rPr>
          <w:rFonts w:hint="eastAsia"/>
          <w:color w:val="000000" w:themeColor="text1"/>
          <w14:textFill>
            <w14:solidFill>
              <w14:schemeClr w14:val="tx1"/>
            </w14:solidFill>
          </w14:textFill>
        </w:rPr>
        <w:t>的现代农业空间格局要求，规划构建</w:t>
      </w:r>
      <w:r>
        <w:rPr>
          <w:rFonts w:hint="eastAsia" w:ascii="仿宋_GB2312"/>
          <w:color w:val="000000" w:themeColor="text1"/>
          <w14:textFill>
            <w14:solidFill>
              <w14:schemeClr w14:val="tx1"/>
            </w14:solidFill>
          </w14:textFill>
        </w:rPr>
        <w:t>“</w:t>
      </w:r>
      <w:r>
        <w:rPr>
          <w:rFonts w:hint="eastAsia"/>
          <w:color w:val="000000" w:themeColor="text1"/>
          <w14:textFill>
            <w14:solidFill>
              <w14:schemeClr w14:val="tx1"/>
            </w14:solidFill>
          </w14:textFill>
        </w:rPr>
        <w:t>一核、四区</w:t>
      </w:r>
      <w:r>
        <w:rPr>
          <w:rFonts w:hint="eastAsia" w:ascii="仿宋_GB2312"/>
          <w:color w:val="000000" w:themeColor="text1"/>
          <w14:textFill>
            <w14:solidFill>
              <w14:schemeClr w14:val="tx1"/>
            </w14:solidFill>
          </w14:textFill>
        </w:rPr>
        <w:t>”</w:t>
      </w:r>
      <w:r>
        <w:rPr>
          <w:rFonts w:hint="eastAsia"/>
          <w:color w:val="000000" w:themeColor="text1"/>
          <w14:textFill>
            <w14:solidFill>
              <w14:schemeClr w14:val="tx1"/>
            </w14:solidFill>
          </w14:textFill>
        </w:rPr>
        <w:t>的现代农业空间格局。</w:t>
      </w:r>
    </w:p>
    <w:p w14:paraId="21F4CB1E">
      <w:pPr>
        <w:ind w:firstLine="600"/>
        <w:jc w:val="both"/>
        <w:rPr>
          <w:color w:val="000000" w:themeColor="text1"/>
          <w14:textFill>
            <w14:solidFill>
              <w14:schemeClr w14:val="tx1"/>
            </w14:solidFill>
          </w14:textFill>
        </w:rPr>
      </w:pPr>
      <w:r>
        <w:rPr>
          <w:rFonts w:hint="eastAsia" w:ascii="楷体_GB2312" w:hAnsi="Times New Roman" w:eastAsia="楷体_GB2312" w:cs="Times New Roman"/>
          <w:color w:val="000000" w:themeColor="text1"/>
          <w14:textFill>
            <w14:solidFill>
              <w14:schemeClr w14:val="tx1"/>
            </w14:solidFill>
          </w14:textFill>
        </w:rPr>
        <w:t>“一核”</w:t>
      </w:r>
      <w:r>
        <w:rPr>
          <w:rFonts w:hint="eastAsia"/>
          <w:color w:val="000000" w:themeColor="text1"/>
          <w14:textFill>
            <w14:solidFill>
              <w14:schemeClr w14:val="tx1"/>
            </w14:solidFill>
          </w14:textFill>
        </w:rPr>
        <w:t>指仁化县级综合服务核。建设立足粤北、依托粤湘赣地区、联通大湾区的优质农产品生产供应基地和农副产品冷链物流基地</w:t>
      </w:r>
      <w:r>
        <w:rPr>
          <w:color w:val="000000" w:themeColor="text1"/>
          <w14:textFill>
            <w14:solidFill>
              <w14:schemeClr w14:val="tx1"/>
            </w14:solidFill>
          </w14:textFill>
        </w:rPr>
        <w:t>。</w:t>
      </w:r>
    </w:p>
    <w:p w14:paraId="326E36B1">
      <w:pPr>
        <w:ind w:firstLine="600"/>
        <w:jc w:val="both"/>
        <w:rPr>
          <w:color w:val="000000" w:themeColor="text1"/>
          <w14:textFill>
            <w14:solidFill>
              <w14:schemeClr w14:val="tx1"/>
            </w14:solidFill>
          </w14:textFill>
        </w:rPr>
      </w:pPr>
      <w:r>
        <w:rPr>
          <w:rFonts w:hint="eastAsia" w:ascii="楷体_GB2312" w:hAnsi="Times New Roman" w:eastAsia="楷体_GB2312" w:cs="Times New Roman"/>
          <w:color w:val="000000" w:themeColor="text1"/>
          <w14:textFill>
            <w14:solidFill>
              <w14:schemeClr w14:val="tx1"/>
            </w14:solidFill>
          </w14:textFill>
        </w:rPr>
        <w:t>“四区”</w:t>
      </w:r>
      <w:r>
        <w:rPr>
          <w:rFonts w:hint="eastAsia"/>
          <w:color w:val="000000" w:themeColor="text1"/>
          <w14:textFill>
            <w14:solidFill>
              <w14:schemeClr w14:val="tx1"/>
            </w14:solidFill>
          </w14:textFill>
        </w:rPr>
        <w:t>指北部休闲农林发展区、中部高效农业发展区、南部特色农业发展区、环丹农旅融合发展区等四</w:t>
      </w:r>
      <w:bookmarkStart w:id="709" w:name="_Hlk139547840"/>
      <w:r>
        <w:rPr>
          <w:rFonts w:hint="eastAsia"/>
          <w:color w:val="000000" w:themeColor="text1"/>
          <w14:textFill>
            <w14:solidFill>
              <w14:schemeClr w14:val="tx1"/>
            </w14:solidFill>
          </w14:textFill>
        </w:rPr>
        <w:t>类农业发展</w:t>
      </w:r>
      <w:bookmarkEnd w:id="709"/>
      <w:r>
        <w:rPr>
          <w:rFonts w:hint="eastAsia"/>
          <w:color w:val="000000" w:themeColor="text1"/>
          <w14:textFill>
            <w14:solidFill>
              <w14:schemeClr w14:val="tx1"/>
            </w14:solidFill>
          </w14:textFill>
        </w:rPr>
        <w:t>区。以红山、长江、城口等镇为主体，构建</w:t>
      </w:r>
      <w:bookmarkStart w:id="710" w:name="_Hlk145180328"/>
      <w:r>
        <w:rPr>
          <w:rFonts w:hint="eastAsia"/>
          <w:color w:val="000000" w:themeColor="text1"/>
          <w14:textFill>
            <w14:solidFill>
              <w14:schemeClr w14:val="tx1"/>
            </w14:solidFill>
          </w14:textFill>
        </w:rPr>
        <w:t>集生态产业、文化景观功能为一体的北部休闲农林发展区</w:t>
      </w:r>
      <w:bookmarkEnd w:id="710"/>
      <w:r>
        <w:rPr>
          <w:rFonts w:hint="eastAsia"/>
          <w:color w:val="000000" w:themeColor="text1"/>
          <w14:textFill>
            <w14:solidFill>
              <w14:schemeClr w14:val="tx1"/>
            </w14:solidFill>
          </w14:textFill>
        </w:rPr>
        <w:t>，强化生态屏障保护，合理开发林业资源，重点培育红山白毛茶、长江毛竹、腊鸭，城口板鸭、优质稻等产品；以丹霞街道、董塘、长江、扶溪、石塘等镇（街）为主体，构建中部高效农业发展区，重点发展优质稻产品，</w:t>
      </w:r>
      <w:r>
        <w:rPr>
          <w:color w:val="000000" w:themeColor="text1"/>
          <w14:textFill>
            <w14:solidFill>
              <w14:schemeClr w14:val="tx1"/>
            </w14:solidFill>
          </w14:textFill>
        </w:rPr>
        <w:t>建设绿色蔬菜基地</w:t>
      </w:r>
      <w:r>
        <w:rPr>
          <w:rFonts w:hint="eastAsia"/>
          <w:color w:val="000000" w:themeColor="text1"/>
          <w14:textFill>
            <w14:solidFill>
              <w14:schemeClr w14:val="tx1"/>
            </w14:solidFill>
          </w14:textFill>
        </w:rPr>
        <w:t>，推进农业规模化种植；以黄坑、周田、大桥、闻韶等镇为主体，构建</w:t>
      </w:r>
      <w:bookmarkStart w:id="711" w:name="_Hlk145180669"/>
      <w:r>
        <w:rPr>
          <w:rFonts w:hint="eastAsia"/>
          <w:color w:val="000000" w:themeColor="text1"/>
          <w14:textFill>
            <w14:solidFill>
              <w14:schemeClr w14:val="tx1"/>
            </w14:solidFill>
          </w14:textFill>
        </w:rPr>
        <w:t>南部特色农业发展区</w:t>
      </w:r>
      <w:bookmarkEnd w:id="711"/>
      <w:r>
        <w:rPr>
          <w:rFonts w:hint="eastAsia"/>
          <w:color w:val="000000" w:themeColor="text1"/>
          <w14:textFill>
            <w14:solidFill>
              <w14:schemeClr w14:val="tx1"/>
            </w14:solidFill>
          </w14:textFill>
        </w:rPr>
        <w:t>，依托省级柑橘产业园，强化</w:t>
      </w:r>
      <w:r>
        <w:rPr>
          <w:rFonts w:hint="eastAsia" w:ascii="仿宋_GB2312"/>
          <w:color w:val="000000" w:themeColor="text1"/>
          <w14:textFill>
            <w14:solidFill>
              <w14:schemeClr w14:val="tx1"/>
            </w14:solidFill>
          </w14:textFill>
        </w:rPr>
        <w:t>“</w:t>
      </w:r>
      <w:r>
        <w:rPr>
          <w:rFonts w:hint="eastAsia"/>
          <w:color w:val="000000" w:themeColor="text1"/>
          <w14:textFill>
            <w14:solidFill>
              <w14:schemeClr w14:val="tx1"/>
            </w14:solidFill>
          </w14:textFill>
        </w:rPr>
        <w:t>一村一品</w:t>
      </w:r>
      <w:r>
        <w:rPr>
          <w:rFonts w:hint="eastAsia" w:ascii="仿宋_GB2312"/>
          <w:color w:val="000000" w:themeColor="text1"/>
          <w14:textFill>
            <w14:solidFill>
              <w14:schemeClr w14:val="tx1"/>
            </w14:solidFill>
          </w14:textFill>
        </w:rPr>
        <w:t>”</w:t>
      </w:r>
      <w:r>
        <w:rPr>
          <w:rFonts w:hint="eastAsia"/>
          <w:color w:val="000000" w:themeColor="text1"/>
          <w14:textFill>
            <w14:solidFill>
              <w14:schemeClr w14:val="tx1"/>
            </w14:solidFill>
          </w14:textFill>
        </w:rPr>
        <w:t>名优水果品牌打造，推进现代</w:t>
      </w:r>
      <w:r>
        <w:rPr>
          <w:color w:val="000000" w:themeColor="text1"/>
          <w14:textFill>
            <w14:solidFill>
              <w14:schemeClr w14:val="tx1"/>
            </w14:solidFill>
          </w14:textFill>
        </w:rPr>
        <w:t>农业规模化生产</w:t>
      </w:r>
      <w:r>
        <w:rPr>
          <w:rFonts w:hint="eastAsia"/>
          <w:color w:val="000000" w:themeColor="text1"/>
          <w14:textFill>
            <w14:solidFill>
              <w14:schemeClr w14:val="tx1"/>
            </w14:solidFill>
          </w14:textFill>
        </w:rPr>
        <w:t>；以丹霞街道、周田、黄坑、大桥等镇（街）为主体，</w:t>
      </w:r>
      <w:r>
        <w:rPr>
          <w:color w:val="000000" w:themeColor="text1"/>
          <w14:textFill>
            <w14:solidFill>
              <w14:schemeClr w14:val="tx1"/>
            </w14:solidFill>
          </w14:textFill>
        </w:rPr>
        <w:t>构建环丹农旅融合发展区</w:t>
      </w:r>
      <w:r>
        <w:rPr>
          <w:rFonts w:hint="eastAsia"/>
          <w:color w:val="000000" w:themeColor="text1"/>
          <w14:textFill>
            <w14:solidFill>
              <w14:schemeClr w14:val="tx1"/>
            </w14:solidFill>
          </w14:textFill>
        </w:rPr>
        <w:t>，</w:t>
      </w:r>
      <w:r>
        <w:rPr>
          <w:rFonts w:hint="eastAsia" w:ascii="仿宋_GB2312" w:hAnsi="仿宋_GB2312" w:cs="仿宋_GB2312"/>
          <w:color w:val="000000" w:themeColor="text1"/>
          <w14:textFill>
            <w14:solidFill>
              <w14:schemeClr w14:val="tx1"/>
            </w14:solidFill>
          </w14:textFill>
        </w:rPr>
        <w:t>依托丹霞山国家级</w:t>
      </w:r>
      <w:r>
        <w:rPr>
          <w:rFonts w:ascii="Times New Roman" w:hAnsi="Times New Roman" w:cs="Times New Roman"/>
          <w:color w:val="000000" w:themeColor="text1"/>
          <w14:textFill>
            <w14:solidFill>
              <w14:schemeClr w14:val="tx1"/>
            </w14:solidFill>
          </w14:textFill>
        </w:rPr>
        <w:t>5A</w:t>
      </w:r>
      <w:r>
        <w:rPr>
          <w:color w:val="000000" w:themeColor="text1"/>
          <w14:textFill>
            <w14:solidFill>
              <w14:schemeClr w14:val="tx1"/>
            </w14:solidFill>
          </w14:textFill>
        </w:rPr>
        <w:t>景区</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推动</w:t>
      </w:r>
      <w:r>
        <w:rPr>
          <w:rFonts w:hint="eastAsia"/>
          <w:color w:val="000000" w:themeColor="text1"/>
          <w14:textFill>
            <w14:solidFill>
              <w14:schemeClr w14:val="tx1"/>
            </w14:solidFill>
          </w14:textFill>
        </w:rPr>
        <w:t>生态休闲、乡村度假等业态发展。</w:t>
      </w:r>
    </w:p>
    <w:p w14:paraId="30AD198B">
      <w:pPr>
        <w:pStyle w:val="5"/>
        <w:spacing w:before="163" w:after="163"/>
        <w:rPr>
          <w:b/>
        </w:rPr>
      </w:pPr>
      <w:bookmarkStart w:id="712" w:name="_Toc167271386"/>
      <w:r>
        <w:rPr>
          <w:rFonts w:hint="eastAsia"/>
        </w:rPr>
        <w:t>严格保护耕地</w:t>
      </w:r>
      <w:bookmarkEnd w:id="707"/>
      <w:bookmarkEnd w:id="708"/>
      <w:bookmarkEnd w:id="712"/>
    </w:p>
    <w:p w14:paraId="123F90EF">
      <w:pPr>
        <w:pStyle w:val="6"/>
        <w:spacing w:before="163" w:after="163"/>
      </w:pPr>
      <w:r>
        <w:rPr>
          <w:rFonts w:hint="eastAsia"/>
        </w:rPr>
        <w:t>科学划定耕地整备区及永久基本农田储备区</w:t>
      </w:r>
    </w:p>
    <w:p w14:paraId="669EBA98">
      <w:pPr>
        <w:ind w:firstLine="600"/>
        <w:jc w:val="both"/>
        <w:rPr>
          <w:color w:val="000000" w:themeColor="text1"/>
          <w14:textFill>
            <w14:solidFill>
              <w14:schemeClr w14:val="tx1"/>
            </w14:solidFill>
          </w14:textFill>
        </w:rPr>
      </w:pPr>
      <w:bookmarkStart w:id="713" w:name="_Toc132305790"/>
      <w:bookmarkStart w:id="714" w:name="_Toc88472392"/>
      <w:bookmarkStart w:id="715" w:name="_Toc141887884"/>
      <w:bookmarkStart w:id="716" w:name="_Toc76561557"/>
      <w:r>
        <w:rPr>
          <w:rFonts w:hint="eastAsia"/>
          <w:color w:val="000000" w:themeColor="text1"/>
          <w14:textFill>
            <w14:solidFill>
              <w14:schemeClr w14:val="tx1"/>
            </w14:solidFill>
          </w14:textFill>
        </w:rPr>
        <w:t>结合耕地后备资源潜力和耕地恢复潜力调查评价成果，将相对连片、易恢复或可改造为耕地的地块划定为耕地整备区，</w:t>
      </w:r>
      <w:r>
        <w:rPr>
          <w:color w:val="000000" w:themeColor="text1"/>
          <w14:textFill>
            <w14:solidFill>
              <w14:schemeClr w14:val="tx1"/>
            </w14:solidFill>
          </w14:textFill>
        </w:rPr>
        <w:t>主要分布在周田</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黄坑</w:t>
      </w:r>
      <w:r>
        <w:rPr>
          <w:rFonts w:hint="eastAsia"/>
          <w:color w:val="000000" w:themeColor="text1"/>
          <w14:textFill>
            <w14:solidFill>
              <w14:schemeClr w14:val="tx1"/>
            </w14:solidFill>
          </w14:textFill>
        </w:rPr>
        <w:t>等</w:t>
      </w:r>
      <w:r>
        <w:rPr>
          <w:color w:val="000000" w:themeColor="text1"/>
          <w14:textFill>
            <w14:solidFill>
              <w14:schemeClr w14:val="tx1"/>
            </w14:solidFill>
          </w14:textFill>
        </w:rPr>
        <w:t>镇，具体规模和布局以耕地保护专项规划为准。</w:t>
      </w:r>
      <w:r>
        <w:rPr>
          <w:rFonts w:hint="eastAsia"/>
          <w:color w:val="000000" w:themeColor="text1"/>
          <w14:textFill>
            <w14:solidFill>
              <w14:schemeClr w14:val="tx1"/>
            </w14:solidFill>
          </w14:textFill>
        </w:rPr>
        <w:t>优先将耕地整备区内的地块通过实施退林还耕、退园还耕、农业设施建设用地复垦等整治措施逐步恢复为耕地、储备耕地资源，为耕地</w:t>
      </w:r>
      <w:r>
        <w:rPr>
          <w:rFonts w:hint="eastAsia" w:ascii="仿宋_GB2312"/>
          <w:color w:val="000000" w:themeColor="text1"/>
          <w14:textFill>
            <w14:solidFill>
              <w14:schemeClr w14:val="tx1"/>
            </w14:solidFill>
          </w14:textFill>
        </w:rPr>
        <w:t>“</w:t>
      </w:r>
      <w:r>
        <w:rPr>
          <w:rFonts w:hint="eastAsia"/>
          <w:color w:val="000000" w:themeColor="text1"/>
          <w14:textFill>
            <w14:solidFill>
              <w14:schemeClr w14:val="tx1"/>
            </w14:solidFill>
          </w14:textFill>
        </w:rPr>
        <w:t>占补平衡</w:t>
      </w:r>
      <w:r>
        <w:rPr>
          <w:rFonts w:hint="eastAsia" w:ascii="仿宋_GB2312"/>
          <w:color w:val="000000" w:themeColor="text1"/>
          <w14:textFill>
            <w14:solidFill>
              <w14:schemeClr w14:val="tx1"/>
            </w14:solidFill>
          </w14:textFill>
        </w:rPr>
        <w:t>”“</w:t>
      </w:r>
      <w:r>
        <w:rPr>
          <w:rFonts w:hint="eastAsia"/>
          <w:color w:val="000000" w:themeColor="text1"/>
          <w14:textFill>
            <w14:solidFill>
              <w14:schemeClr w14:val="tx1"/>
            </w14:solidFill>
          </w14:textFill>
        </w:rPr>
        <w:t>进出平衡</w:t>
      </w:r>
      <w:r>
        <w:rPr>
          <w:rFonts w:hint="eastAsia" w:ascii="仿宋_GB2312"/>
          <w:color w:val="000000" w:themeColor="text1"/>
          <w14:textFill>
            <w14:solidFill>
              <w14:schemeClr w14:val="tx1"/>
            </w14:solidFill>
          </w14:textFill>
        </w:rPr>
        <w:t>”</w:t>
      </w:r>
      <w:r>
        <w:rPr>
          <w:rFonts w:hint="eastAsia"/>
          <w:color w:val="000000" w:themeColor="text1"/>
          <w14:textFill>
            <w14:solidFill>
              <w14:schemeClr w14:val="tx1"/>
            </w14:solidFill>
          </w14:textFill>
        </w:rPr>
        <w:t>提供保障。</w:t>
      </w:r>
    </w:p>
    <w:p w14:paraId="7BA4DA8A">
      <w:pPr>
        <w:ind w:firstLine="6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将土地整理复垦开发、高标准农田以及整治恢复增加的优质耕地，优先划入永久基本农田储备区，</w:t>
      </w:r>
      <w:r>
        <w:rPr>
          <w:color w:val="000000" w:themeColor="text1"/>
          <w14:textFill>
            <w14:solidFill>
              <w14:schemeClr w14:val="tx1"/>
            </w14:solidFill>
          </w14:textFill>
        </w:rPr>
        <w:t>具体规模和布局以耕地保护专项规划为准。</w:t>
      </w:r>
      <w:r>
        <w:rPr>
          <w:rFonts w:hint="eastAsia"/>
          <w:color w:val="000000" w:themeColor="text1"/>
          <w14:textFill>
            <w14:solidFill>
              <w14:schemeClr w14:val="tx1"/>
            </w14:solidFill>
          </w14:textFill>
        </w:rPr>
        <w:t>重大建设项目选址确实难以避让永久基本农田的，经依法批准，按照数量不减、质量不降原则，优先从永久基本农田储备区中补划。永久基本农田储备区按一般耕地管理，可结合年度国土变更调查成果进行动态更新。</w:t>
      </w:r>
    </w:p>
    <w:p w14:paraId="10D87BBA">
      <w:pPr>
        <w:pStyle w:val="6"/>
        <w:spacing w:before="163" w:after="163"/>
        <w:rPr>
          <w:b/>
        </w:rPr>
      </w:pPr>
      <w:r>
        <w:rPr>
          <w:rFonts w:hint="eastAsia"/>
        </w:rPr>
        <w:t>全面提升耕地质量</w:t>
      </w:r>
    </w:p>
    <w:p w14:paraId="3E1095F6">
      <w:pPr>
        <w:ind w:firstLine="6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推进高标准农田新建和改造提升等工程建设，逐步将优质耕地划为永久基本农田、永久基本农田在规划期末全部建成高标准农田，</w:t>
      </w:r>
      <w:r>
        <w:rPr>
          <w:color w:val="000000" w:themeColor="text1"/>
          <w14:textFill>
            <w14:solidFill>
              <w14:schemeClr w14:val="tx1"/>
            </w14:solidFill>
          </w14:textFill>
        </w:rPr>
        <w:t>重点对丹霞街道、董塘、大桥、闻韶等未建高标准农田的永久基本农田及周边连片耕地开展高标准农田建设</w:t>
      </w:r>
      <w:r>
        <w:rPr>
          <w:rFonts w:hint="eastAsia"/>
          <w:color w:val="000000" w:themeColor="text1"/>
          <w14:textFill>
            <w14:solidFill>
              <w14:schemeClr w14:val="tx1"/>
            </w14:solidFill>
          </w14:textFill>
        </w:rPr>
        <w:t>。加强耕地提质改造、垦造水田、全域土地综合整治等项目的有机结合，推进耕地质量提升，进一步完善农业基础设施，改善耕作环境。</w:t>
      </w:r>
    </w:p>
    <w:p w14:paraId="7052DD99">
      <w:pPr>
        <w:pStyle w:val="6"/>
        <w:spacing w:before="163" w:after="163"/>
        <w:rPr>
          <w:b/>
        </w:rPr>
      </w:pPr>
      <w:r>
        <w:rPr>
          <w:rFonts w:hint="eastAsia"/>
        </w:rPr>
        <w:t>严格落实耕地“三位一体”保护与监管</w:t>
      </w:r>
    </w:p>
    <w:p w14:paraId="35D62A55">
      <w:pPr>
        <w:ind w:firstLine="600"/>
        <w:rPr>
          <w:rFonts w:cs="Times New Roman"/>
          <w:u w:val="single"/>
        </w:rPr>
      </w:pPr>
      <w:bookmarkStart w:id="717" w:name="_Toc19676"/>
      <w:r>
        <w:rPr>
          <w:rFonts w:hint="eastAsia"/>
          <w:color w:val="000000" w:themeColor="text1"/>
          <w:shd w:val="clear" w:color="auto" w:fill="FFFFFF"/>
          <w14:textFill>
            <w14:solidFill>
              <w14:schemeClr w14:val="tx1"/>
            </w14:solidFill>
          </w14:textFill>
        </w:rPr>
        <w:t>从严查处各类违法违规占用耕地或改变耕地用途行为，遏制耕地“非农化”、严格管控“非粮化”。</w:t>
      </w:r>
      <w:r>
        <w:rPr>
          <w:rFonts w:hint="eastAsia" w:cs="Times New Roman"/>
          <w:color w:val="000000" w:themeColor="text1"/>
          <w14:textFill>
            <w14:solidFill>
              <w14:schemeClr w14:val="tx1"/>
            </w14:solidFill>
          </w14:textFill>
        </w:rPr>
        <w:t>严格落实耕地“占补平衡”与“进出平衡”制度，确保耕地占用与转出时，补足相同数量与质量耕地。注重耕地生态保护与修复，坚持耕地数量、质量、生态“三位</w:t>
      </w:r>
      <w:r>
        <w:rPr>
          <w:rFonts w:hint="eastAsia" w:cs="Times New Roman"/>
        </w:rPr>
        <w:t>一体”保护，确保耕地总量不减少、质量不降低。</w:t>
      </w:r>
    </w:p>
    <w:p w14:paraId="2E602420">
      <w:pPr>
        <w:ind w:firstLine="600"/>
        <w:rPr>
          <w:rFonts w:cs="Times New Roman"/>
          <w:u w:val="single"/>
        </w:rPr>
      </w:pPr>
      <w:r>
        <w:rPr>
          <w:rFonts w:cs="Times New Roman"/>
        </w:rPr>
        <w:t>全面建立县、乡、村级田长</w:t>
      </w:r>
      <w:r>
        <w:rPr>
          <w:rFonts w:hint="eastAsia" w:cs="Times New Roman"/>
        </w:rPr>
        <w:t>制</w:t>
      </w:r>
      <w:r>
        <w:rPr>
          <w:rFonts w:cs="Times New Roman"/>
        </w:rPr>
        <w:t>，强化耕地保护属地责任和部门责任</w:t>
      </w:r>
      <w:r>
        <w:rPr>
          <w:rFonts w:hint="eastAsia" w:cs="Times New Roman"/>
        </w:rPr>
        <w:t>。基于“一张图”系统构建常态化耕地监管平台</w:t>
      </w:r>
      <w:r>
        <w:rPr>
          <w:rFonts w:cs="Times New Roman"/>
        </w:rPr>
        <w:t>，对耕地违法占用与使用及高标准农田建设等</w:t>
      </w:r>
      <w:r>
        <w:rPr>
          <w:rFonts w:hint="eastAsia" w:cs="Times New Roman"/>
        </w:rPr>
        <w:t>国土</w:t>
      </w:r>
      <w:r>
        <w:rPr>
          <w:rFonts w:cs="Times New Roman"/>
        </w:rPr>
        <w:t>整治工程项目实施常态化监管。</w:t>
      </w:r>
    </w:p>
    <w:bookmarkEnd w:id="713"/>
    <w:bookmarkEnd w:id="714"/>
    <w:bookmarkEnd w:id="715"/>
    <w:bookmarkEnd w:id="716"/>
    <w:bookmarkEnd w:id="717"/>
    <w:p w14:paraId="6D1EBE17">
      <w:pPr>
        <w:pStyle w:val="5"/>
        <w:spacing w:before="163" w:after="163"/>
        <w:rPr>
          <w:b/>
        </w:rPr>
      </w:pPr>
      <w:bookmarkStart w:id="718" w:name="_Toc167271387"/>
      <w:r>
        <w:rPr>
          <w:rFonts w:hint="eastAsia"/>
        </w:rPr>
        <w:t>建设美丽宜居的乡村生活空间</w:t>
      </w:r>
      <w:bookmarkEnd w:id="718"/>
    </w:p>
    <w:p w14:paraId="00766673">
      <w:pPr>
        <w:pStyle w:val="6"/>
        <w:spacing w:before="163" w:after="163"/>
        <w:rPr>
          <w:b/>
        </w:rPr>
      </w:pPr>
      <w:bookmarkStart w:id="719" w:name="_Toc17209"/>
      <w:bookmarkStart w:id="720" w:name="_Toc141887885"/>
      <w:bookmarkStart w:id="721" w:name="_Toc132305791"/>
      <w:r>
        <w:rPr>
          <w:rFonts w:hint="eastAsia"/>
        </w:rPr>
        <w:t>分类引导乡村差异化发展</w:t>
      </w:r>
      <w:bookmarkEnd w:id="719"/>
    </w:p>
    <w:p w14:paraId="5FD0A193">
      <w:pPr>
        <w:ind w:firstLine="6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全县村庄划分为集聚提升类、城郊融合类、特色保护类、一般发展类共</w:t>
      </w:r>
      <w:r>
        <w:rPr>
          <w:rFonts w:hint="eastAsia" w:ascii="Times New Roman" w:hAnsi="Times New Roman" w:cs="Times New Roman"/>
          <w:color w:val="000000" w:themeColor="text1"/>
          <w14:textFill>
            <w14:solidFill>
              <w14:schemeClr w14:val="tx1"/>
            </w14:solidFill>
          </w14:textFill>
        </w:rPr>
        <w:t>四</w:t>
      </w:r>
      <w:r>
        <w:rPr>
          <w:color w:val="000000" w:themeColor="text1"/>
          <w14:textFill>
            <w14:solidFill>
              <w14:schemeClr w14:val="tx1"/>
            </w14:solidFill>
          </w14:textFill>
        </w:rPr>
        <w:t>种不同类型村庄</w:t>
      </w:r>
      <w:r>
        <w:rPr>
          <w:rStyle w:val="46"/>
          <w:rFonts w:ascii="Times New Roman" w:hAnsi="Times New Roman" w:cs="Times New Roman"/>
          <w:color w:val="000000" w:themeColor="text1"/>
          <w14:textFill>
            <w14:solidFill>
              <w14:schemeClr w14:val="tx1"/>
            </w14:solidFill>
          </w14:textFill>
        </w:rPr>
        <w:footnoteReference w:id="3"/>
      </w:r>
      <w:r>
        <w:rPr>
          <w:color w:val="000000" w:themeColor="text1"/>
          <w14:textFill>
            <w14:solidFill>
              <w14:schemeClr w14:val="tx1"/>
            </w14:solidFill>
          </w14:textFill>
        </w:rPr>
        <w:t>，引导乡村差异化发展。</w:t>
      </w:r>
      <w:r>
        <w:rPr>
          <w:rFonts w:hint="eastAsia"/>
          <w:color w:val="000000" w:themeColor="text1"/>
          <w14:textFill>
            <w14:solidFill>
              <w14:schemeClr w14:val="tx1"/>
            </w14:solidFill>
          </w14:textFill>
        </w:rPr>
        <w:t>村庄的划分类型可根据实际情况进行动态调整。</w:t>
      </w:r>
    </w:p>
    <w:p w14:paraId="39961FA3">
      <w:pPr>
        <w:ind w:firstLine="6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集聚提升类</w:t>
      </w:r>
      <w:r>
        <w:rPr>
          <w:color w:val="000000" w:themeColor="text1"/>
          <w14:textFill>
            <w14:solidFill>
              <w14:schemeClr w14:val="tx1"/>
            </w14:solidFill>
          </w14:textFill>
        </w:rPr>
        <w:t>行政村</w:t>
      </w:r>
      <w:r>
        <w:rPr>
          <w:rFonts w:hint="eastAsia"/>
          <w:color w:val="000000" w:themeColor="text1"/>
          <w14:textFill>
            <w14:solidFill>
              <w14:schemeClr w14:val="tx1"/>
            </w14:solidFill>
          </w14:textFill>
        </w:rPr>
        <w:t>重点引导人口、产业、资源等要素集聚发展，强化主导产业支撑，辐射带动周边村庄发展。</w:t>
      </w:r>
    </w:p>
    <w:p w14:paraId="0B6B6E8D">
      <w:pPr>
        <w:ind w:firstLine="6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城郊融合类</w:t>
      </w:r>
      <w:r>
        <w:rPr>
          <w:color w:val="000000" w:themeColor="text1"/>
          <w14:textFill>
            <w14:solidFill>
              <w14:schemeClr w14:val="tx1"/>
            </w14:solidFill>
          </w14:textFill>
        </w:rPr>
        <w:t>行政村</w:t>
      </w:r>
      <w:r>
        <w:rPr>
          <w:rFonts w:hint="eastAsia"/>
          <w:color w:val="000000" w:themeColor="text1"/>
          <w14:textFill>
            <w14:solidFill>
              <w14:schemeClr w14:val="tx1"/>
            </w14:solidFill>
          </w14:textFill>
        </w:rPr>
        <w:t>加快改善村庄人居环境，持续推进存量农房微改造，引导新建农房风貌塑造；就近共享城镇基础设施和公共服务设施。积极发展乡村民宿、农耕体验等乡村休闲产业。</w:t>
      </w:r>
    </w:p>
    <w:p w14:paraId="5E543B93">
      <w:pPr>
        <w:ind w:firstLine="6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特色保护类</w:t>
      </w:r>
      <w:r>
        <w:rPr>
          <w:color w:val="000000" w:themeColor="text1"/>
          <w14:textFill>
            <w14:solidFill>
              <w14:schemeClr w14:val="tx1"/>
            </w14:solidFill>
          </w14:textFill>
        </w:rPr>
        <w:t>行政村</w:t>
      </w:r>
      <w:r>
        <w:rPr>
          <w:rFonts w:hint="eastAsia"/>
          <w:color w:val="000000" w:themeColor="text1"/>
          <w14:textFill>
            <w14:solidFill>
              <w14:schemeClr w14:val="tx1"/>
            </w14:solidFill>
          </w14:textFill>
        </w:rPr>
        <w:t>重点保护历史文化特色明显，特色资源丰富的历史文化名村、传统村落的</w:t>
      </w:r>
      <w:r>
        <w:rPr>
          <w:color w:val="000000" w:themeColor="text1"/>
          <w14:textFill>
            <w14:solidFill>
              <w14:schemeClr w14:val="tx1"/>
            </w14:solidFill>
          </w14:textFill>
        </w:rPr>
        <w:t>选址、格局、风貌和山水林田湖草特色景观，加强对文物古迹、历史建筑、传统民居等保护与修缮。尊重原住居民生活形态和生活习惯，持续改善人居环境，发展壮大生态产业</w:t>
      </w:r>
      <w:r>
        <w:rPr>
          <w:rFonts w:hint="eastAsia"/>
          <w:color w:val="000000" w:themeColor="text1"/>
          <w14:textFill>
            <w14:solidFill>
              <w14:schemeClr w14:val="tx1"/>
            </w14:solidFill>
          </w14:textFill>
        </w:rPr>
        <w:t>。</w:t>
      </w:r>
    </w:p>
    <w:p w14:paraId="27A5D093">
      <w:pPr>
        <w:ind w:firstLine="6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一般发展类</w:t>
      </w:r>
      <w:r>
        <w:rPr>
          <w:color w:val="000000" w:themeColor="text1"/>
          <w14:textFill>
            <w14:solidFill>
              <w14:schemeClr w14:val="tx1"/>
            </w14:solidFill>
          </w14:textFill>
        </w:rPr>
        <w:t>行政村</w:t>
      </w:r>
      <w:r>
        <w:rPr>
          <w:rFonts w:hint="eastAsia"/>
          <w:color w:val="000000" w:themeColor="text1"/>
          <w14:textFill>
            <w14:solidFill>
              <w14:schemeClr w14:val="tx1"/>
            </w14:solidFill>
          </w14:textFill>
        </w:rPr>
        <w:t>主要为目前看不准发展前景，需继续保留的村庄。该类村庄以普惠性、基础性、兜底性民生建设为重点，逐步补齐基础设施和公共服务设施短板。支持传统产业发展，盘活利用村庄资产资源，发展壮大乡村产业。</w:t>
      </w:r>
    </w:p>
    <w:bookmarkEnd w:id="720"/>
    <w:bookmarkEnd w:id="721"/>
    <w:p w14:paraId="696818E0">
      <w:pPr>
        <w:pStyle w:val="6"/>
        <w:spacing w:before="163" w:after="163"/>
      </w:pPr>
      <w:bookmarkStart w:id="722" w:name="_Toc143354834"/>
      <w:bookmarkEnd w:id="722"/>
      <w:bookmarkStart w:id="723" w:name="_Toc143356275"/>
      <w:bookmarkEnd w:id="723"/>
      <w:bookmarkStart w:id="724" w:name="_Toc143356571"/>
      <w:bookmarkEnd w:id="724"/>
      <w:bookmarkStart w:id="725" w:name="_Toc143355116"/>
      <w:bookmarkEnd w:id="725"/>
      <w:bookmarkStart w:id="726" w:name="_Toc143353009"/>
      <w:bookmarkEnd w:id="726"/>
      <w:bookmarkStart w:id="727" w:name="_Toc142390392"/>
      <w:bookmarkEnd w:id="727"/>
      <w:bookmarkStart w:id="728" w:name="_Toc142391238"/>
      <w:bookmarkEnd w:id="728"/>
      <w:bookmarkStart w:id="729" w:name="_Toc143354547"/>
      <w:bookmarkEnd w:id="729"/>
      <w:bookmarkStart w:id="730" w:name="_Toc143099361"/>
      <w:bookmarkEnd w:id="730"/>
      <w:bookmarkStart w:id="731" w:name="_Toc142380895"/>
      <w:bookmarkEnd w:id="731"/>
      <w:bookmarkStart w:id="732" w:name="_Toc142390396"/>
      <w:bookmarkEnd w:id="732"/>
      <w:bookmarkStart w:id="733" w:name="_Toc143352711"/>
      <w:bookmarkEnd w:id="733"/>
      <w:bookmarkStart w:id="734" w:name="_Toc143357740"/>
      <w:bookmarkEnd w:id="734"/>
      <w:bookmarkStart w:id="735" w:name="_Toc143356568"/>
      <w:bookmarkEnd w:id="735"/>
      <w:bookmarkStart w:id="736" w:name="_Toc143356565"/>
      <w:bookmarkEnd w:id="736"/>
      <w:bookmarkStart w:id="737" w:name="_Toc143357162"/>
      <w:bookmarkEnd w:id="737"/>
      <w:bookmarkStart w:id="738" w:name="_Toc142381157"/>
      <w:bookmarkEnd w:id="738"/>
      <w:bookmarkStart w:id="739" w:name="_Toc143356564"/>
      <w:bookmarkEnd w:id="739"/>
      <w:bookmarkStart w:id="740" w:name="_Toc142402852"/>
      <w:bookmarkEnd w:id="740"/>
      <w:bookmarkStart w:id="741" w:name="_Toc143099076"/>
      <w:bookmarkEnd w:id="741"/>
      <w:bookmarkStart w:id="742" w:name="_Toc143354263"/>
      <w:bookmarkEnd w:id="742"/>
      <w:bookmarkStart w:id="743" w:name="_Toc143355120"/>
      <w:bookmarkEnd w:id="743"/>
      <w:bookmarkStart w:id="744" w:name="_Toc143356867"/>
      <w:bookmarkEnd w:id="744"/>
      <w:bookmarkStart w:id="745" w:name="_Toc143260771"/>
      <w:bookmarkEnd w:id="745"/>
      <w:bookmarkStart w:id="746" w:name="_Toc143355695"/>
      <w:bookmarkEnd w:id="746"/>
      <w:bookmarkStart w:id="747" w:name="_Toc143356872"/>
      <w:bookmarkEnd w:id="747"/>
      <w:bookmarkStart w:id="748" w:name="_Toc143099079"/>
      <w:bookmarkEnd w:id="748"/>
      <w:bookmarkStart w:id="749" w:name="_Toc143354262"/>
      <w:bookmarkEnd w:id="749"/>
      <w:bookmarkStart w:id="750" w:name="_Toc143358614"/>
      <w:bookmarkEnd w:id="750"/>
      <w:bookmarkStart w:id="751" w:name="_Toc142390977"/>
      <w:bookmarkEnd w:id="751"/>
      <w:bookmarkStart w:id="752" w:name="_Toc143358327"/>
      <w:bookmarkEnd w:id="752"/>
      <w:bookmarkStart w:id="753" w:name="_Toc143353015"/>
      <w:bookmarkEnd w:id="753"/>
      <w:bookmarkStart w:id="754" w:name="_Toc143353973"/>
      <w:bookmarkEnd w:id="754"/>
      <w:bookmarkStart w:id="755" w:name="_Toc143260768"/>
      <w:bookmarkEnd w:id="755"/>
      <w:bookmarkStart w:id="756" w:name="_Toc142466897"/>
      <w:bookmarkEnd w:id="756"/>
      <w:bookmarkStart w:id="757" w:name="_Toc143355115"/>
      <w:bookmarkEnd w:id="757"/>
      <w:bookmarkStart w:id="758" w:name="_Toc143099360"/>
      <w:bookmarkEnd w:id="758"/>
      <w:bookmarkStart w:id="759" w:name="_Toc143355118"/>
      <w:bookmarkEnd w:id="759"/>
      <w:bookmarkStart w:id="760" w:name="_Toc142403106"/>
      <w:bookmarkEnd w:id="760"/>
      <w:bookmarkStart w:id="761" w:name="_Toc143358321"/>
      <w:bookmarkEnd w:id="761"/>
      <w:bookmarkStart w:id="762" w:name="_Toc143358323"/>
      <w:bookmarkEnd w:id="762"/>
      <w:bookmarkStart w:id="763" w:name="_Toc142858821"/>
      <w:bookmarkEnd w:id="763"/>
      <w:bookmarkStart w:id="764" w:name="_Toc142390390"/>
      <w:bookmarkEnd w:id="764"/>
      <w:bookmarkStart w:id="765" w:name="_Toc143355983"/>
      <w:bookmarkEnd w:id="765"/>
      <w:bookmarkStart w:id="766" w:name="_Toc143352713"/>
      <w:bookmarkEnd w:id="766"/>
      <w:bookmarkStart w:id="767" w:name="_Toc143357448"/>
      <w:bookmarkEnd w:id="767"/>
      <w:bookmarkStart w:id="768" w:name="_Toc143352716"/>
      <w:bookmarkEnd w:id="768"/>
      <w:bookmarkStart w:id="769" w:name="_Toc143355405"/>
      <w:bookmarkEnd w:id="769"/>
      <w:bookmarkStart w:id="770" w:name="_Toc143355985"/>
      <w:bookmarkEnd w:id="770"/>
      <w:bookmarkStart w:id="771" w:name="_Toc142380891"/>
      <w:bookmarkEnd w:id="771"/>
      <w:bookmarkStart w:id="772" w:name="_Toc143355991"/>
      <w:bookmarkEnd w:id="772"/>
      <w:bookmarkStart w:id="773" w:name="_Toc143355693"/>
      <w:bookmarkEnd w:id="773"/>
      <w:bookmarkStart w:id="774" w:name="_Toc142391236"/>
      <w:bookmarkEnd w:id="774"/>
      <w:bookmarkStart w:id="775" w:name="_Toc142391241"/>
      <w:bookmarkEnd w:id="775"/>
      <w:bookmarkStart w:id="776" w:name="_Toc143354266"/>
      <w:bookmarkEnd w:id="776"/>
      <w:bookmarkStart w:id="777" w:name="_Toc142403103"/>
      <w:bookmarkEnd w:id="777"/>
      <w:bookmarkStart w:id="778" w:name="_Toc143356273"/>
      <w:bookmarkEnd w:id="778"/>
      <w:bookmarkStart w:id="779" w:name="_Toc143358610"/>
      <w:bookmarkEnd w:id="779"/>
      <w:bookmarkStart w:id="780" w:name="_Toc143356869"/>
      <w:bookmarkEnd w:id="780"/>
      <w:bookmarkStart w:id="781" w:name="_Toc143355114"/>
      <w:bookmarkEnd w:id="781"/>
      <w:bookmarkStart w:id="782" w:name="_Toc143353690"/>
      <w:bookmarkEnd w:id="782"/>
      <w:bookmarkStart w:id="783" w:name="_Toc143353012"/>
      <w:bookmarkEnd w:id="783"/>
      <w:bookmarkStart w:id="784" w:name="_Toc143358031"/>
      <w:bookmarkEnd w:id="784"/>
      <w:bookmarkStart w:id="785" w:name="_Toc142403107"/>
      <w:bookmarkEnd w:id="785"/>
      <w:bookmarkStart w:id="786" w:name="_Toc142495582"/>
      <w:bookmarkEnd w:id="786"/>
      <w:bookmarkStart w:id="787" w:name="_Toc143358033"/>
      <w:bookmarkEnd w:id="787"/>
      <w:bookmarkStart w:id="788" w:name="_Toc143099359"/>
      <w:bookmarkEnd w:id="788"/>
      <w:bookmarkStart w:id="789" w:name="_Toc142390976"/>
      <w:bookmarkEnd w:id="789"/>
      <w:bookmarkStart w:id="790" w:name="_Toc143355987"/>
      <w:bookmarkEnd w:id="790"/>
      <w:bookmarkStart w:id="791" w:name="_Toc143357158"/>
      <w:bookmarkEnd w:id="791"/>
      <w:bookmarkStart w:id="792" w:name="_Toc143099077"/>
      <w:bookmarkEnd w:id="792"/>
      <w:bookmarkStart w:id="793" w:name="_Toc142858816"/>
      <w:bookmarkEnd w:id="793"/>
      <w:bookmarkStart w:id="794" w:name="_Toc143354545"/>
      <w:bookmarkEnd w:id="794"/>
      <w:bookmarkStart w:id="795" w:name="_Toc143353972"/>
      <w:bookmarkEnd w:id="795"/>
      <w:bookmarkStart w:id="796" w:name="_Toc143358325"/>
      <w:bookmarkEnd w:id="796"/>
      <w:bookmarkStart w:id="797" w:name="_Toc142858819"/>
      <w:bookmarkEnd w:id="797"/>
      <w:bookmarkStart w:id="798" w:name="_Toc142402851"/>
      <w:bookmarkEnd w:id="798"/>
      <w:bookmarkStart w:id="799" w:name="_Toc143352712"/>
      <w:bookmarkEnd w:id="799"/>
      <w:bookmarkStart w:id="800" w:name="_Toc143358611"/>
      <w:bookmarkEnd w:id="800"/>
      <w:bookmarkStart w:id="801" w:name="_Toc142390395"/>
      <w:bookmarkEnd w:id="801"/>
      <w:bookmarkStart w:id="802" w:name="_Toc142495577"/>
      <w:bookmarkEnd w:id="802"/>
      <w:bookmarkStart w:id="803" w:name="_Toc142400637"/>
      <w:bookmarkEnd w:id="803"/>
      <w:bookmarkStart w:id="804" w:name="_Toc143352714"/>
      <w:bookmarkEnd w:id="804"/>
      <w:bookmarkStart w:id="805" w:name="_Toc143354831"/>
      <w:bookmarkEnd w:id="805"/>
      <w:bookmarkStart w:id="806" w:name="_Toc142466898"/>
      <w:bookmarkEnd w:id="806"/>
      <w:bookmarkStart w:id="807" w:name="_Toc142390981"/>
      <w:bookmarkEnd w:id="807"/>
      <w:bookmarkStart w:id="808" w:name="_Toc143099364"/>
      <w:bookmarkEnd w:id="808"/>
      <w:bookmarkStart w:id="809" w:name="_Toc142495578"/>
      <w:bookmarkEnd w:id="809"/>
      <w:bookmarkStart w:id="810" w:name="_Toc143355406"/>
      <w:bookmarkEnd w:id="810"/>
      <w:bookmarkStart w:id="811" w:name="_Toc142466902"/>
      <w:bookmarkEnd w:id="811"/>
      <w:bookmarkStart w:id="812" w:name="_Toc143356868"/>
      <w:bookmarkEnd w:id="812"/>
      <w:bookmarkStart w:id="813" w:name="_Toc143357450"/>
      <w:bookmarkEnd w:id="813"/>
      <w:bookmarkStart w:id="814" w:name="_Toc142400640"/>
      <w:bookmarkEnd w:id="814"/>
      <w:bookmarkStart w:id="815" w:name="_Toc143358029"/>
      <w:bookmarkEnd w:id="815"/>
      <w:bookmarkStart w:id="816" w:name="_Toc143357741"/>
      <w:bookmarkEnd w:id="816"/>
      <w:bookmarkStart w:id="817" w:name="_Toc143354261"/>
      <w:bookmarkEnd w:id="817"/>
      <w:bookmarkStart w:id="818" w:name="_Toc143354550"/>
      <w:bookmarkEnd w:id="818"/>
      <w:bookmarkStart w:id="819" w:name="_Toc142380890"/>
      <w:bookmarkEnd w:id="819"/>
      <w:bookmarkStart w:id="820" w:name="_Toc143357738"/>
      <w:bookmarkEnd w:id="820"/>
      <w:bookmarkStart w:id="821" w:name="_Toc142390979"/>
      <w:bookmarkEnd w:id="821"/>
      <w:bookmarkStart w:id="822" w:name="_Toc143356870"/>
      <w:bookmarkEnd w:id="822"/>
      <w:bookmarkStart w:id="823" w:name="_Toc143353976"/>
      <w:bookmarkEnd w:id="823"/>
      <w:bookmarkStart w:id="824" w:name="_Toc143353971"/>
      <w:bookmarkEnd w:id="824"/>
      <w:bookmarkStart w:id="825" w:name="_Toc143099074"/>
      <w:bookmarkEnd w:id="825"/>
      <w:bookmarkStart w:id="826" w:name="_Toc143357742"/>
      <w:bookmarkEnd w:id="826"/>
      <w:bookmarkStart w:id="827" w:name="_Toc142391240"/>
      <w:bookmarkEnd w:id="827"/>
      <w:bookmarkStart w:id="828" w:name="_Toc142390980"/>
      <w:bookmarkEnd w:id="828"/>
      <w:bookmarkStart w:id="829" w:name="_Toc143355988"/>
      <w:bookmarkEnd w:id="829"/>
      <w:bookmarkStart w:id="830" w:name="_Toc142402855"/>
      <w:bookmarkEnd w:id="830"/>
      <w:bookmarkStart w:id="831" w:name="_Toc143355408"/>
      <w:bookmarkEnd w:id="831"/>
      <w:bookmarkStart w:id="832" w:name="_Toc142402850"/>
      <w:bookmarkEnd w:id="832"/>
      <w:bookmarkStart w:id="833" w:name="_Toc142400638"/>
      <w:bookmarkEnd w:id="833"/>
      <w:bookmarkStart w:id="834" w:name="_Toc143357157"/>
      <w:bookmarkEnd w:id="834"/>
      <w:bookmarkStart w:id="835" w:name="_Toc143099362"/>
      <w:bookmarkEnd w:id="835"/>
      <w:bookmarkStart w:id="836" w:name="_Toc143260766"/>
      <w:bookmarkEnd w:id="836"/>
      <w:bookmarkStart w:id="837" w:name="_Toc143356874"/>
      <w:bookmarkEnd w:id="837"/>
      <w:bookmarkStart w:id="838" w:name="_Toc143355117"/>
      <w:bookmarkEnd w:id="838"/>
      <w:bookmarkStart w:id="839" w:name="_Toc143355404"/>
      <w:bookmarkEnd w:id="839"/>
      <w:bookmarkStart w:id="840" w:name="_Toc143354829"/>
      <w:bookmarkEnd w:id="840"/>
      <w:bookmarkStart w:id="841" w:name="_Toc142381158"/>
      <w:bookmarkEnd w:id="841"/>
      <w:bookmarkStart w:id="842" w:name="_Toc143353686"/>
      <w:bookmarkEnd w:id="842"/>
      <w:bookmarkStart w:id="843" w:name="_Toc143354548"/>
      <w:bookmarkEnd w:id="843"/>
      <w:bookmarkStart w:id="844" w:name="_Toc142381155"/>
      <w:bookmarkEnd w:id="844"/>
      <w:bookmarkStart w:id="845" w:name="_Toc143356563"/>
      <w:bookmarkEnd w:id="845"/>
      <w:bookmarkStart w:id="846" w:name="_Toc142391239"/>
      <w:bookmarkEnd w:id="846"/>
      <w:bookmarkStart w:id="847" w:name="_Toc143358322"/>
      <w:bookmarkEnd w:id="847"/>
      <w:bookmarkStart w:id="848" w:name="_Toc143353007"/>
      <w:bookmarkEnd w:id="848"/>
      <w:bookmarkStart w:id="849" w:name="_Toc143355113"/>
      <w:bookmarkEnd w:id="849"/>
      <w:bookmarkStart w:id="850" w:name="_Toc143357739"/>
      <w:bookmarkEnd w:id="850"/>
      <w:bookmarkStart w:id="851" w:name="_Toc143356566"/>
      <w:bookmarkEnd w:id="851"/>
      <w:bookmarkStart w:id="852" w:name="_Toc143353974"/>
      <w:bookmarkEnd w:id="852"/>
      <w:bookmarkStart w:id="853" w:name="_Toc143355696"/>
      <w:bookmarkEnd w:id="853"/>
      <w:bookmarkStart w:id="854" w:name="_Toc142390391"/>
      <w:bookmarkEnd w:id="854"/>
      <w:bookmarkStart w:id="855" w:name="_Toc143353975"/>
      <w:bookmarkEnd w:id="855"/>
      <w:bookmarkStart w:id="856" w:name="_Toc142403102"/>
      <w:bookmarkEnd w:id="856"/>
      <w:bookmarkStart w:id="857" w:name="_Toc142495580"/>
      <w:bookmarkEnd w:id="857"/>
      <w:bookmarkStart w:id="858" w:name="_Toc143355403"/>
      <w:bookmarkEnd w:id="858"/>
      <w:bookmarkStart w:id="859" w:name="_Toc143356567"/>
      <w:bookmarkEnd w:id="859"/>
      <w:bookmarkStart w:id="860" w:name="_Toc142380897"/>
      <w:bookmarkEnd w:id="860"/>
      <w:bookmarkStart w:id="861" w:name="_Toc143355697"/>
      <w:bookmarkEnd w:id="861"/>
      <w:bookmarkStart w:id="862" w:name="_Toc142381159"/>
      <w:bookmarkEnd w:id="862"/>
      <w:bookmarkStart w:id="863" w:name="_Toc143353685"/>
      <w:bookmarkEnd w:id="863"/>
      <w:bookmarkStart w:id="864" w:name="_Toc143354553"/>
      <w:bookmarkEnd w:id="864"/>
      <w:bookmarkStart w:id="865" w:name="_Toc143356278"/>
      <w:bookmarkEnd w:id="865"/>
      <w:bookmarkStart w:id="866" w:name="_Toc142400644"/>
      <w:bookmarkEnd w:id="866"/>
      <w:bookmarkStart w:id="867" w:name="_Toc142400642"/>
      <w:bookmarkEnd w:id="867"/>
      <w:bookmarkStart w:id="868" w:name="_Toc143358613"/>
      <w:bookmarkEnd w:id="868"/>
      <w:bookmarkStart w:id="869" w:name="_Toc142403109"/>
      <w:bookmarkEnd w:id="869"/>
      <w:bookmarkStart w:id="870" w:name="_Toc143355694"/>
      <w:bookmarkEnd w:id="870"/>
      <w:bookmarkStart w:id="871" w:name="_Toc142391237"/>
      <w:bookmarkEnd w:id="871"/>
      <w:bookmarkStart w:id="872" w:name="_Toc143357161"/>
      <w:bookmarkEnd w:id="872"/>
      <w:bookmarkStart w:id="873" w:name="_Toc142381160"/>
      <w:bookmarkEnd w:id="873"/>
      <w:bookmarkStart w:id="874" w:name="_Toc143357447"/>
      <w:bookmarkEnd w:id="874"/>
      <w:bookmarkStart w:id="875" w:name="_Toc142403104"/>
      <w:bookmarkEnd w:id="875"/>
      <w:bookmarkStart w:id="876" w:name="_Toc142391243"/>
      <w:bookmarkEnd w:id="876"/>
      <w:bookmarkStart w:id="877" w:name="_Toc142466904"/>
      <w:bookmarkEnd w:id="877"/>
      <w:bookmarkStart w:id="878" w:name="_Toc142858818"/>
      <w:bookmarkEnd w:id="878"/>
      <w:bookmarkStart w:id="879" w:name="_Toc142380893"/>
      <w:bookmarkEnd w:id="879"/>
      <w:bookmarkStart w:id="880" w:name="_Toc142380894"/>
      <w:bookmarkEnd w:id="880"/>
      <w:bookmarkStart w:id="881" w:name="_Toc143353008"/>
      <w:bookmarkEnd w:id="881"/>
      <w:bookmarkStart w:id="882" w:name="_Toc142381156"/>
      <w:bookmarkEnd w:id="882"/>
      <w:bookmarkStart w:id="883" w:name="_Toc143353010"/>
      <w:bookmarkEnd w:id="883"/>
      <w:bookmarkStart w:id="884" w:name="_Toc143260773"/>
      <w:bookmarkEnd w:id="884"/>
      <w:bookmarkStart w:id="885" w:name="_Toc143099363"/>
      <w:bookmarkEnd w:id="885"/>
      <w:bookmarkStart w:id="886" w:name="_Toc143354551"/>
      <w:bookmarkEnd w:id="886"/>
      <w:bookmarkStart w:id="887" w:name="_Toc143356871"/>
      <w:bookmarkEnd w:id="887"/>
      <w:bookmarkStart w:id="888" w:name="_Toc143358030"/>
      <w:bookmarkEnd w:id="888"/>
      <w:bookmarkStart w:id="889" w:name="_Toc142402853"/>
      <w:bookmarkEnd w:id="889"/>
      <w:bookmarkStart w:id="890" w:name="_Toc142403101"/>
      <w:bookmarkEnd w:id="890"/>
      <w:bookmarkStart w:id="891" w:name="_Toc143358319"/>
      <w:bookmarkEnd w:id="891"/>
      <w:bookmarkStart w:id="892" w:name="_Toc143354267"/>
      <w:bookmarkEnd w:id="892"/>
      <w:bookmarkStart w:id="893" w:name="_Toc143357744"/>
      <w:bookmarkEnd w:id="893"/>
      <w:bookmarkStart w:id="894" w:name="_Toc143357160"/>
      <w:bookmarkEnd w:id="894"/>
      <w:bookmarkStart w:id="895" w:name="_Toc142466901"/>
      <w:bookmarkEnd w:id="895"/>
      <w:bookmarkStart w:id="896" w:name="_Toc142402854"/>
      <w:bookmarkEnd w:id="896"/>
      <w:bookmarkStart w:id="897" w:name="_Toc143353688"/>
      <w:bookmarkEnd w:id="897"/>
      <w:bookmarkStart w:id="898" w:name="_Toc143355989"/>
      <w:bookmarkEnd w:id="898"/>
      <w:bookmarkStart w:id="899" w:name="_Toc143358032"/>
      <w:bookmarkEnd w:id="899"/>
      <w:bookmarkStart w:id="900" w:name="_Toc143260770"/>
      <w:bookmarkEnd w:id="900"/>
      <w:bookmarkStart w:id="901" w:name="_Toc143353979"/>
      <w:bookmarkEnd w:id="901"/>
      <w:bookmarkStart w:id="902" w:name="_Toc142466905"/>
      <w:bookmarkEnd w:id="902"/>
      <w:bookmarkStart w:id="903" w:name="_Toc142466900"/>
      <w:bookmarkEnd w:id="903"/>
      <w:bookmarkStart w:id="904" w:name="_Toc142390983"/>
      <w:bookmarkEnd w:id="904"/>
      <w:bookmarkStart w:id="905" w:name="_Toc143356277"/>
      <w:bookmarkEnd w:id="905"/>
      <w:bookmarkStart w:id="906" w:name="_Toc143357451"/>
      <w:bookmarkEnd w:id="906"/>
      <w:bookmarkStart w:id="907" w:name="_Toc143354835"/>
      <w:bookmarkEnd w:id="907"/>
      <w:bookmarkStart w:id="908" w:name="_Toc143356276"/>
      <w:bookmarkEnd w:id="908"/>
      <w:bookmarkStart w:id="909" w:name="_Toc143353014"/>
      <w:bookmarkEnd w:id="909"/>
      <w:bookmarkStart w:id="910" w:name="_Toc143354552"/>
      <w:bookmarkEnd w:id="910"/>
      <w:bookmarkStart w:id="911" w:name="_Toc143354833"/>
      <w:bookmarkEnd w:id="911"/>
      <w:bookmarkStart w:id="912" w:name="_Toc143355990"/>
      <w:bookmarkEnd w:id="912"/>
      <w:bookmarkStart w:id="913" w:name="_Toc142858823"/>
      <w:bookmarkEnd w:id="913"/>
      <w:bookmarkStart w:id="914" w:name="_Toc142858817"/>
      <w:bookmarkEnd w:id="914"/>
      <w:bookmarkStart w:id="915" w:name="_Toc143354549"/>
      <w:bookmarkEnd w:id="915"/>
      <w:bookmarkStart w:id="916" w:name="_Toc142495584"/>
      <w:bookmarkEnd w:id="916"/>
      <w:bookmarkStart w:id="917" w:name="_Toc143099081"/>
      <w:bookmarkEnd w:id="917"/>
      <w:bookmarkStart w:id="918" w:name="_Toc143099078"/>
      <w:bookmarkEnd w:id="918"/>
      <w:bookmarkStart w:id="919" w:name="_Toc142390393"/>
      <w:bookmarkEnd w:id="919"/>
      <w:bookmarkStart w:id="920" w:name="_Toc143355698"/>
      <w:bookmarkEnd w:id="920"/>
      <w:bookmarkStart w:id="921" w:name="_Toc143352718"/>
      <w:bookmarkEnd w:id="921"/>
      <w:bookmarkStart w:id="922" w:name="_Toc143260769"/>
      <w:bookmarkEnd w:id="922"/>
      <w:bookmarkStart w:id="923" w:name="_Toc143357746"/>
      <w:bookmarkEnd w:id="923"/>
      <w:bookmarkStart w:id="924" w:name="_Toc142400641"/>
      <w:bookmarkEnd w:id="924"/>
      <w:bookmarkStart w:id="925" w:name="_Toc142858820"/>
      <w:bookmarkEnd w:id="925"/>
      <w:bookmarkStart w:id="926" w:name="_Toc143355119"/>
      <w:bookmarkEnd w:id="926"/>
      <w:bookmarkStart w:id="927" w:name="_Toc143353689"/>
      <w:bookmarkEnd w:id="927"/>
      <w:bookmarkStart w:id="928" w:name="_Toc143354268"/>
      <w:bookmarkEnd w:id="928"/>
      <w:bookmarkStart w:id="929" w:name="_Toc143099075"/>
      <w:bookmarkEnd w:id="929"/>
      <w:bookmarkStart w:id="930" w:name="_Toc143356873"/>
      <w:bookmarkEnd w:id="930"/>
      <w:bookmarkStart w:id="931" w:name="_Toc142390394"/>
      <w:bookmarkEnd w:id="931"/>
      <w:bookmarkStart w:id="932" w:name="_Toc142495581"/>
      <w:bookmarkEnd w:id="932"/>
      <w:bookmarkStart w:id="933" w:name="_Toc143357745"/>
      <w:bookmarkEnd w:id="933"/>
      <w:bookmarkStart w:id="934" w:name="_Toc142380896"/>
      <w:bookmarkEnd w:id="934"/>
      <w:bookmarkStart w:id="935" w:name="_Toc143355407"/>
      <w:bookmarkEnd w:id="935"/>
      <w:bookmarkStart w:id="936" w:name="_Toc143355121"/>
      <w:bookmarkEnd w:id="936"/>
      <w:bookmarkStart w:id="937" w:name="_Toc143355409"/>
      <w:bookmarkEnd w:id="937"/>
      <w:bookmarkStart w:id="938" w:name="_Toc142403108"/>
      <w:bookmarkEnd w:id="938"/>
      <w:bookmarkStart w:id="939" w:name="_Toc143099365"/>
      <w:bookmarkEnd w:id="939"/>
      <w:bookmarkStart w:id="940" w:name="_Toc143355699"/>
      <w:bookmarkEnd w:id="940"/>
      <w:bookmarkStart w:id="941" w:name="_Toc143354836"/>
      <w:bookmarkEnd w:id="941"/>
      <w:bookmarkStart w:id="942" w:name="_Toc143354837"/>
      <w:bookmarkEnd w:id="942"/>
      <w:bookmarkStart w:id="943" w:name="_Toc143353977"/>
      <w:bookmarkEnd w:id="943"/>
      <w:bookmarkStart w:id="944" w:name="_Toc143357164"/>
      <w:bookmarkEnd w:id="944"/>
      <w:bookmarkStart w:id="945" w:name="_Toc143356570"/>
      <w:bookmarkEnd w:id="945"/>
      <w:bookmarkStart w:id="946" w:name="_Toc142858822"/>
      <w:bookmarkEnd w:id="946"/>
      <w:bookmarkStart w:id="947" w:name="_Toc143353692"/>
      <w:bookmarkEnd w:id="947"/>
      <w:bookmarkStart w:id="948" w:name="_Toc143352715"/>
      <w:bookmarkEnd w:id="948"/>
      <w:bookmarkStart w:id="949" w:name="_Toc143358035"/>
      <w:bookmarkEnd w:id="949"/>
      <w:bookmarkStart w:id="950" w:name="_Toc143353013"/>
      <w:bookmarkEnd w:id="950"/>
      <w:bookmarkStart w:id="951" w:name="_Toc143357163"/>
      <w:bookmarkEnd w:id="951"/>
      <w:bookmarkStart w:id="952" w:name="_Toc143356279"/>
      <w:bookmarkEnd w:id="952"/>
      <w:bookmarkStart w:id="953" w:name="_Toc143358036"/>
      <w:bookmarkEnd w:id="953"/>
      <w:bookmarkStart w:id="954" w:name="_Toc142466903"/>
      <w:bookmarkEnd w:id="954"/>
      <w:bookmarkStart w:id="955" w:name="_Toc143352717"/>
      <w:bookmarkEnd w:id="955"/>
      <w:bookmarkStart w:id="956" w:name="_Toc143354265"/>
      <w:bookmarkEnd w:id="956"/>
      <w:bookmarkStart w:id="957" w:name="_Toc143355986"/>
      <w:bookmarkEnd w:id="957"/>
      <w:bookmarkStart w:id="958" w:name="_Toc143358612"/>
      <w:bookmarkEnd w:id="958"/>
      <w:bookmarkStart w:id="959" w:name="_Toc143355700"/>
      <w:bookmarkEnd w:id="959"/>
      <w:bookmarkStart w:id="960" w:name="_Toc143099366"/>
      <w:bookmarkEnd w:id="960"/>
      <w:bookmarkStart w:id="961" w:name="_Toc143358326"/>
      <w:bookmarkEnd w:id="961"/>
      <w:bookmarkStart w:id="962" w:name="_Toc143358616"/>
      <w:bookmarkEnd w:id="962"/>
      <w:bookmarkStart w:id="963" w:name="_Toc143099082"/>
      <w:bookmarkEnd w:id="963"/>
      <w:bookmarkStart w:id="964" w:name="_Toc143356280"/>
      <w:bookmarkEnd w:id="964"/>
      <w:bookmarkStart w:id="965" w:name="_Toc143357455"/>
      <w:bookmarkEnd w:id="965"/>
      <w:bookmarkStart w:id="966" w:name="_Toc142390982"/>
      <w:bookmarkEnd w:id="966"/>
      <w:bookmarkStart w:id="967" w:name="_Toc143358615"/>
      <w:bookmarkEnd w:id="967"/>
      <w:bookmarkStart w:id="968" w:name="_Toc143357454"/>
      <w:bookmarkEnd w:id="968"/>
      <w:bookmarkStart w:id="969" w:name="_Toc143354264"/>
      <w:bookmarkEnd w:id="969"/>
      <w:bookmarkStart w:id="970" w:name="_Toc143356274"/>
      <w:bookmarkEnd w:id="970"/>
      <w:bookmarkStart w:id="971" w:name="_Toc142495585"/>
      <w:bookmarkEnd w:id="971"/>
      <w:bookmarkStart w:id="972" w:name="_Toc143356569"/>
      <w:bookmarkEnd w:id="972"/>
      <w:bookmarkStart w:id="973" w:name="_Toc142402857"/>
      <w:bookmarkEnd w:id="973"/>
      <w:bookmarkStart w:id="974" w:name="_Toc142380892"/>
      <w:bookmarkEnd w:id="974"/>
      <w:bookmarkStart w:id="975" w:name="_Toc142391244"/>
      <w:bookmarkEnd w:id="975"/>
      <w:bookmarkStart w:id="976" w:name="_Toc143353011"/>
      <w:bookmarkEnd w:id="976"/>
      <w:bookmarkStart w:id="977" w:name="_Toc144721883"/>
      <w:bookmarkEnd w:id="977"/>
      <w:bookmarkStart w:id="978" w:name="_Toc143355411"/>
      <w:bookmarkEnd w:id="978"/>
      <w:bookmarkStart w:id="979" w:name="_Toc142402856"/>
      <w:bookmarkEnd w:id="979"/>
      <w:bookmarkStart w:id="980" w:name="_Toc143353691"/>
      <w:bookmarkEnd w:id="980"/>
      <w:bookmarkStart w:id="981" w:name="_Toc143355701"/>
      <w:bookmarkEnd w:id="981"/>
      <w:bookmarkStart w:id="982" w:name="_Toc143353693"/>
      <w:bookmarkEnd w:id="982"/>
      <w:bookmarkStart w:id="983" w:name="_Toc142495583"/>
      <w:bookmarkEnd w:id="983"/>
      <w:bookmarkStart w:id="984" w:name="_Toc142381161"/>
      <w:bookmarkEnd w:id="984"/>
      <w:bookmarkStart w:id="985" w:name="_Toc143355410"/>
      <w:bookmarkEnd w:id="985"/>
      <w:bookmarkStart w:id="986" w:name="_Toc143099367"/>
      <w:bookmarkEnd w:id="986"/>
      <w:bookmarkStart w:id="987" w:name="_Toc142391242"/>
      <w:bookmarkEnd w:id="987"/>
      <w:bookmarkStart w:id="988" w:name="_Toc143354830"/>
      <w:bookmarkEnd w:id="988"/>
      <w:bookmarkStart w:id="989" w:name="_Toc143358618"/>
      <w:bookmarkEnd w:id="989"/>
      <w:bookmarkStart w:id="990" w:name="_Toc142381162"/>
      <w:bookmarkEnd w:id="990"/>
      <w:bookmarkStart w:id="991" w:name="_Toc143358320"/>
      <w:bookmarkEnd w:id="991"/>
      <w:bookmarkStart w:id="992" w:name="_Toc142400639"/>
      <w:bookmarkEnd w:id="992"/>
      <w:bookmarkStart w:id="993" w:name="_Toc143358617"/>
      <w:bookmarkEnd w:id="993"/>
      <w:bookmarkStart w:id="994" w:name="_Toc142390984"/>
      <w:bookmarkEnd w:id="994"/>
      <w:bookmarkStart w:id="995" w:name="_Toc142381163"/>
      <w:bookmarkEnd w:id="995"/>
      <w:bookmarkStart w:id="996" w:name="_Toc143358037"/>
      <w:bookmarkEnd w:id="996"/>
      <w:bookmarkStart w:id="997" w:name="_Toc143260774"/>
      <w:bookmarkEnd w:id="997"/>
      <w:bookmarkStart w:id="998" w:name="_Toc142495579"/>
      <w:bookmarkEnd w:id="998"/>
      <w:bookmarkStart w:id="999" w:name="_Toc142380898"/>
      <w:bookmarkEnd w:id="999"/>
      <w:bookmarkStart w:id="1000" w:name="_Toc143352719"/>
      <w:bookmarkEnd w:id="1000"/>
      <w:bookmarkStart w:id="1001" w:name="_Toc143260772"/>
      <w:bookmarkEnd w:id="1001"/>
      <w:bookmarkStart w:id="1002" w:name="_Toc143099080"/>
      <w:bookmarkEnd w:id="1002"/>
      <w:bookmarkStart w:id="1003" w:name="_Toc142403105"/>
      <w:bookmarkEnd w:id="1003"/>
      <w:bookmarkStart w:id="1004" w:name="_Toc143357743"/>
      <w:bookmarkEnd w:id="1004"/>
      <w:bookmarkStart w:id="1005" w:name="_Toc142858824"/>
      <w:bookmarkEnd w:id="1005"/>
      <w:bookmarkStart w:id="1006" w:name="_Toc142400643"/>
      <w:bookmarkEnd w:id="1006"/>
      <w:bookmarkStart w:id="1007" w:name="_Toc142390397"/>
      <w:bookmarkEnd w:id="1007"/>
      <w:bookmarkStart w:id="1008" w:name="_Toc142400645"/>
      <w:bookmarkEnd w:id="1008"/>
      <w:bookmarkStart w:id="1009" w:name="_Toc143357453"/>
      <w:bookmarkEnd w:id="1009"/>
      <w:bookmarkStart w:id="1010" w:name="_Toc143357159"/>
      <w:bookmarkEnd w:id="1010"/>
      <w:bookmarkStart w:id="1011" w:name="_Toc143357449"/>
      <w:bookmarkEnd w:id="1011"/>
      <w:bookmarkStart w:id="1012" w:name="_Toc142402858"/>
      <w:bookmarkEnd w:id="1012"/>
      <w:bookmarkStart w:id="1013" w:name="_Toc142390398"/>
      <w:bookmarkEnd w:id="1013"/>
      <w:bookmarkStart w:id="1014" w:name="_Toc143356875"/>
      <w:bookmarkEnd w:id="1014"/>
      <w:bookmarkStart w:id="1015" w:name="_Toc143260767"/>
      <w:bookmarkEnd w:id="1015"/>
      <w:bookmarkStart w:id="1016" w:name="_Toc144389937"/>
      <w:bookmarkEnd w:id="1016"/>
      <w:bookmarkStart w:id="1017" w:name="_Toc142466899"/>
      <w:bookmarkEnd w:id="1017"/>
      <w:bookmarkStart w:id="1018" w:name="_Toc142390978"/>
      <w:bookmarkEnd w:id="1018"/>
      <w:bookmarkStart w:id="1019" w:name="_Toc143353687"/>
      <w:bookmarkEnd w:id="1019"/>
      <w:bookmarkStart w:id="1020" w:name="_Toc143357452"/>
      <w:bookmarkEnd w:id="1020"/>
      <w:bookmarkStart w:id="1021" w:name="_Toc143354546"/>
      <w:bookmarkEnd w:id="1021"/>
      <w:bookmarkStart w:id="1022" w:name="_Toc143353978"/>
      <w:bookmarkEnd w:id="1022"/>
      <w:bookmarkStart w:id="1023" w:name="_Toc143357165"/>
      <w:bookmarkEnd w:id="1023"/>
      <w:bookmarkStart w:id="1024" w:name="_Toc143355984"/>
      <w:bookmarkEnd w:id="1024"/>
      <w:bookmarkStart w:id="1025" w:name="_Toc143358324"/>
      <w:bookmarkEnd w:id="1025"/>
      <w:bookmarkStart w:id="1026" w:name="_Toc143358034"/>
      <w:bookmarkEnd w:id="1026"/>
      <w:bookmarkStart w:id="1027" w:name="_Toc143354832"/>
      <w:bookmarkEnd w:id="1027"/>
      <w:bookmarkStart w:id="1028" w:name="_Toc143354269"/>
      <w:bookmarkEnd w:id="1028"/>
      <w:bookmarkStart w:id="1029" w:name="_Toc143356281"/>
      <w:bookmarkEnd w:id="1029"/>
      <w:bookmarkStart w:id="1030" w:name="_Toc141887887"/>
      <w:bookmarkStart w:id="1031" w:name="_Toc132305793"/>
      <w:bookmarkStart w:id="1032" w:name="_Toc29193"/>
      <w:r>
        <w:rPr>
          <w:rFonts w:hint="eastAsia"/>
        </w:rPr>
        <w:t>改善乡村人居环境与景观风貌</w:t>
      </w:r>
    </w:p>
    <w:p w14:paraId="289E2FEB">
      <w:pPr>
        <w:ind w:firstLine="600"/>
        <w:jc w:val="both"/>
      </w:pPr>
      <w:r>
        <w:rPr>
          <w:rFonts w:hint="eastAsia"/>
        </w:rPr>
        <w:t>建持续抓好“四沿”区域美丽乡村示范带建设，推动全县村庄逐级打造“干净整洁村”“美丽宜居村”“特色精品村”。推动环境综合整治，生活垃圾处理和生活污水治理。统筹乡村水、电、路等基础设施建设，抓好农村安全饮用水保障、推进城镇供水管网向农村延伸，加强道路亮化、绿化、景观化建设，完善农村公路绿道、步道和自行车专用道等慢行交通体系，加快通村公路与村内道路系统的衔接。推动乡村社区生活圈建设，适应老龄化发展态势，加快老年活动室等老年设施建设。因地制宜建设乡村综合文化中心、文化小广场、小公园等文体服务设施，持续提升居民的生活空间品质。</w:t>
      </w:r>
    </w:p>
    <w:p w14:paraId="53ABFDAE">
      <w:pPr>
        <w:ind w:firstLine="600"/>
        <w:jc w:val="both"/>
      </w:pPr>
      <w:r>
        <w:rPr>
          <w:rFonts w:hint="eastAsia"/>
        </w:rPr>
        <w:t>实施美丽乡村建设行动，统筹优化乡村规划、建设和发展，全面推进农房管控和风貌提升。倡导适于仁化特色的规划设计标准，农村建筑风貌突出特色性与地域性，追求乡野风貌、田园气息，建筑应尽量就地取材，并与自然环境相协调，营造丰富且错落有致使的乡村新面貌。妥善保护并活化利用好古村落、古民居、古树等历史文化景观保护，构建优美的农村生态环境体系，按需适当增加旅游、休闲等服务设施配套，满足乡村旅游发展需求，打造特色鲜明的美丽乡村环境。</w:t>
      </w:r>
    </w:p>
    <w:p w14:paraId="09C12370">
      <w:pPr>
        <w:pStyle w:val="5"/>
        <w:spacing w:before="163" w:after="163"/>
        <w:rPr>
          <w:b/>
        </w:rPr>
      </w:pPr>
      <w:bookmarkStart w:id="1033" w:name="_Toc143354840"/>
      <w:bookmarkEnd w:id="1033"/>
      <w:bookmarkStart w:id="1034" w:name="_Toc143355414"/>
      <w:bookmarkEnd w:id="1034"/>
      <w:bookmarkStart w:id="1035" w:name="_Toc143356878"/>
      <w:bookmarkEnd w:id="1035"/>
      <w:bookmarkStart w:id="1036" w:name="_Toc142495587"/>
      <w:bookmarkEnd w:id="1036"/>
      <w:bookmarkStart w:id="1037" w:name="_Toc143357168"/>
      <w:bookmarkEnd w:id="1037"/>
      <w:bookmarkStart w:id="1038" w:name="_Toc142466907"/>
      <w:bookmarkEnd w:id="1038"/>
      <w:bookmarkStart w:id="1039" w:name="_Toc143357749"/>
      <w:bookmarkEnd w:id="1039"/>
      <w:bookmarkStart w:id="1040" w:name="_Toc143358330"/>
      <w:bookmarkEnd w:id="1040"/>
      <w:bookmarkStart w:id="1041" w:name="_Toc143355124"/>
      <w:bookmarkEnd w:id="1041"/>
      <w:bookmarkStart w:id="1042" w:name="_Toc143356574"/>
      <w:bookmarkEnd w:id="1042"/>
      <w:bookmarkStart w:id="1043" w:name="_Toc143353696"/>
      <w:bookmarkEnd w:id="1043"/>
      <w:bookmarkStart w:id="1044" w:name="_Toc143358040"/>
      <w:bookmarkEnd w:id="1044"/>
      <w:bookmarkStart w:id="1045" w:name="_Toc143260777"/>
      <w:bookmarkEnd w:id="1045"/>
      <w:bookmarkStart w:id="1046" w:name="_Toc143354556"/>
      <w:bookmarkEnd w:id="1046"/>
      <w:bookmarkStart w:id="1047" w:name="_Toc143356284"/>
      <w:bookmarkEnd w:id="1047"/>
      <w:bookmarkStart w:id="1048" w:name="_Toc142858827"/>
      <w:bookmarkEnd w:id="1048"/>
      <w:bookmarkStart w:id="1049" w:name="_Toc143353982"/>
      <w:bookmarkEnd w:id="1049"/>
      <w:bookmarkStart w:id="1050" w:name="_Toc143354272"/>
      <w:bookmarkEnd w:id="1050"/>
      <w:bookmarkStart w:id="1051" w:name="_Toc143355704"/>
      <w:bookmarkEnd w:id="1051"/>
      <w:bookmarkStart w:id="1052" w:name="_Toc143358621"/>
      <w:bookmarkEnd w:id="1052"/>
      <w:bookmarkStart w:id="1053" w:name="_Toc143353018"/>
      <w:bookmarkEnd w:id="1053"/>
      <w:bookmarkStart w:id="1054" w:name="_Toc143355994"/>
      <w:bookmarkEnd w:id="1054"/>
      <w:bookmarkStart w:id="1055" w:name="_Toc143099085"/>
      <w:bookmarkEnd w:id="1055"/>
      <w:bookmarkStart w:id="1056" w:name="_Toc143099370"/>
      <w:bookmarkEnd w:id="1056"/>
      <w:bookmarkStart w:id="1057" w:name="_Toc143352722"/>
      <w:bookmarkEnd w:id="1057"/>
      <w:bookmarkStart w:id="1058" w:name="_Toc143357458"/>
      <w:bookmarkEnd w:id="1058"/>
      <w:bookmarkStart w:id="1059" w:name="_Toc167271388"/>
      <w:r>
        <w:rPr>
          <w:rFonts w:hint="eastAsia"/>
        </w:rPr>
        <w:t>保障乡村产业空间</w:t>
      </w:r>
      <w:bookmarkEnd w:id="1030"/>
      <w:bookmarkEnd w:id="1031"/>
      <w:bookmarkEnd w:id="1032"/>
      <w:bookmarkEnd w:id="1059"/>
    </w:p>
    <w:p w14:paraId="0808944C">
      <w:pPr>
        <w:pStyle w:val="6"/>
        <w:spacing w:before="163" w:after="163"/>
        <w:rPr>
          <w:b/>
        </w:rPr>
      </w:pPr>
      <w:bookmarkStart w:id="1060" w:name="_Toc143354274"/>
      <w:bookmarkEnd w:id="1060"/>
      <w:bookmarkStart w:id="1061" w:name="_Toc143353020"/>
      <w:bookmarkEnd w:id="1061"/>
      <w:bookmarkStart w:id="1062" w:name="_Toc142858829"/>
      <w:bookmarkEnd w:id="1062"/>
      <w:bookmarkStart w:id="1063" w:name="_Toc143352725"/>
      <w:bookmarkEnd w:id="1063"/>
      <w:bookmarkStart w:id="1064" w:name="_Toc143357752"/>
      <w:bookmarkEnd w:id="1064"/>
      <w:bookmarkStart w:id="1065" w:name="_Toc143357461"/>
      <w:bookmarkEnd w:id="1065"/>
      <w:bookmarkStart w:id="1066" w:name="_Toc143260779"/>
      <w:bookmarkEnd w:id="1066"/>
      <w:bookmarkStart w:id="1067" w:name="_Toc143358043"/>
      <w:bookmarkEnd w:id="1067"/>
      <w:bookmarkStart w:id="1068" w:name="_Toc143358042"/>
      <w:bookmarkEnd w:id="1068"/>
      <w:bookmarkStart w:id="1069" w:name="_Toc143358623"/>
      <w:bookmarkEnd w:id="1069"/>
      <w:bookmarkStart w:id="1070" w:name="_Toc143355417"/>
      <w:bookmarkEnd w:id="1070"/>
      <w:bookmarkStart w:id="1071" w:name="_Toc143355997"/>
      <w:bookmarkEnd w:id="1071"/>
      <w:bookmarkStart w:id="1072" w:name="_Toc143356576"/>
      <w:bookmarkEnd w:id="1072"/>
      <w:bookmarkStart w:id="1073" w:name="_Toc143355127"/>
      <w:bookmarkEnd w:id="1073"/>
      <w:bookmarkStart w:id="1074" w:name="_Toc143099372"/>
      <w:bookmarkEnd w:id="1074"/>
      <w:bookmarkStart w:id="1075" w:name="_Toc143354275"/>
      <w:bookmarkEnd w:id="1075"/>
      <w:bookmarkStart w:id="1076" w:name="_Toc143358333"/>
      <w:bookmarkEnd w:id="1076"/>
      <w:bookmarkStart w:id="1077" w:name="_Toc143357460"/>
      <w:bookmarkEnd w:id="1077"/>
      <w:bookmarkStart w:id="1078" w:name="_Toc142495590"/>
      <w:bookmarkEnd w:id="1078"/>
      <w:bookmarkStart w:id="1079" w:name="_Toc143353985"/>
      <w:bookmarkEnd w:id="1079"/>
      <w:bookmarkStart w:id="1080" w:name="_Toc143099088"/>
      <w:bookmarkEnd w:id="1080"/>
      <w:bookmarkStart w:id="1081" w:name="_Toc143353699"/>
      <w:bookmarkEnd w:id="1081"/>
      <w:bookmarkStart w:id="1082" w:name="_Toc143260780"/>
      <w:bookmarkEnd w:id="1082"/>
      <w:bookmarkStart w:id="1083" w:name="_Toc143352724"/>
      <w:bookmarkEnd w:id="1083"/>
      <w:bookmarkStart w:id="1084" w:name="_Toc143356880"/>
      <w:bookmarkEnd w:id="1084"/>
      <w:bookmarkStart w:id="1085" w:name="_Toc143357170"/>
      <w:bookmarkEnd w:id="1085"/>
      <w:bookmarkStart w:id="1086" w:name="_Toc143358624"/>
      <w:bookmarkEnd w:id="1086"/>
      <w:bookmarkStart w:id="1087" w:name="_Toc143354559"/>
      <w:bookmarkEnd w:id="1087"/>
      <w:bookmarkStart w:id="1088" w:name="_Toc143353698"/>
      <w:bookmarkEnd w:id="1088"/>
      <w:bookmarkStart w:id="1089" w:name="_Toc143355706"/>
      <w:bookmarkEnd w:id="1089"/>
      <w:bookmarkStart w:id="1090" w:name="_Toc143099373"/>
      <w:bookmarkEnd w:id="1090"/>
      <w:bookmarkStart w:id="1091" w:name="_Toc143357751"/>
      <w:bookmarkEnd w:id="1091"/>
      <w:bookmarkStart w:id="1092" w:name="_Toc143356286"/>
      <w:bookmarkEnd w:id="1092"/>
      <w:bookmarkStart w:id="1093" w:name="_Toc143355126"/>
      <w:bookmarkEnd w:id="1093"/>
      <w:bookmarkStart w:id="1094" w:name="_Toc143353021"/>
      <w:bookmarkEnd w:id="1094"/>
      <w:bookmarkStart w:id="1095" w:name="_Toc142495589"/>
      <w:bookmarkEnd w:id="1095"/>
      <w:bookmarkStart w:id="1096" w:name="_Toc143354558"/>
      <w:bookmarkEnd w:id="1096"/>
      <w:bookmarkStart w:id="1097" w:name="_Toc143356577"/>
      <w:bookmarkEnd w:id="1097"/>
      <w:bookmarkStart w:id="1098" w:name="_Toc143356881"/>
      <w:bookmarkEnd w:id="1098"/>
      <w:bookmarkStart w:id="1099" w:name="_Toc143356287"/>
      <w:bookmarkEnd w:id="1099"/>
      <w:bookmarkStart w:id="1100" w:name="_Toc143355416"/>
      <w:bookmarkEnd w:id="1100"/>
      <w:bookmarkStart w:id="1101" w:name="_Toc143353984"/>
      <w:bookmarkEnd w:id="1101"/>
      <w:bookmarkStart w:id="1102" w:name="_Toc143354843"/>
      <w:bookmarkEnd w:id="1102"/>
      <w:bookmarkStart w:id="1103" w:name="_Toc143354842"/>
      <w:bookmarkEnd w:id="1103"/>
      <w:bookmarkStart w:id="1104" w:name="_Toc143358332"/>
      <w:bookmarkEnd w:id="1104"/>
      <w:bookmarkStart w:id="1105" w:name="_Toc143099087"/>
      <w:bookmarkEnd w:id="1105"/>
      <w:bookmarkStart w:id="1106" w:name="_Toc142858830"/>
      <w:bookmarkEnd w:id="1106"/>
      <w:bookmarkStart w:id="1107" w:name="_Toc143355996"/>
      <w:bookmarkEnd w:id="1107"/>
      <w:bookmarkStart w:id="1108" w:name="_Toc143355707"/>
      <w:bookmarkEnd w:id="1108"/>
      <w:bookmarkStart w:id="1109" w:name="_Toc143357171"/>
      <w:bookmarkEnd w:id="1109"/>
      <w:bookmarkStart w:id="1110" w:name="_Toc132305795"/>
      <w:bookmarkStart w:id="1111" w:name="_Toc17426"/>
      <w:bookmarkStart w:id="1112" w:name="_Toc141887889"/>
      <w:r>
        <w:rPr>
          <w:rFonts w:hint="eastAsia"/>
        </w:rPr>
        <w:t>构建农业生产主</w:t>
      </w:r>
      <w:bookmarkEnd w:id="1110"/>
      <w:bookmarkEnd w:id="1111"/>
      <w:bookmarkEnd w:id="1112"/>
      <w:r>
        <w:rPr>
          <w:rFonts w:hint="eastAsia"/>
        </w:rPr>
        <w:t>产区</w:t>
      </w:r>
    </w:p>
    <w:p w14:paraId="64113ABB">
      <w:pPr>
        <w:ind w:firstLine="6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结合现状农业发展格局以及农业功能分区，按可生产种植生产的特色优势作物类型，构建有机水稻主产区、名优水果主产区、绿色蔬菜主产区、油料作物主产区、茶叶种植主产区、畜禽养殖主产区、林业生态主产区等七类农业生产主产区。</w:t>
      </w:r>
    </w:p>
    <w:p w14:paraId="0F72A21E">
      <w:pPr>
        <w:ind w:firstLine="6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有机水稻主产区主要分布在丹霞街道、扶溪、石塘、董塘等镇（街），建设集中连片的现代农业基地，重点发展以扶溪稻米为主的优质稻产业</w:t>
      </w:r>
      <w:r>
        <w:rPr>
          <w:color w:val="000000" w:themeColor="text1"/>
          <w14:textFill>
            <w14:solidFill>
              <w14:schemeClr w14:val="tx1"/>
            </w14:solidFill>
          </w14:textFill>
        </w:rPr>
        <w:t>。</w:t>
      </w:r>
    </w:p>
    <w:p w14:paraId="68C05F67">
      <w:pPr>
        <w:ind w:firstLine="6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名优水果主产区主要分布在丹霞街道、黄坑、周田、大桥等镇（街），推进以沙田柚、贡柑、砂糖桔等为主导的集水果加工、包装、流通销售于一体的省级柑橘产业园建设</w:t>
      </w:r>
      <w:r>
        <w:rPr>
          <w:color w:val="000000" w:themeColor="text1"/>
          <w14:textFill>
            <w14:solidFill>
              <w14:schemeClr w14:val="tx1"/>
            </w14:solidFill>
          </w14:textFill>
        </w:rPr>
        <w:t>。</w:t>
      </w:r>
    </w:p>
    <w:p w14:paraId="751AAB11">
      <w:pPr>
        <w:ind w:firstLine="6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绿色蔬菜主产区主要分布在董塘、周田等镇，推动蔬菜育苗向专业化、商品化、产业化方向发展，建设绿色蔬菜标准化示范基地</w:t>
      </w:r>
      <w:r>
        <w:rPr>
          <w:color w:val="000000" w:themeColor="text1"/>
          <w14:textFill>
            <w14:solidFill>
              <w14:schemeClr w14:val="tx1"/>
            </w14:solidFill>
          </w14:textFill>
        </w:rPr>
        <w:t>。</w:t>
      </w:r>
    </w:p>
    <w:p w14:paraId="4F7EBFA5">
      <w:pPr>
        <w:ind w:firstLine="6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油料作物主产区主要分布在董塘、周田等镇，重点推进油茶、花生等规模种植，做精做深油茶产业链条</w:t>
      </w:r>
      <w:r>
        <w:rPr>
          <w:color w:val="000000" w:themeColor="text1"/>
          <w14:textFill>
            <w14:solidFill>
              <w14:schemeClr w14:val="tx1"/>
            </w14:solidFill>
          </w14:textFill>
        </w:rPr>
        <w:t>。</w:t>
      </w:r>
    </w:p>
    <w:p w14:paraId="28ACEC72">
      <w:pPr>
        <w:ind w:firstLine="6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茶叶种植主产区主要分布在红山等镇，依托红山白毛茶创建省级茶叶产业园，打造茶文化休闲旅游基地</w:t>
      </w:r>
      <w:r>
        <w:rPr>
          <w:color w:val="000000" w:themeColor="text1"/>
          <w14:textFill>
            <w14:solidFill>
              <w14:schemeClr w14:val="tx1"/>
            </w14:solidFill>
          </w14:textFill>
        </w:rPr>
        <w:t>。</w:t>
      </w:r>
    </w:p>
    <w:p w14:paraId="60F3BE13">
      <w:pPr>
        <w:ind w:firstLine="6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畜禽养殖主产区主要分布在闻韶等镇，加快生猪产业园民生菜篮子工程建设，推进畜禽规模化生态化发展、高效率高产能生产和信息数据化管理</w:t>
      </w:r>
      <w:r>
        <w:rPr>
          <w:color w:val="000000" w:themeColor="text1"/>
          <w14:textFill>
            <w14:solidFill>
              <w14:schemeClr w14:val="tx1"/>
            </w14:solidFill>
          </w14:textFill>
        </w:rPr>
        <w:t>。</w:t>
      </w:r>
    </w:p>
    <w:p w14:paraId="29EF63A7">
      <w:pPr>
        <w:ind w:firstLine="600"/>
        <w:jc w:val="both"/>
      </w:pPr>
      <w:r>
        <w:rPr>
          <w:rFonts w:hint="eastAsia"/>
          <w:color w:val="000000" w:themeColor="text1"/>
          <w14:textFill>
            <w14:solidFill>
              <w14:schemeClr w14:val="tx1"/>
            </w14:solidFill>
          </w14:textFill>
        </w:rPr>
        <w:t>林业生态主产区主要分布在长江、城口、红山等镇，稳固发展毛竹，重点推进毛竹产业园建设，开发生态环保深加工产品。</w:t>
      </w:r>
    </w:p>
    <w:p w14:paraId="01273801">
      <w:pPr>
        <w:pStyle w:val="6"/>
        <w:spacing w:before="163" w:after="163"/>
        <w:rPr>
          <w:b/>
        </w:rPr>
      </w:pPr>
      <w:bookmarkStart w:id="1113" w:name="_Toc11778"/>
      <w:bookmarkStart w:id="1114" w:name="_Toc141887890"/>
      <w:bookmarkStart w:id="1115" w:name="_Toc132305796"/>
      <w:r>
        <w:rPr>
          <w:rFonts w:hint="eastAsia"/>
        </w:rPr>
        <w:t>支撑农业发展平台建设</w:t>
      </w:r>
      <w:bookmarkEnd w:id="1113"/>
    </w:p>
    <w:p w14:paraId="45499377">
      <w:pPr>
        <w:ind w:firstLine="600"/>
        <w:jc w:val="both"/>
        <w:rPr>
          <w:color w:val="000000" w:themeColor="text1"/>
          <w:highlight w:val="yellow"/>
          <w14:textFill>
            <w14:solidFill>
              <w14:schemeClr w14:val="tx1"/>
            </w14:solidFill>
          </w14:textFill>
        </w:rPr>
      </w:pPr>
      <w:r>
        <w:rPr>
          <w:rFonts w:hint="eastAsia"/>
          <w:color w:val="000000" w:themeColor="text1"/>
          <w14:textFill>
            <w14:solidFill>
              <w14:schemeClr w14:val="tx1"/>
            </w14:solidFill>
          </w14:textFill>
        </w:rPr>
        <w:t>按照</w:t>
      </w:r>
      <w:r>
        <w:rPr>
          <w:rFonts w:hint="eastAsia" w:ascii="仿宋_GB2312"/>
          <w:color w:val="000000" w:themeColor="text1"/>
          <w14:textFill>
            <w14:solidFill>
              <w14:schemeClr w14:val="tx1"/>
            </w14:solidFill>
          </w14:textFill>
        </w:rPr>
        <w:t>“</w:t>
      </w:r>
      <w:r>
        <w:rPr>
          <w:rFonts w:hint="eastAsia"/>
          <w:color w:val="000000" w:themeColor="text1"/>
          <w14:textFill>
            <w14:solidFill>
              <w14:schemeClr w14:val="tx1"/>
            </w14:solidFill>
          </w14:textFill>
        </w:rPr>
        <w:t>一县一园、一镇一业、一村一品</w:t>
      </w:r>
      <w:r>
        <w:rPr>
          <w:rFonts w:hint="eastAsia" w:ascii="仿宋_GB2312"/>
          <w:color w:val="000000" w:themeColor="text1"/>
          <w14:textFill>
            <w14:solidFill>
              <w14:schemeClr w14:val="tx1"/>
            </w14:solidFill>
          </w14:textFill>
        </w:rPr>
        <w:t>”</w:t>
      </w:r>
      <w:r>
        <w:rPr>
          <w:rFonts w:hint="eastAsia"/>
          <w:color w:val="000000" w:themeColor="text1"/>
          <w14:textFill>
            <w14:solidFill>
              <w14:schemeClr w14:val="tx1"/>
            </w14:solidFill>
          </w14:textFill>
        </w:rPr>
        <w:t>产业总体布局，</w:t>
      </w:r>
      <w:bookmarkStart w:id="1116" w:name="_Toc3504"/>
      <w:r>
        <w:rPr>
          <w:rFonts w:hint="eastAsia"/>
          <w:color w:val="000000" w:themeColor="text1"/>
          <w14:textFill>
            <w14:solidFill>
              <w14:schemeClr w14:val="tx1"/>
            </w14:solidFill>
          </w14:textFill>
        </w:rPr>
        <w:t>支撑</w:t>
      </w:r>
      <w:r>
        <w:rPr>
          <w:rFonts w:hint="eastAsia" w:ascii="仿宋_GB2312"/>
          <w:color w:val="000000" w:themeColor="text1"/>
          <w14:textFill>
            <w14:solidFill>
              <w14:schemeClr w14:val="tx1"/>
            </w14:solidFill>
          </w14:textFill>
        </w:rPr>
        <w:t>“</w:t>
      </w:r>
      <w:r>
        <w:rPr>
          <w:rFonts w:hint="eastAsia"/>
          <w:color w:val="000000" w:themeColor="text1"/>
          <w14:textFill>
            <w14:solidFill>
              <w14:schemeClr w14:val="tx1"/>
            </w14:solidFill>
          </w14:textFill>
        </w:rPr>
        <w:t>百县千镇万村高质量发展工程</w:t>
      </w:r>
      <w:r>
        <w:rPr>
          <w:rFonts w:hint="eastAsia" w:ascii="仿宋_GB2312"/>
          <w:color w:val="000000" w:themeColor="text1"/>
          <w14:textFill>
            <w14:solidFill>
              <w14:schemeClr w14:val="tx1"/>
            </w14:solidFill>
          </w14:textFill>
        </w:rPr>
        <w:t>”</w:t>
      </w:r>
      <w:r>
        <w:rPr>
          <w:rFonts w:hint="eastAsia"/>
          <w:color w:val="000000" w:themeColor="text1"/>
          <w14:textFill>
            <w14:solidFill>
              <w14:schemeClr w14:val="tx1"/>
            </w14:solidFill>
          </w14:textFill>
        </w:rPr>
        <w:t>。围绕仁化优势产业，推进特色农产品加工集聚区建设，建设一批农产品加工产业强镇，重点保障省级柑橘产业园、省级茶叶产业园、省级毛竹产业园建设。发展精致农业，对标</w:t>
      </w:r>
      <w:r>
        <w:rPr>
          <w:rFonts w:hint="eastAsia" w:ascii="仿宋_GB2312"/>
          <w:color w:val="000000" w:themeColor="text1"/>
          <w14:textFill>
            <w14:solidFill>
              <w14:schemeClr w14:val="tx1"/>
            </w14:solidFill>
          </w14:textFill>
        </w:rPr>
        <w:t>“</w:t>
      </w:r>
      <w:r>
        <w:rPr>
          <w:rFonts w:hint="eastAsia"/>
          <w:color w:val="000000" w:themeColor="text1"/>
          <w14:textFill>
            <w14:solidFill>
              <w14:schemeClr w14:val="tx1"/>
            </w14:solidFill>
          </w14:textFill>
        </w:rPr>
        <w:t>双区</w:t>
      </w:r>
      <w:r>
        <w:rPr>
          <w:rFonts w:hint="eastAsia" w:ascii="仿宋_GB2312"/>
          <w:color w:val="000000" w:themeColor="text1"/>
          <w14:textFill>
            <w14:solidFill>
              <w14:schemeClr w14:val="tx1"/>
            </w14:solidFill>
          </w14:textFill>
        </w:rPr>
        <w:t>”</w:t>
      </w:r>
      <w:r>
        <w:rPr>
          <w:rFonts w:hint="eastAsia"/>
          <w:color w:val="000000" w:themeColor="text1"/>
          <w14:textFill>
            <w14:solidFill>
              <w14:schemeClr w14:val="tx1"/>
            </w14:solidFill>
          </w14:textFill>
        </w:rPr>
        <w:t>优质农产品供应地，重点保障董塘、周田等镇的绿色蔬菜、供港澳蔬菜标准化示范基地建设；重点保障闻韶生猪产业园民生菜篮子工程建设，推动全县生猪产业转型升级、高质量发展；重点在丹霞街道、扶溪、石塘、董塘等镇（街）建设集中连片的现代农业基地。</w:t>
      </w:r>
    </w:p>
    <w:p w14:paraId="2C3D08B2">
      <w:pPr>
        <w:pStyle w:val="5"/>
        <w:spacing w:before="163" w:after="163"/>
        <w:rPr>
          <w:b/>
        </w:rPr>
      </w:pPr>
      <w:bookmarkStart w:id="1117" w:name="_Toc167271389"/>
      <w:r>
        <w:rPr>
          <w:rFonts w:hint="eastAsia"/>
        </w:rPr>
        <w:t>支撑城乡高质量融合发展</w:t>
      </w:r>
      <w:bookmarkEnd w:id="1116"/>
      <w:bookmarkEnd w:id="1117"/>
    </w:p>
    <w:p w14:paraId="531D32B5">
      <w:pPr>
        <w:pStyle w:val="6"/>
        <w:spacing w:before="163" w:after="163"/>
        <w:rPr>
          <w:b/>
        </w:rPr>
      </w:pPr>
      <w:bookmarkStart w:id="1118" w:name="_Toc143358338"/>
      <w:bookmarkEnd w:id="1118"/>
      <w:bookmarkStart w:id="1119" w:name="_Toc143355421"/>
      <w:bookmarkEnd w:id="1119"/>
      <w:bookmarkStart w:id="1120" w:name="_Toc143354564"/>
      <w:bookmarkEnd w:id="1120"/>
      <w:bookmarkStart w:id="1121" w:name="_Toc143354848"/>
      <w:bookmarkEnd w:id="1121"/>
      <w:bookmarkStart w:id="1122" w:name="_Toc143260785"/>
      <w:bookmarkEnd w:id="1122"/>
      <w:bookmarkStart w:id="1123" w:name="_Toc143353989"/>
      <w:bookmarkEnd w:id="1123"/>
      <w:bookmarkStart w:id="1124" w:name="_Toc143356886"/>
      <w:bookmarkEnd w:id="1124"/>
      <w:bookmarkStart w:id="1125" w:name="_Toc143354279"/>
      <w:bookmarkEnd w:id="1125"/>
      <w:bookmarkStart w:id="1126" w:name="_Toc143357756"/>
      <w:bookmarkEnd w:id="1126"/>
      <w:bookmarkStart w:id="1127" w:name="_Toc143356885"/>
      <w:bookmarkEnd w:id="1127"/>
      <w:bookmarkStart w:id="1128" w:name="_Toc142858835"/>
      <w:bookmarkEnd w:id="1128"/>
      <w:bookmarkStart w:id="1129" w:name="_Toc143357175"/>
      <w:bookmarkEnd w:id="1129"/>
      <w:bookmarkStart w:id="1130" w:name="_Toc143355422"/>
      <w:bookmarkEnd w:id="1130"/>
      <w:bookmarkStart w:id="1131" w:name="_Toc143357176"/>
      <w:bookmarkEnd w:id="1131"/>
      <w:bookmarkStart w:id="1132" w:name="_Toc143353025"/>
      <w:bookmarkEnd w:id="1132"/>
      <w:bookmarkStart w:id="1133" w:name="_Toc143354563"/>
      <w:bookmarkEnd w:id="1133"/>
      <w:bookmarkStart w:id="1134" w:name="_Toc143357465"/>
      <w:bookmarkEnd w:id="1134"/>
      <w:bookmarkStart w:id="1135" w:name="_Toc143099092"/>
      <w:bookmarkEnd w:id="1135"/>
      <w:bookmarkStart w:id="1136" w:name="_Toc143356291"/>
      <w:bookmarkEnd w:id="1136"/>
      <w:bookmarkStart w:id="1137" w:name="_Toc143352730"/>
      <w:bookmarkEnd w:id="1137"/>
      <w:bookmarkStart w:id="1138" w:name="_Toc142858834"/>
      <w:bookmarkEnd w:id="1138"/>
      <w:bookmarkStart w:id="1139" w:name="_Toc143354280"/>
      <w:bookmarkEnd w:id="1139"/>
      <w:bookmarkStart w:id="1140" w:name="_Toc143355712"/>
      <w:bookmarkEnd w:id="1140"/>
      <w:bookmarkStart w:id="1141" w:name="_Toc143358629"/>
      <w:bookmarkEnd w:id="1141"/>
      <w:bookmarkStart w:id="1142" w:name="_Toc143099377"/>
      <w:bookmarkEnd w:id="1142"/>
      <w:bookmarkStart w:id="1143" w:name="_Toc143356001"/>
      <w:bookmarkEnd w:id="1143"/>
      <w:bookmarkStart w:id="1144" w:name="_Toc143099378"/>
      <w:bookmarkEnd w:id="1144"/>
      <w:bookmarkStart w:id="1145" w:name="_Toc143358047"/>
      <w:bookmarkEnd w:id="1145"/>
      <w:bookmarkStart w:id="1146" w:name="_Toc143358048"/>
      <w:bookmarkEnd w:id="1146"/>
      <w:bookmarkStart w:id="1147" w:name="_Toc143357466"/>
      <w:bookmarkEnd w:id="1147"/>
      <w:bookmarkStart w:id="1148" w:name="_Toc143358337"/>
      <w:bookmarkEnd w:id="1148"/>
      <w:bookmarkStart w:id="1149" w:name="_Toc143357757"/>
      <w:bookmarkEnd w:id="1149"/>
      <w:bookmarkStart w:id="1150" w:name="_Toc143356582"/>
      <w:bookmarkEnd w:id="1150"/>
      <w:bookmarkStart w:id="1151" w:name="_Toc143355711"/>
      <w:bookmarkEnd w:id="1151"/>
      <w:bookmarkStart w:id="1152" w:name="_Toc143355132"/>
      <w:bookmarkEnd w:id="1152"/>
      <w:bookmarkStart w:id="1153" w:name="_Toc143354847"/>
      <w:bookmarkEnd w:id="1153"/>
      <w:bookmarkStart w:id="1154" w:name="_Toc143353990"/>
      <w:bookmarkEnd w:id="1154"/>
      <w:bookmarkStart w:id="1155" w:name="_Toc143352729"/>
      <w:bookmarkEnd w:id="1155"/>
      <w:bookmarkStart w:id="1156" w:name="_Toc143353703"/>
      <w:bookmarkEnd w:id="1156"/>
      <w:bookmarkStart w:id="1157" w:name="_Toc143356292"/>
      <w:bookmarkEnd w:id="1157"/>
      <w:bookmarkStart w:id="1158" w:name="_Toc143353704"/>
      <w:bookmarkEnd w:id="1158"/>
      <w:bookmarkStart w:id="1159" w:name="_Toc143353026"/>
      <w:bookmarkEnd w:id="1159"/>
      <w:bookmarkStart w:id="1160" w:name="_Toc143355131"/>
      <w:bookmarkEnd w:id="1160"/>
      <w:bookmarkStart w:id="1161" w:name="_Toc143358628"/>
      <w:bookmarkEnd w:id="1161"/>
      <w:bookmarkStart w:id="1162" w:name="_Toc143356581"/>
      <w:bookmarkEnd w:id="1162"/>
      <w:bookmarkStart w:id="1163" w:name="_Toc143356002"/>
      <w:bookmarkEnd w:id="1163"/>
      <w:bookmarkStart w:id="1164" w:name="_Toc143099093"/>
      <w:bookmarkEnd w:id="1164"/>
      <w:bookmarkStart w:id="1165" w:name="_Toc143260784"/>
      <w:bookmarkEnd w:id="1165"/>
      <w:r>
        <w:rPr>
          <w:rFonts w:hint="eastAsia"/>
        </w:rPr>
        <w:t>统筹城乡设施建设</w:t>
      </w:r>
    </w:p>
    <w:p w14:paraId="6D057A88">
      <w:pPr>
        <w:ind w:firstLine="600"/>
        <w:jc w:val="both"/>
        <w:rPr>
          <w:color w:val="000000" w:themeColor="text1"/>
          <w14:textFill>
            <w14:solidFill>
              <w14:schemeClr w14:val="tx1"/>
            </w14:solidFill>
          </w14:textFill>
        </w:rPr>
      </w:pPr>
      <w:r>
        <w:rPr>
          <w:rFonts w:hint="eastAsia"/>
        </w:rPr>
        <w:t>统筹县域城镇及村庄规划建设，促进城镇基础设施和公共服务设施向乡村延伸。</w:t>
      </w:r>
      <w:r>
        <w:rPr>
          <w:rFonts w:hint="eastAsia"/>
          <w:color w:val="000000" w:themeColor="text1"/>
          <w14:textFill>
            <w14:solidFill>
              <w14:schemeClr w14:val="tx1"/>
            </w14:solidFill>
          </w14:textFill>
        </w:rPr>
        <w:t>加快推动乡村基础设施提档升级，统筹供水、供电、信息、垃圾处理、污水处理等市政设施布局。完善城乡综合交通网络体系构建，提升城乡区域联通性和交通可达性，加快实现县乡村（户）道路联通、城乡道路客运一体化，实现城乡基础设施统一规划建设。</w:t>
      </w:r>
      <w:r>
        <w:rPr>
          <w:rFonts w:hint="eastAsia"/>
        </w:rPr>
        <w:t>结合城乡人口分布和流动趋势，合理配置教育、医疗、文化、体育、社会福利、“一老一小”养老托育等公共服务设施资源，</w:t>
      </w:r>
      <w:r>
        <w:rPr>
          <w:rFonts w:hint="eastAsia"/>
          <w:color w:val="000000" w:themeColor="text1"/>
          <w14:textFill>
            <w14:solidFill>
              <w14:schemeClr w14:val="tx1"/>
            </w14:solidFill>
          </w14:textFill>
        </w:rPr>
        <w:t>加强城乡基础公共服务均等化布局。</w:t>
      </w:r>
    </w:p>
    <w:p w14:paraId="0D628C8A">
      <w:pPr>
        <w:pStyle w:val="6"/>
        <w:spacing w:before="163" w:after="163"/>
        <w:rPr>
          <w:b/>
        </w:rPr>
      </w:pPr>
      <w:bookmarkStart w:id="1166" w:name="_Toc145277579"/>
      <w:bookmarkEnd w:id="1166"/>
      <w:bookmarkStart w:id="1167" w:name="_Toc145499910"/>
      <w:bookmarkEnd w:id="1167"/>
      <w:bookmarkStart w:id="1168" w:name="_Toc24241"/>
      <w:r>
        <w:rPr>
          <w:rFonts w:hint="eastAsia"/>
        </w:rPr>
        <w:t>加强产业</w:t>
      </w:r>
      <w:r>
        <w:t>融合</w:t>
      </w:r>
      <w:r>
        <w:rPr>
          <w:rFonts w:hint="eastAsia"/>
        </w:rPr>
        <w:t>发展</w:t>
      </w:r>
      <w:bookmarkEnd w:id="1114"/>
      <w:bookmarkEnd w:id="1115"/>
      <w:bookmarkEnd w:id="1168"/>
    </w:p>
    <w:p w14:paraId="45B931F2">
      <w:pPr>
        <w:ind w:firstLine="600"/>
        <w:jc w:val="both"/>
        <w:rPr>
          <w:color w:val="000000" w:themeColor="text1"/>
          <w14:textFill>
            <w14:solidFill>
              <w14:schemeClr w14:val="tx1"/>
            </w14:solidFill>
          </w14:textFill>
        </w:rPr>
      </w:pPr>
      <w:r>
        <w:rPr>
          <w:color w:val="000000" w:themeColor="text1"/>
          <w14:textFill>
            <w14:solidFill>
              <w14:schemeClr w14:val="tx1"/>
            </w14:solidFill>
          </w14:textFill>
        </w:rPr>
        <w:t>延伸农业产业链</w:t>
      </w:r>
      <w:r>
        <w:rPr>
          <w:rFonts w:hint="eastAsia"/>
          <w:color w:val="000000" w:themeColor="text1"/>
          <w14:textFill>
            <w14:solidFill>
              <w14:schemeClr w14:val="tx1"/>
            </w14:solidFill>
          </w14:textFill>
        </w:rPr>
        <w:t>。提升农业主导产业农产品精深加工能力，围绕长坝沙田柚、红山白毛茶、黄坑贡柑、长江腊鸭等农特产品，引进农产品精、深加工企业和冷链物流企业，建设标准化冷链库和加工包装基地。利用周田、黄坑两镇交通区位、资源优势和产业特色，建立农特产品加工、仓储、流通及展销、电商服务等配套基础设施。</w:t>
      </w:r>
    </w:p>
    <w:p w14:paraId="345C75BA">
      <w:pPr>
        <w:ind w:firstLine="600"/>
        <w:jc w:val="both"/>
        <w:rPr>
          <w:color w:val="000000" w:themeColor="text1"/>
          <w14:textFill>
            <w14:solidFill>
              <w14:schemeClr w14:val="tx1"/>
            </w14:solidFill>
          </w14:textFill>
        </w:rPr>
      </w:pPr>
      <w:r>
        <w:rPr>
          <w:color w:val="000000" w:themeColor="text1"/>
          <w14:textFill>
            <w14:solidFill>
              <w14:schemeClr w14:val="tx1"/>
            </w14:solidFill>
          </w14:textFill>
        </w:rPr>
        <w:t>促进乡村旅游</w:t>
      </w:r>
      <w:r>
        <w:rPr>
          <w:rFonts w:hint="eastAsia"/>
          <w:color w:val="000000" w:themeColor="text1"/>
          <w14:textFill>
            <w14:solidFill>
              <w14:schemeClr w14:val="tx1"/>
            </w14:solidFill>
          </w14:textFill>
        </w:rPr>
        <w:t>发展，优化提升观光路线。推进果蔬特色优势产业向休闲园区集中，强化周田灵溪河森林公园、大桥金</w:t>
      </w:r>
      <w:r>
        <w:rPr>
          <w:rFonts w:hint="eastAsia" w:ascii="仿宋" w:hAnsi="仿宋" w:eastAsia="仿宋" w:cs="微软雅黑"/>
          <w:color w:val="000000" w:themeColor="text1"/>
          <w14:textFill>
            <w14:solidFill>
              <w14:schemeClr w14:val="tx1"/>
            </w14:solidFill>
          </w14:textFill>
        </w:rPr>
        <w:t>喆</w:t>
      </w:r>
      <w:r>
        <w:rPr>
          <w:rFonts w:hint="eastAsia" w:ascii="仿宋_GB2312" w:hAnsi="仿宋_GB2312" w:cs="仿宋_GB2312"/>
          <w:color w:val="000000" w:themeColor="text1"/>
          <w14:textFill>
            <w14:solidFill>
              <w14:schemeClr w14:val="tx1"/>
            </w14:solidFill>
          </w14:textFill>
        </w:rPr>
        <w:t>园等一批生态休闲农业观光基地建设。围绕采摘游玩、农耕体验、科普认知、休闲度假等主题活动，扶持建设一批具有历史、地域、特色的休</w:t>
      </w:r>
      <w:r>
        <w:rPr>
          <w:rFonts w:hint="eastAsia"/>
          <w:color w:val="000000" w:themeColor="text1"/>
          <w14:textFill>
            <w14:solidFill>
              <w14:schemeClr w14:val="tx1"/>
            </w14:solidFill>
          </w14:textFill>
        </w:rPr>
        <w:t>闲农业与乡村旅游示范镇（点）。建设城乡融合全域交通干网，提升路网畅联度，积极建设精品农旅观光路线。发挥仁化旅游资源和特色农产品资源优势，结合丹霞山徒步活动、</w:t>
      </w:r>
      <w:r>
        <w:rPr>
          <w:rFonts w:hint="eastAsia" w:ascii="仿宋_GB2312"/>
          <w:color w:val="000000" w:themeColor="text1"/>
          <w14:textFill>
            <w14:solidFill>
              <w14:schemeClr w14:val="tx1"/>
            </w14:solidFill>
          </w14:textFill>
        </w:rPr>
        <w:t>“</w:t>
      </w:r>
      <w:r>
        <w:rPr>
          <w:rFonts w:hint="eastAsia"/>
          <w:color w:val="000000" w:themeColor="text1"/>
          <w14:textFill>
            <w14:solidFill>
              <w14:schemeClr w14:val="tx1"/>
            </w14:solidFill>
          </w14:textFill>
        </w:rPr>
        <w:t>旅游文化节</w:t>
      </w:r>
      <w:r>
        <w:rPr>
          <w:rFonts w:hint="eastAsia" w:ascii="仿宋_GB2312"/>
          <w:color w:val="000000" w:themeColor="text1"/>
          <w14:textFill>
            <w14:solidFill>
              <w14:schemeClr w14:val="tx1"/>
            </w14:solidFill>
          </w14:textFill>
        </w:rPr>
        <w:t>”</w:t>
      </w:r>
      <w:r>
        <w:rPr>
          <w:rFonts w:hint="eastAsia"/>
          <w:color w:val="000000" w:themeColor="text1"/>
          <w14:textFill>
            <w14:solidFill>
              <w14:schemeClr w14:val="tx1"/>
            </w14:solidFill>
          </w14:textFill>
        </w:rPr>
        <w:t>等活动，全方位营销仁化优质农产品，推动农旅融合。</w:t>
      </w:r>
    </w:p>
    <w:p w14:paraId="2FC55CE2">
      <w:pPr>
        <w:pStyle w:val="6"/>
        <w:spacing w:before="163" w:after="163"/>
        <w:rPr>
          <w:b/>
        </w:rPr>
      </w:pPr>
      <w:bookmarkStart w:id="1169" w:name="_Toc132400017"/>
      <w:bookmarkEnd w:id="1169"/>
      <w:bookmarkStart w:id="1170" w:name="_Toc132401800"/>
      <w:bookmarkEnd w:id="1170"/>
      <w:bookmarkStart w:id="1171" w:name="_Toc132402470"/>
      <w:bookmarkEnd w:id="1171"/>
      <w:bookmarkStart w:id="1172" w:name="_Toc132400909"/>
      <w:bookmarkEnd w:id="1172"/>
      <w:bookmarkStart w:id="1173" w:name="_Toc132400463"/>
      <w:bookmarkEnd w:id="1173"/>
      <w:bookmarkStart w:id="1174" w:name="_Toc132401354"/>
      <w:bookmarkEnd w:id="1174"/>
      <w:bookmarkStart w:id="1175" w:name="_Toc132400686"/>
      <w:bookmarkEnd w:id="1175"/>
      <w:bookmarkStart w:id="1176" w:name="_Toc132399794"/>
      <w:bookmarkEnd w:id="1176"/>
      <w:bookmarkStart w:id="1177" w:name="_Toc132403584"/>
      <w:bookmarkEnd w:id="1177"/>
      <w:bookmarkStart w:id="1178" w:name="_Toc132402246"/>
      <w:bookmarkEnd w:id="1178"/>
      <w:bookmarkStart w:id="1179" w:name="_Toc132402694"/>
      <w:bookmarkEnd w:id="1179"/>
      <w:bookmarkStart w:id="1180" w:name="_Toc132401131"/>
      <w:bookmarkEnd w:id="1180"/>
      <w:bookmarkStart w:id="1181" w:name="_Toc132469677"/>
      <w:bookmarkEnd w:id="1181"/>
      <w:bookmarkStart w:id="1182" w:name="_Toc132402023"/>
      <w:bookmarkEnd w:id="1182"/>
      <w:bookmarkStart w:id="1183" w:name="_Toc132400240"/>
      <w:bookmarkEnd w:id="1183"/>
      <w:bookmarkStart w:id="1184" w:name="_Toc132305801"/>
      <w:bookmarkStart w:id="1185" w:name="_Toc8726"/>
      <w:bookmarkStart w:id="1186" w:name="_Toc141887894"/>
      <w:r>
        <w:t>保障乡村振兴用地</w:t>
      </w:r>
      <w:r>
        <w:rPr>
          <w:rFonts w:hint="eastAsia"/>
        </w:rPr>
        <w:t>需求</w:t>
      </w:r>
    </w:p>
    <w:p w14:paraId="7E796156">
      <w:pPr>
        <w:ind w:firstLine="6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加强对乡村振兴建设用地统筹，每年安排不少于</w:t>
      </w:r>
      <w:r>
        <w:rPr>
          <w:rFonts w:ascii="Times New Roman" w:hAnsi="Times New Roman" w:cs="Times New Roman"/>
          <w:color w:val="000000" w:themeColor="text1"/>
          <w14:textFill>
            <w14:solidFill>
              <w14:schemeClr w14:val="tx1"/>
            </w14:solidFill>
          </w14:textFill>
        </w:rPr>
        <w:t>10%</w:t>
      </w:r>
      <w:r>
        <w:rPr>
          <w:color w:val="000000" w:themeColor="text1"/>
          <w14:textFill>
            <w14:solidFill>
              <w14:schemeClr w14:val="tx1"/>
            </w14:solidFill>
          </w14:textFill>
        </w:rPr>
        <w:t>的</w:t>
      </w:r>
      <w:r>
        <w:rPr>
          <w:rFonts w:hint="eastAsia"/>
          <w:color w:val="000000" w:themeColor="text1"/>
          <w14:textFill>
            <w14:solidFill>
              <w14:schemeClr w14:val="tx1"/>
            </w14:solidFill>
          </w14:textFill>
        </w:rPr>
        <w:t>新增</w:t>
      </w:r>
      <w:r>
        <w:rPr>
          <w:color w:val="000000" w:themeColor="text1"/>
          <w14:textFill>
            <w14:solidFill>
              <w14:schemeClr w14:val="tx1"/>
            </w14:solidFill>
          </w14:textFill>
        </w:rPr>
        <w:t>建设用地指标</w:t>
      </w:r>
      <w:r>
        <w:rPr>
          <w:rFonts w:hint="eastAsia"/>
          <w:color w:val="000000" w:themeColor="text1"/>
          <w14:textFill>
            <w14:solidFill>
              <w14:schemeClr w14:val="tx1"/>
            </w14:solidFill>
          </w14:textFill>
        </w:rPr>
        <w:t>，优先保障农村一二三产业融合发展、助农服务、农民群众急需的生活基础设施和公共服务设施等项目的建设</w:t>
      </w:r>
      <w:r>
        <w:rPr>
          <w:color w:val="000000" w:themeColor="text1"/>
          <w14:textFill>
            <w14:solidFill>
              <w14:schemeClr w14:val="tx1"/>
            </w14:solidFill>
          </w14:textFill>
        </w:rPr>
        <w:t>用地</w:t>
      </w:r>
      <w:r>
        <w:rPr>
          <w:rFonts w:hint="eastAsia"/>
          <w:color w:val="000000" w:themeColor="text1"/>
          <w14:textFill>
            <w14:solidFill>
              <w14:schemeClr w14:val="tx1"/>
            </w14:solidFill>
          </w14:textFill>
        </w:rPr>
        <w:t>需求。现代种养业、农产品加工流通业、乡村休闲旅游业、乡土特色产业、乡村信息产业及乡村新型服务业等乡村产业项目及其配套的基础设施和公共服务设施建设，确需在城镇开发边界外使用零星分散建设用地，且单个项目建设用地总面积不超过</w:t>
      </w:r>
      <w:r>
        <w:rPr>
          <w:rFonts w:ascii="Times New Roman" w:hAnsi="Times New Roman" w:cs="Times New Roman"/>
          <w:color w:val="000000" w:themeColor="text1"/>
          <w14:textFill>
            <w14:solidFill>
              <w14:schemeClr w14:val="tx1"/>
            </w14:solidFill>
          </w14:textFill>
        </w:rPr>
        <w:t>30</w:t>
      </w:r>
      <w:r>
        <w:rPr>
          <w:color w:val="000000" w:themeColor="text1"/>
          <w14:textFill>
            <w14:solidFill>
              <w14:schemeClr w14:val="tx1"/>
            </w14:solidFill>
          </w14:textFill>
        </w:rPr>
        <w:t>亩的，可实施点状供地。完善农村新增用地保障机制，镇级国土空间总体规划可预留一定比例的规划建设用地，用于农业农村发展</w:t>
      </w:r>
      <w:r>
        <w:rPr>
          <w:rFonts w:hint="eastAsia"/>
          <w:color w:val="000000" w:themeColor="text1"/>
          <w14:textFill>
            <w14:solidFill>
              <w14:schemeClr w14:val="tx1"/>
            </w14:solidFill>
          </w14:textFill>
        </w:rPr>
        <w:t>。</w:t>
      </w:r>
      <w:bookmarkStart w:id="1187" w:name="_Hlk167262147"/>
      <w:r>
        <w:rPr>
          <w:rFonts w:hint="eastAsia"/>
          <w:color w:val="000000" w:themeColor="text1"/>
          <w14:textFill>
            <w14:solidFill>
              <w14:schemeClr w14:val="tx1"/>
            </w14:solidFill>
          </w14:textFill>
        </w:rPr>
        <w:t>通过土地整治，将农村建设用地垦造为农用地后腾出的建设用地指标，应当按照国家和省有关规定优先用于土地整治项目所在村乡村振兴发展用地需求</w:t>
      </w:r>
      <w:bookmarkEnd w:id="1187"/>
      <w:r>
        <w:rPr>
          <w:rFonts w:hint="eastAsia"/>
          <w:color w:val="000000" w:themeColor="text1"/>
          <w14:textFill>
            <w14:solidFill>
              <w14:schemeClr w14:val="tx1"/>
            </w14:solidFill>
          </w14:textFill>
        </w:rPr>
        <w:t>。</w:t>
      </w:r>
    </w:p>
    <w:p w14:paraId="57849DCD">
      <w:pPr>
        <w:pStyle w:val="4"/>
        <w:spacing w:before="326" w:after="326"/>
        <w:ind w:firstLine="726"/>
        <w:rPr>
          <w:b w:val="0"/>
          <w:bCs w:val="0"/>
          <w:color w:val="000000" w:themeColor="text1"/>
          <w14:textFill>
            <w14:solidFill>
              <w14:schemeClr w14:val="tx1"/>
            </w14:solidFill>
          </w14:textFill>
        </w:rPr>
      </w:pPr>
      <w:bookmarkStart w:id="1188" w:name="_Toc167271390"/>
      <w:r>
        <w:rPr>
          <w:rFonts w:hint="eastAsia"/>
          <w:b w:val="0"/>
          <w:bCs w:val="0"/>
          <w:color w:val="000000" w:themeColor="text1"/>
          <w14:textFill>
            <w14:solidFill>
              <w14:schemeClr w14:val="tx1"/>
            </w14:solidFill>
          </w14:textFill>
        </w:rPr>
        <w:t>塑造</w:t>
      </w:r>
      <w:bookmarkEnd w:id="696"/>
      <w:bookmarkEnd w:id="697"/>
      <w:r>
        <w:rPr>
          <w:rFonts w:hint="eastAsia"/>
          <w:b w:val="0"/>
          <w:bCs w:val="0"/>
          <w:color w:val="000000" w:themeColor="text1"/>
          <w14:textFill>
            <w14:solidFill>
              <w14:schemeClr w14:val="tx1"/>
            </w14:solidFill>
          </w14:textFill>
        </w:rPr>
        <w:t>山明水秀的生态空间</w:t>
      </w:r>
      <w:bookmarkEnd w:id="1184"/>
      <w:bookmarkEnd w:id="1185"/>
      <w:bookmarkEnd w:id="1186"/>
      <w:bookmarkEnd w:id="1188"/>
    </w:p>
    <w:p w14:paraId="726A2CAA">
      <w:pPr>
        <w:pStyle w:val="5"/>
        <w:numPr>
          <w:ilvl w:val="1"/>
          <w:numId w:val="6"/>
        </w:numPr>
        <w:spacing w:before="163" w:after="163"/>
        <w:rPr>
          <w:b/>
        </w:rPr>
      </w:pPr>
      <w:bookmarkStart w:id="1189" w:name="_Toc167271391"/>
      <w:r>
        <w:rPr>
          <w:rFonts w:hint="eastAsia"/>
        </w:rPr>
        <w:t>生态保护格局与管控要求</w:t>
      </w:r>
      <w:bookmarkEnd w:id="1189"/>
    </w:p>
    <w:p w14:paraId="28315E05">
      <w:pPr>
        <w:pStyle w:val="6"/>
        <w:spacing w:before="163" w:after="163"/>
        <w:rPr>
          <w:b/>
        </w:rPr>
      </w:pPr>
      <w:bookmarkStart w:id="1190" w:name="_Toc132305803"/>
      <w:bookmarkStart w:id="1191" w:name="_Toc141887896"/>
      <w:bookmarkStart w:id="1192" w:name="_Toc32349"/>
      <w:bookmarkStart w:id="1193" w:name="_Toc27928"/>
      <w:bookmarkStart w:id="1194" w:name="_Toc132305805"/>
      <w:bookmarkStart w:id="1195" w:name="_Toc141887898"/>
      <w:r>
        <w:rPr>
          <w:rFonts w:hint="eastAsia"/>
        </w:rPr>
        <w:t>筑牢生态保护格局</w:t>
      </w:r>
      <w:bookmarkEnd w:id="1190"/>
      <w:bookmarkEnd w:id="1191"/>
      <w:bookmarkEnd w:id="1192"/>
    </w:p>
    <w:p w14:paraId="5E486DC4">
      <w:pPr>
        <w:ind w:firstLine="600"/>
        <w:jc w:val="both"/>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落实韶关</w:t>
      </w:r>
      <w:r>
        <w:rPr>
          <w:rFonts w:hint="eastAsia" w:ascii="仿宋_GB2312"/>
          <w:color w:val="000000" w:themeColor="text1"/>
          <w14:textFill>
            <w14:solidFill>
              <w14:schemeClr w14:val="tx1"/>
            </w14:solidFill>
          </w14:textFill>
        </w:rPr>
        <w:t>“</w:t>
      </w:r>
      <w:r>
        <w:rPr>
          <w:rFonts w:hint="eastAsia"/>
          <w:color w:val="000000" w:themeColor="text1"/>
          <w14:textFill>
            <w14:solidFill>
              <w14:schemeClr w14:val="tx1"/>
            </w14:solidFill>
          </w14:textFill>
        </w:rPr>
        <w:t>三屏多廊、两核</w:t>
      </w:r>
      <w:r>
        <w:rPr>
          <w:rFonts w:hint="eastAsia" w:ascii="仿宋_GB2312"/>
          <w:color w:val="000000" w:themeColor="text1"/>
          <w14:textFill>
            <w14:solidFill>
              <w14:schemeClr w14:val="tx1"/>
            </w14:solidFill>
          </w14:textFill>
        </w:rPr>
        <w:t>多节点”的</w:t>
      </w:r>
      <w:r>
        <w:rPr>
          <w:rFonts w:ascii="仿宋_GB2312"/>
          <w:color w:val="000000" w:themeColor="text1"/>
          <w14:textFill>
            <w14:solidFill>
              <w14:schemeClr w14:val="tx1"/>
            </w14:solidFill>
          </w14:textFill>
        </w:rPr>
        <w:t>生态</w:t>
      </w:r>
      <w:r>
        <w:rPr>
          <w:rFonts w:hint="eastAsia" w:ascii="仿宋_GB2312"/>
          <w:color w:val="000000" w:themeColor="text1"/>
          <w14:textFill>
            <w14:solidFill>
              <w14:schemeClr w14:val="tx1"/>
            </w14:solidFill>
          </w14:textFill>
        </w:rPr>
        <w:t>安全</w:t>
      </w:r>
      <w:r>
        <w:rPr>
          <w:rFonts w:ascii="仿宋_GB2312"/>
          <w:color w:val="000000" w:themeColor="text1"/>
          <w14:textFill>
            <w14:solidFill>
              <w14:schemeClr w14:val="tx1"/>
            </w14:solidFill>
          </w14:textFill>
        </w:rPr>
        <w:t>格局</w:t>
      </w:r>
      <w:r>
        <w:rPr>
          <w:rFonts w:hint="eastAsia" w:ascii="仿宋_GB2312"/>
          <w:color w:val="000000" w:themeColor="text1"/>
          <w14:textFill>
            <w14:solidFill>
              <w14:schemeClr w14:val="tx1"/>
            </w14:solidFill>
          </w14:textFill>
        </w:rPr>
        <w:t>要求，规划</w:t>
      </w:r>
      <w:r>
        <w:rPr>
          <w:rFonts w:ascii="仿宋_GB2312"/>
          <w:color w:val="000000" w:themeColor="text1"/>
          <w14:textFill>
            <w14:solidFill>
              <w14:schemeClr w14:val="tx1"/>
            </w14:solidFill>
          </w14:textFill>
        </w:rPr>
        <w:t>构建</w:t>
      </w:r>
      <w:r>
        <w:rPr>
          <w:rFonts w:hint="eastAsia" w:ascii="仿宋_GB2312"/>
          <w:color w:val="000000" w:themeColor="text1"/>
          <w14:textFill>
            <w14:solidFill>
              <w14:schemeClr w14:val="tx1"/>
            </w14:solidFill>
          </w14:textFill>
        </w:rPr>
        <w:t>“</w:t>
      </w:r>
      <w:r>
        <w:rPr>
          <w:rFonts w:ascii="仿宋_GB2312"/>
          <w:color w:val="000000" w:themeColor="text1"/>
          <w14:textFill>
            <w14:solidFill>
              <w14:schemeClr w14:val="tx1"/>
            </w14:solidFill>
          </w14:textFill>
        </w:rPr>
        <w:t>一</w:t>
      </w:r>
      <w:r>
        <w:rPr>
          <w:rFonts w:hint="eastAsia" w:ascii="仿宋_GB2312"/>
          <w:color w:val="000000" w:themeColor="text1"/>
          <w14:textFill>
            <w14:solidFill>
              <w14:schemeClr w14:val="tx1"/>
            </w14:solidFill>
          </w14:textFill>
        </w:rPr>
        <w:t>核</w:t>
      </w:r>
      <w:r>
        <w:rPr>
          <w:rFonts w:ascii="仿宋_GB2312"/>
          <w:color w:val="000000" w:themeColor="text1"/>
          <w14:textFill>
            <w14:solidFill>
              <w14:schemeClr w14:val="tx1"/>
            </w14:solidFill>
          </w14:textFill>
        </w:rPr>
        <w:t>系</w:t>
      </w:r>
      <w:r>
        <w:rPr>
          <w:rFonts w:hint="eastAsia" w:ascii="仿宋_GB2312"/>
          <w:color w:val="000000" w:themeColor="text1"/>
          <w14:textFill>
            <w14:solidFill>
              <w14:schemeClr w14:val="tx1"/>
            </w14:solidFill>
          </w14:textFill>
        </w:rPr>
        <w:t>两</w:t>
      </w:r>
      <w:r>
        <w:rPr>
          <w:rFonts w:ascii="仿宋_GB2312"/>
          <w:color w:val="000000" w:themeColor="text1"/>
          <w14:textFill>
            <w14:solidFill>
              <w14:schemeClr w14:val="tx1"/>
            </w14:solidFill>
          </w14:textFill>
        </w:rPr>
        <w:t>廊、三区衔</w:t>
      </w:r>
      <w:r>
        <w:rPr>
          <w:rFonts w:hint="eastAsia" w:ascii="仿宋_GB2312"/>
          <w:color w:val="000000" w:themeColor="text1"/>
          <w14:textFill>
            <w14:solidFill>
              <w14:schemeClr w14:val="tx1"/>
            </w14:solidFill>
          </w14:textFill>
        </w:rPr>
        <w:t>多</w:t>
      </w:r>
      <w:r>
        <w:rPr>
          <w:rFonts w:ascii="仿宋_GB2312"/>
          <w:color w:val="000000" w:themeColor="text1"/>
          <w14:textFill>
            <w14:solidFill>
              <w14:schemeClr w14:val="tx1"/>
            </w14:solidFill>
          </w14:textFill>
        </w:rPr>
        <w:t>园</w:t>
      </w:r>
      <w:r>
        <w:rPr>
          <w:rFonts w:hint="eastAsia" w:ascii="仿宋_GB2312"/>
          <w:color w:val="000000" w:themeColor="text1"/>
          <w14:textFill>
            <w14:solidFill>
              <w14:schemeClr w14:val="tx1"/>
            </w14:solidFill>
          </w14:textFill>
        </w:rPr>
        <w:t>”</w:t>
      </w:r>
      <w:r>
        <w:rPr>
          <w:rFonts w:ascii="仿宋_GB2312"/>
          <w:color w:val="000000" w:themeColor="text1"/>
          <w14:textFill>
            <w14:solidFill>
              <w14:schemeClr w14:val="tx1"/>
            </w14:solidFill>
          </w14:textFill>
        </w:rPr>
        <w:t>的生态保护格局</w:t>
      </w:r>
      <w:r>
        <w:rPr>
          <w:rFonts w:hint="eastAsia" w:ascii="仿宋_GB2312"/>
          <w:color w:val="000000" w:themeColor="text1"/>
          <w14:textFill>
            <w14:solidFill>
              <w14:schemeClr w14:val="tx1"/>
            </w14:solidFill>
          </w14:textFill>
        </w:rPr>
        <w:t>。</w:t>
      </w:r>
    </w:p>
    <w:p w14:paraId="0C0C7CD5">
      <w:pPr>
        <w:ind w:firstLine="600"/>
        <w:jc w:val="both"/>
        <w:rPr>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“一核”</w:t>
      </w:r>
      <w:r>
        <w:rPr>
          <w:rFonts w:hint="eastAsia"/>
          <w:color w:val="000000" w:themeColor="text1"/>
          <w14:textFill>
            <w14:solidFill>
              <w14:schemeClr w14:val="tx1"/>
            </w14:solidFill>
          </w14:textFill>
        </w:rPr>
        <w:t>指世界自然遗产</w:t>
      </w:r>
      <w:r>
        <w:rPr>
          <w:color w:val="000000" w:themeColor="text1"/>
          <w14:textFill>
            <w14:solidFill>
              <w14:schemeClr w14:val="tx1"/>
            </w14:solidFill>
          </w14:textFill>
        </w:rPr>
        <w:t>丹霞山</w:t>
      </w:r>
      <w:r>
        <w:rPr>
          <w:rFonts w:hint="eastAsia"/>
          <w:color w:val="000000" w:themeColor="text1"/>
          <w14:textFill>
            <w14:solidFill>
              <w14:schemeClr w14:val="tx1"/>
            </w14:solidFill>
          </w14:textFill>
        </w:rPr>
        <w:t>。严格保护丹霞地质地貌，维护景观、文化与生物多样性等价值，推进丹霞山国家公园创建。</w:t>
      </w:r>
    </w:p>
    <w:p w14:paraId="319E7A8A">
      <w:pPr>
        <w:ind w:firstLine="600"/>
        <w:jc w:val="both"/>
        <w:rPr>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“两廊”</w:t>
      </w:r>
      <w:r>
        <w:rPr>
          <w:rFonts w:hint="eastAsia"/>
          <w:color w:val="000000" w:themeColor="text1"/>
          <w14:textFill>
            <w14:solidFill>
              <w14:schemeClr w14:val="tx1"/>
            </w14:solidFill>
          </w14:textFill>
        </w:rPr>
        <w:t>指锦江、浈江两条自然水系形成的生态廊道，保障重要流域水源涵养、水土保持、生物栖息等综合功能。</w:t>
      </w:r>
    </w:p>
    <w:p w14:paraId="2074917B">
      <w:pPr>
        <w:ind w:firstLine="600"/>
        <w:jc w:val="both"/>
        <w:rPr>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“三区”</w:t>
      </w:r>
      <w:r>
        <w:rPr>
          <w:rFonts w:hint="eastAsia"/>
          <w:color w:val="000000" w:themeColor="text1"/>
          <w14:textFill>
            <w14:solidFill>
              <w14:schemeClr w14:val="tx1"/>
            </w14:solidFill>
          </w14:textFill>
        </w:rPr>
        <w:t>指广东韶关丹霞山国家级自然保护区、韶关华南虎地方级自然保护区、韶关仁化高坪地方级自然保护区。以南岭山脉为基础，维育自然保护区生态空间，延续区域生态脉络，筑牢粤北生态屏障。</w:t>
      </w:r>
    </w:p>
    <w:p w14:paraId="78E2ABBA">
      <w:pPr>
        <w:ind w:firstLine="600"/>
        <w:jc w:val="both"/>
        <w:rPr>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“多园”</w:t>
      </w:r>
      <w:r>
        <w:rPr>
          <w:rFonts w:hint="eastAsia"/>
          <w:color w:val="000000" w:themeColor="text1"/>
          <w14:textFill>
            <w14:solidFill>
              <w14:schemeClr w14:val="tx1"/>
            </w14:solidFill>
          </w14:textFill>
        </w:rPr>
        <w:t>指韶关仁化地方级森林自然公园等八处自然公园，仁化锦江湖湿地公园、仁化澌溪湖湿地公园两处湿地公园，持续保护和改善自然生态系统</w:t>
      </w:r>
      <w:r>
        <w:rPr>
          <w:color w:val="000000" w:themeColor="text1"/>
          <w14:textFill>
            <w14:solidFill>
              <w14:schemeClr w14:val="tx1"/>
            </w14:solidFill>
          </w14:textFill>
        </w:rPr>
        <w:t>环境</w:t>
      </w:r>
      <w:r>
        <w:rPr>
          <w:rFonts w:hint="eastAsia"/>
          <w:color w:val="000000" w:themeColor="text1"/>
          <w14:textFill>
            <w14:solidFill>
              <w14:schemeClr w14:val="tx1"/>
            </w14:solidFill>
          </w14:textFill>
        </w:rPr>
        <w:t>、推进</w:t>
      </w:r>
      <w:r>
        <w:rPr>
          <w:color w:val="000000" w:themeColor="text1"/>
          <w14:textFill>
            <w14:solidFill>
              <w14:schemeClr w14:val="tx1"/>
            </w14:solidFill>
          </w14:textFill>
        </w:rPr>
        <w:t>水源涵养</w:t>
      </w:r>
      <w:r>
        <w:rPr>
          <w:rFonts w:hint="eastAsia"/>
          <w:color w:val="000000" w:themeColor="text1"/>
          <w14:textFill>
            <w14:solidFill>
              <w14:schemeClr w14:val="tx1"/>
            </w14:solidFill>
          </w14:textFill>
        </w:rPr>
        <w:t>与</w:t>
      </w:r>
      <w:r>
        <w:rPr>
          <w:color w:val="000000" w:themeColor="text1"/>
          <w14:textFill>
            <w14:solidFill>
              <w14:schemeClr w14:val="tx1"/>
            </w14:solidFill>
          </w14:textFill>
        </w:rPr>
        <w:t>水土保持</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维护生物多样性和生态平衡</w:t>
      </w:r>
      <w:r>
        <w:rPr>
          <w:rFonts w:hint="eastAsia"/>
          <w:color w:val="000000" w:themeColor="text1"/>
          <w14:textFill>
            <w14:solidFill>
              <w14:schemeClr w14:val="tx1"/>
            </w14:solidFill>
          </w14:textFill>
        </w:rPr>
        <w:t>。</w:t>
      </w:r>
    </w:p>
    <w:p w14:paraId="4ADBA029">
      <w:pPr>
        <w:pStyle w:val="6"/>
        <w:spacing w:before="163" w:after="163"/>
        <w:rPr>
          <w:b/>
        </w:rPr>
      </w:pPr>
      <w:r>
        <w:rPr>
          <w:rFonts w:hint="eastAsia"/>
        </w:rPr>
        <w:t>建立以国家公园为主体的自然保护地体系</w:t>
      </w:r>
      <w:bookmarkEnd w:id="1193"/>
      <w:bookmarkEnd w:id="1194"/>
      <w:bookmarkEnd w:id="1195"/>
    </w:p>
    <w:p w14:paraId="02331399">
      <w:pPr>
        <w:ind w:firstLine="6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形成以丹霞山国家公园（拟创建）为主体，自然保护区为基础，各类自然公园为补充的自然保护地体系。全县</w:t>
      </w:r>
      <w:r>
        <w:rPr>
          <w:color w:val="000000" w:themeColor="text1"/>
          <w14:textFill>
            <w14:solidFill>
              <w14:schemeClr w14:val="tx1"/>
            </w14:solidFill>
          </w14:textFill>
        </w:rPr>
        <w:t>共</w:t>
      </w:r>
      <w:r>
        <w:rPr>
          <w:rFonts w:ascii="Times New Roman" w:hAnsi="Times New Roman" w:cs="Times New Roman"/>
          <w:color w:val="000000" w:themeColor="text1"/>
          <w14:textFill>
            <w14:solidFill>
              <w14:schemeClr w14:val="tx1"/>
            </w14:solidFill>
          </w14:textFill>
        </w:rPr>
        <w:t>11</w:t>
      </w:r>
      <w:r>
        <w:rPr>
          <w:rFonts w:hint="eastAsia"/>
          <w:color w:val="000000" w:themeColor="text1"/>
          <w14:textFill>
            <w14:solidFill>
              <w14:schemeClr w14:val="tx1"/>
            </w14:solidFill>
          </w14:textFill>
        </w:rPr>
        <w:t>处</w:t>
      </w:r>
      <w:r>
        <w:rPr>
          <w:color w:val="000000" w:themeColor="text1"/>
          <w14:textFill>
            <w14:solidFill>
              <w14:schemeClr w14:val="tx1"/>
            </w14:solidFill>
          </w14:textFill>
        </w:rPr>
        <w:t>自然保护地</w:t>
      </w:r>
      <w:r>
        <w:rPr>
          <w:rFonts w:hint="eastAsia"/>
          <w:color w:val="000000" w:themeColor="text1"/>
          <w14:textFill>
            <w14:solidFill>
              <w14:schemeClr w14:val="tx1"/>
            </w14:solidFill>
          </w14:textFill>
        </w:rPr>
        <w:t>，包括</w:t>
      </w:r>
      <w:r>
        <w:rPr>
          <w:rFonts w:ascii="Times New Roman" w:hAnsi="Times New Roman" w:cs="Times New Roman"/>
          <w:color w:val="000000" w:themeColor="text1"/>
          <w14:textFill>
            <w14:solidFill>
              <w14:schemeClr w14:val="tx1"/>
            </w14:solidFill>
          </w14:textFill>
        </w:rPr>
        <w:t>1</w:t>
      </w:r>
      <w:r>
        <w:rPr>
          <w:rFonts w:hint="eastAsia"/>
          <w:color w:val="000000" w:themeColor="text1"/>
          <w14:textFill>
            <w14:solidFill>
              <w14:schemeClr w14:val="tx1"/>
            </w14:solidFill>
          </w14:textFill>
        </w:rPr>
        <w:t>个国家级自然保护区，</w:t>
      </w:r>
      <w:r>
        <w:rPr>
          <w:rFonts w:ascii="Times New Roman" w:hAnsi="Times New Roman" w:cs="Times New Roman"/>
          <w:color w:val="000000" w:themeColor="text1"/>
          <w14:textFill>
            <w14:solidFill>
              <w14:schemeClr w14:val="tx1"/>
            </w14:solidFill>
          </w14:textFill>
        </w:rPr>
        <w:t>2</w:t>
      </w:r>
      <w:r>
        <w:rPr>
          <w:rFonts w:hint="eastAsia"/>
          <w:color w:val="000000" w:themeColor="text1"/>
          <w14:textFill>
            <w14:solidFill>
              <w14:schemeClr w14:val="tx1"/>
            </w14:solidFill>
          </w14:textFill>
        </w:rPr>
        <w:t>个地方级自然保护区，</w:t>
      </w:r>
      <w:r>
        <w:rPr>
          <w:rFonts w:ascii="Times New Roman" w:hAnsi="Times New Roman" w:cs="Times New Roman"/>
          <w:color w:val="000000" w:themeColor="text1"/>
          <w14:textFill>
            <w14:solidFill>
              <w14:schemeClr w14:val="tx1"/>
            </w14:solidFill>
          </w14:textFill>
        </w:rPr>
        <w:t>8</w:t>
      </w:r>
      <w:r>
        <w:rPr>
          <w:rFonts w:hint="eastAsia"/>
          <w:color w:val="000000" w:themeColor="text1"/>
          <w14:textFill>
            <w14:solidFill>
              <w14:schemeClr w14:val="tx1"/>
            </w14:solidFill>
          </w14:textFill>
        </w:rPr>
        <w:t>个地方级森林自然公园。自然保护地相关数据根据实际情况进行动态调整。</w:t>
      </w:r>
    </w:p>
    <w:p w14:paraId="569BD63E">
      <w:pPr>
        <w:ind w:firstLine="600"/>
        <w:jc w:val="both"/>
        <w:rPr>
          <w:u w:val="single"/>
        </w:rPr>
      </w:pPr>
      <w:r>
        <w:rPr>
          <w:rFonts w:hint="eastAsia"/>
          <w:u w:val="single"/>
        </w:rPr>
        <w:t>维护世界自然遗产丹霞山的原真性和完整性，将自然生态系统保存最完整、核心资源分布最集中、文化科学价值最突出的地域确定为核心保护区，实行严格保护。在核心区外围划定一般控制区，在确保自然生态系统健康、核心资源稳定、文化科学价值可持续利用前提下，划定合理利用界限与路线，限制游览数量，禁设无关人为设施。</w:t>
      </w:r>
    </w:p>
    <w:p w14:paraId="44E0A02E">
      <w:pPr>
        <w:pStyle w:val="6"/>
        <w:spacing w:before="163" w:after="163"/>
        <w:rPr>
          <w:b/>
        </w:rPr>
      </w:pPr>
      <w:bookmarkStart w:id="1196" w:name="_Toc143354288"/>
      <w:bookmarkEnd w:id="1196"/>
      <w:bookmarkStart w:id="1197" w:name="_Toc145499925"/>
      <w:bookmarkEnd w:id="1197"/>
      <w:bookmarkStart w:id="1198" w:name="_Toc143354856"/>
      <w:bookmarkEnd w:id="1198"/>
      <w:bookmarkStart w:id="1199" w:name="_Toc143099101"/>
      <w:bookmarkEnd w:id="1199"/>
      <w:bookmarkStart w:id="1200" w:name="_Toc143356010"/>
      <w:bookmarkEnd w:id="1200"/>
      <w:bookmarkStart w:id="1201" w:name="_Toc143358637"/>
      <w:bookmarkEnd w:id="1201"/>
      <w:bookmarkStart w:id="1202" w:name="_Toc145499928"/>
      <w:bookmarkEnd w:id="1202"/>
      <w:bookmarkStart w:id="1203" w:name="_Toc145499922"/>
      <w:bookmarkEnd w:id="1203"/>
      <w:bookmarkStart w:id="1204" w:name="_Toc145499920"/>
      <w:bookmarkEnd w:id="1204"/>
      <w:bookmarkStart w:id="1205" w:name="_Toc143353034"/>
      <w:bookmarkEnd w:id="1205"/>
      <w:bookmarkStart w:id="1206" w:name="_Toc145499924"/>
      <w:bookmarkEnd w:id="1206"/>
      <w:bookmarkStart w:id="1207" w:name="_Toc145499918"/>
      <w:bookmarkEnd w:id="1207"/>
      <w:bookmarkStart w:id="1208" w:name="_Toc145277588"/>
      <w:bookmarkEnd w:id="1208"/>
      <w:bookmarkStart w:id="1209" w:name="_Toc143099386"/>
      <w:bookmarkEnd w:id="1209"/>
      <w:bookmarkStart w:id="1210" w:name="_Toc143260793"/>
      <w:bookmarkEnd w:id="1210"/>
      <w:bookmarkStart w:id="1211" w:name="_Toc145499923"/>
      <w:bookmarkEnd w:id="1211"/>
      <w:bookmarkStart w:id="1212" w:name="_Toc143356590"/>
      <w:bookmarkEnd w:id="1212"/>
      <w:bookmarkStart w:id="1213" w:name="_Toc143357474"/>
      <w:bookmarkEnd w:id="1213"/>
      <w:bookmarkStart w:id="1214" w:name="_Toc143355140"/>
      <w:bookmarkEnd w:id="1214"/>
      <w:bookmarkStart w:id="1215" w:name="_Toc143352738"/>
      <w:bookmarkEnd w:id="1215"/>
      <w:bookmarkStart w:id="1216" w:name="_Toc145499930"/>
      <w:bookmarkEnd w:id="1216"/>
      <w:bookmarkStart w:id="1217" w:name="_Toc143358056"/>
      <w:bookmarkEnd w:id="1217"/>
      <w:bookmarkStart w:id="1218" w:name="_Toc145499927"/>
      <w:bookmarkEnd w:id="1218"/>
      <w:bookmarkStart w:id="1219" w:name="_Toc143358346"/>
      <w:bookmarkEnd w:id="1219"/>
      <w:bookmarkStart w:id="1220" w:name="_Toc143353712"/>
      <w:bookmarkEnd w:id="1220"/>
      <w:bookmarkStart w:id="1221" w:name="_Toc145277590"/>
      <w:bookmarkEnd w:id="1221"/>
      <w:bookmarkStart w:id="1222" w:name="_Toc142858843"/>
      <w:bookmarkEnd w:id="1222"/>
      <w:bookmarkStart w:id="1223" w:name="_Toc143353998"/>
      <w:bookmarkEnd w:id="1223"/>
      <w:bookmarkStart w:id="1224" w:name="_Toc143354572"/>
      <w:bookmarkEnd w:id="1224"/>
      <w:bookmarkStart w:id="1225" w:name="_Toc143355720"/>
      <w:bookmarkEnd w:id="1225"/>
      <w:bookmarkStart w:id="1226" w:name="_Toc145499917"/>
      <w:bookmarkEnd w:id="1226"/>
      <w:bookmarkStart w:id="1227" w:name="_Toc145499926"/>
      <w:bookmarkEnd w:id="1227"/>
      <w:bookmarkStart w:id="1228" w:name="_Toc145499929"/>
      <w:bookmarkEnd w:id="1228"/>
      <w:bookmarkStart w:id="1229" w:name="_Toc143356300"/>
      <w:bookmarkEnd w:id="1229"/>
      <w:bookmarkStart w:id="1230" w:name="_Toc145277589"/>
      <w:bookmarkEnd w:id="1230"/>
      <w:bookmarkStart w:id="1231" w:name="_Toc143357184"/>
      <w:bookmarkEnd w:id="1231"/>
      <w:bookmarkStart w:id="1232" w:name="_Toc143357765"/>
      <w:bookmarkEnd w:id="1232"/>
      <w:bookmarkStart w:id="1233" w:name="_Toc145277587"/>
      <w:bookmarkEnd w:id="1233"/>
      <w:bookmarkStart w:id="1234" w:name="_Toc145499931"/>
      <w:bookmarkEnd w:id="1234"/>
      <w:bookmarkStart w:id="1235" w:name="_Toc143356894"/>
      <w:bookmarkEnd w:id="1235"/>
      <w:bookmarkStart w:id="1236" w:name="_Toc145499919"/>
      <w:bookmarkEnd w:id="1236"/>
      <w:bookmarkStart w:id="1237" w:name="_Toc143355430"/>
      <w:bookmarkEnd w:id="1237"/>
      <w:bookmarkStart w:id="1238" w:name="_Toc16259"/>
      <w:bookmarkStart w:id="1239" w:name="_Toc141887899"/>
      <w:bookmarkStart w:id="1240" w:name="_Toc130890878"/>
      <w:bookmarkStart w:id="1241" w:name="_Toc132305806"/>
      <w:bookmarkStart w:id="1242" w:name="_Toc141887900"/>
      <w:bookmarkStart w:id="1243" w:name="_Toc132305807"/>
      <w:bookmarkStart w:id="1244" w:name="_Toc27658"/>
      <w:r>
        <w:rPr>
          <w:rFonts w:hint="eastAsia"/>
        </w:rPr>
        <w:t>实施生态空间分类管控</w:t>
      </w:r>
      <w:bookmarkEnd w:id="1238"/>
      <w:bookmarkEnd w:id="1239"/>
      <w:bookmarkEnd w:id="1240"/>
      <w:bookmarkEnd w:id="1241"/>
    </w:p>
    <w:p w14:paraId="5E9BFFA4">
      <w:pPr>
        <w:ind w:firstLine="600"/>
        <w:jc w:val="both"/>
        <w:rPr>
          <w:color w:val="000000" w:themeColor="text1"/>
          <w14:textFill>
            <w14:solidFill>
              <w14:schemeClr w14:val="tx1"/>
            </w14:solidFill>
          </w14:textFill>
        </w:rPr>
      </w:pPr>
      <w:r>
        <w:rPr>
          <w:rFonts w:hint="eastAsia"/>
          <w:color w:val="000000" w:themeColor="text1"/>
          <w:u w:val="single"/>
          <w14:textFill>
            <w14:solidFill>
              <w14:schemeClr w14:val="tx1"/>
            </w14:solidFill>
          </w14:textFill>
        </w:rPr>
        <w:t>生态保护红线内严格禁止不符合主体功能定位的开发性、生产性建设活动，仅允许国家法律法规规定的对生态功能不造成破坏的有限人为活动及国家重大项目。</w:t>
      </w:r>
      <w:r>
        <w:rPr>
          <w:rFonts w:hint="eastAsia"/>
          <w:color w:val="000000" w:themeColor="text1"/>
          <w14:textFill>
            <w14:solidFill>
              <w14:schemeClr w14:val="tx1"/>
            </w14:solidFill>
          </w14:textFill>
        </w:rPr>
        <w:t>对于未纳入生态保护红线的自然保护地，在进行开发建设活动时应遵守相关规定。</w:t>
      </w:r>
    </w:p>
    <w:p w14:paraId="24D9AA21">
      <w:pPr>
        <w:ind w:firstLine="6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衔接“双评价”生态保护极重要区和生态环境部门的“三线一单”成果，全面保护生态红线外具有水源涵养、生物多样性维护、水土保持、岸线防护等功能的重要生态功能区，以及城市内外重要生态廊道等，提高生态空间的完整性与连通性。细化落实不同类别生态空间用途管制制度，明确允许、限制、禁止的产业和建设项目准入的正面清单或负面清单，共同推进生态空间的保护。</w:t>
      </w:r>
    </w:p>
    <w:bookmarkEnd w:id="1242"/>
    <w:bookmarkEnd w:id="1243"/>
    <w:bookmarkEnd w:id="1244"/>
    <w:p w14:paraId="1F2FB34F">
      <w:pPr>
        <w:pStyle w:val="5"/>
        <w:spacing w:before="163" w:after="163"/>
        <w:rPr>
          <w:b/>
        </w:rPr>
      </w:pPr>
      <w:bookmarkStart w:id="1245" w:name="_Toc145499933"/>
      <w:bookmarkEnd w:id="1245"/>
      <w:bookmarkStart w:id="1246" w:name="_Toc145277593"/>
      <w:bookmarkEnd w:id="1246"/>
      <w:bookmarkStart w:id="1247" w:name="_Toc132401148"/>
      <w:bookmarkEnd w:id="1247"/>
      <w:bookmarkStart w:id="1248" w:name="_Toc132402040"/>
      <w:bookmarkEnd w:id="1248"/>
      <w:bookmarkStart w:id="1249" w:name="_Toc132401371"/>
      <w:bookmarkEnd w:id="1249"/>
      <w:bookmarkStart w:id="1250" w:name="_Toc132400034"/>
      <w:bookmarkEnd w:id="1250"/>
      <w:bookmarkStart w:id="1251" w:name="_Toc132402263"/>
      <w:bookmarkEnd w:id="1251"/>
      <w:bookmarkStart w:id="1252" w:name="_Toc132400703"/>
      <w:bookmarkEnd w:id="1252"/>
      <w:bookmarkStart w:id="1253" w:name="_Toc132403601"/>
      <w:bookmarkEnd w:id="1253"/>
      <w:bookmarkStart w:id="1254" w:name="_Toc145277592"/>
      <w:bookmarkEnd w:id="1254"/>
      <w:bookmarkStart w:id="1255" w:name="_Toc132402711"/>
      <w:bookmarkEnd w:id="1255"/>
      <w:bookmarkStart w:id="1256" w:name="_Toc145499934"/>
      <w:bookmarkEnd w:id="1256"/>
      <w:bookmarkStart w:id="1257" w:name="_Toc132401817"/>
      <w:bookmarkEnd w:id="1257"/>
      <w:bookmarkStart w:id="1258" w:name="_Toc132399811"/>
      <w:bookmarkEnd w:id="1258"/>
      <w:bookmarkStart w:id="1259" w:name="_Toc132469694"/>
      <w:bookmarkEnd w:id="1259"/>
      <w:bookmarkStart w:id="1260" w:name="_Toc132400480"/>
      <w:bookmarkEnd w:id="1260"/>
      <w:bookmarkStart w:id="1261" w:name="_Toc145499935"/>
      <w:bookmarkEnd w:id="1261"/>
      <w:bookmarkStart w:id="1262" w:name="_Toc145277594"/>
      <w:bookmarkEnd w:id="1262"/>
      <w:bookmarkStart w:id="1263" w:name="_Toc132400257"/>
      <w:bookmarkEnd w:id="1263"/>
      <w:bookmarkStart w:id="1264" w:name="_Toc132402487"/>
      <w:bookmarkEnd w:id="1264"/>
      <w:bookmarkStart w:id="1265" w:name="_Toc132400926"/>
      <w:bookmarkEnd w:id="1265"/>
      <w:bookmarkStart w:id="1266" w:name="_Toc167271392"/>
      <w:bookmarkStart w:id="1267" w:name="_Toc9615"/>
      <w:bookmarkStart w:id="1268" w:name="_Toc132305808"/>
      <w:bookmarkStart w:id="1269" w:name="_Toc141887901"/>
      <w:r>
        <w:rPr>
          <w:rFonts w:hint="eastAsia"/>
        </w:rPr>
        <w:t>强化生物多样性保护</w:t>
      </w:r>
      <w:bookmarkEnd w:id="1266"/>
      <w:bookmarkEnd w:id="1267"/>
      <w:bookmarkEnd w:id="1268"/>
      <w:bookmarkEnd w:id="1269"/>
    </w:p>
    <w:p w14:paraId="0A7733AB">
      <w:pPr>
        <w:pStyle w:val="6"/>
        <w:spacing w:before="163" w:after="163"/>
        <w:rPr>
          <w:b/>
        </w:rPr>
      </w:pPr>
      <w:bookmarkStart w:id="1270" w:name="_Toc31845"/>
      <w:bookmarkStart w:id="1271" w:name="_Toc132305809"/>
      <w:bookmarkStart w:id="1272" w:name="_Toc141887902"/>
      <w:r>
        <w:rPr>
          <w:rFonts w:hint="eastAsia"/>
        </w:rPr>
        <w:t>加强生物多样性保护</w:t>
      </w:r>
      <w:bookmarkEnd w:id="1270"/>
      <w:bookmarkEnd w:id="1271"/>
      <w:bookmarkEnd w:id="1272"/>
    </w:p>
    <w:p w14:paraId="55F3507E">
      <w:pPr>
        <w:ind w:firstLine="600"/>
        <w:jc w:val="both"/>
      </w:pPr>
      <w:r>
        <w:rPr>
          <w:rFonts w:hint="eastAsia"/>
        </w:rPr>
        <w:t>加强生态空间维育，提升野生动植物栖息地生态环境品质，注重</w:t>
      </w:r>
      <w:r>
        <w:t>典型的丹霞地貌植被类型和生态系统</w:t>
      </w:r>
      <w:r>
        <w:rPr>
          <w:rFonts w:hint="eastAsia"/>
        </w:rPr>
        <w:t>维育，</w:t>
      </w:r>
      <w:r>
        <w:t>孕育良好的生态原生</w:t>
      </w:r>
      <w:r>
        <w:rPr>
          <w:rFonts w:hint="eastAsia"/>
        </w:rPr>
        <w:t>环境、</w:t>
      </w:r>
      <w:r>
        <w:t>物种多样的生物群落</w:t>
      </w:r>
      <w:r>
        <w:rPr>
          <w:rFonts w:hint="eastAsia"/>
        </w:rPr>
        <w:t>，保护丹霞山</w:t>
      </w:r>
      <w:r>
        <w:t>特有</w:t>
      </w:r>
      <w:r>
        <w:rPr>
          <w:rFonts w:hint="eastAsia"/>
        </w:rPr>
        <w:t>物</w:t>
      </w:r>
      <w:r>
        <w:t>种、珍稀濒危种</w:t>
      </w:r>
      <w:r>
        <w:rPr>
          <w:rFonts w:hint="eastAsia"/>
        </w:rPr>
        <w:t>及</w:t>
      </w:r>
      <w:r>
        <w:t>多种国家保护动植物</w:t>
      </w:r>
      <w:r>
        <w:rPr>
          <w:rFonts w:hint="eastAsia"/>
        </w:rPr>
        <w:t>赖以生存的栖息地</w:t>
      </w:r>
      <w:r>
        <w:t>。</w:t>
      </w:r>
    </w:p>
    <w:p w14:paraId="2867A495">
      <w:pPr>
        <w:ind w:firstLine="600"/>
        <w:jc w:val="both"/>
      </w:pPr>
      <w:r>
        <w:rPr>
          <w:rFonts w:hint="eastAsia"/>
        </w:rPr>
        <w:t>强化对境内穿山甲、云豹、白鹇等国家重点保护野生动物以及南方红豆杉、伯乐树、桫椤、广东松等国家重点保护野生植物的保护。加强珍稀濒危物种监测保护，根据生态环境质量变化和受威胁因素采取针对性保护措施。维育陆生动物迁徙廊道和水生生物洄游通道，完善生物多样性迁徙廊道与栖息地的保护和修复，健全野生动物及其栖息地保护管理长效机制。</w:t>
      </w:r>
    </w:p>
    <w:p w14:paraId="75F5298C">
      <w:pPr>
        <w:ind w:firstLine="600"/>
        <w:jc w:val="both"/>
      </w:pPr>
      <w:r>
        <w:rPr>
          <w:rFonts w:hint="eastAsia"/>
        </w:rPr>
        <w:t>开展生物多样性保护优先区域的生物多样性本底调查、珍稀濒危物种专项调查以及森林和湿地生态系统的调查与评估，强化生物多样性监测能力建设，提高生物多样性预警和管理水平，建立外来入侵物种监测预警及风险管理机制。</w:t>
      </w:r>
    </w:p>
    <w:p w14:paraId="24768E01">
      <w:pPr>
        <w:pStyle w:val="5"/>
        <w:spacing w:before="163" w:after="163"/>
        <w:rPr>
          <w:b/>
        </w:rPr>
      </w:pPr>
      <w:bookmarkStart w:id="1273" w:name="_Toc167271393"/>
      <w:r>
        <w:rPr>
          <w:rFonts w:hint="eastAsia"/>
        </w:rPr>
        <w:t>保护丹霞山特色资源</w:t>
      </w:r>
      <w:bookmarkEnd w:id="1273"/>
    </w:p>
    <w:p w14:paraId="3E810906">
      <w:pPr>
        <w:pStyle w:val="6"/>
        <w:spacing w:before="163" w:after="163"/>
      </w:pPr>
      <w:bookmarkStart w:id="1274" w:name="_Toc145499939"/>
      <w:bookmarkEnd w:id="1274"/>
      <w:r>
        <w:rPr>
          <w:rFonts w:hint="eastAsia"/>
        </w:rPr>
        <w:t>保护丹霞地质地貌遗迹</w:t>
      </w:r>
    </w:p>
    <w:p w14:paraId="4D2FA0CA">
      <w:pPr>
        <w:ind w:firstLine="600"/>
      </w:pPr>
      <w:r>
        <w:t>依据地质地貌的科学文化价值、综合环境价值对丹霞山地质地貌资源进行区域划分保护</w:t>
      </w:r>
      <w:r>
        <w:rPr>
          <w:rFonts w:hint="eastAsia"/>
        </w:rPr>
        <w:t>，针对各保护</w:t>
      </w:r>
      <w:r>
        <w:t>区域</w:t>
      </w:r>
      <w:r>
        <w:rPr>
          <w:rFonts w:hint="eastAsia"/>
        </w:rPr>
        <w:t>采取相应</w:t>
      </w:r>
      <w:r>
        <w:t>保护</w:t>
      </w:r>
      <w:r>
        <w:rPr>
          <w:rFonts w:hint="eastAsia"/>
        </w:rPr>
        <w:t>措施</w:t>
      </w:r>
      <w:r>
        <w:t>。</w:t>
      </w:r>
    </w:p>
    <w:p w14:paraId="53B5CD79">
      <w:pPr>
        <w:ind w:firstLine="600"/>
      </w:pPr>
      <w:r>
        <w:t>在风景名胜区范围内不得从事下列可能对丹霞地质遗迹造成影响的活动：修建可能对地质遗迹造成破坏的建筑设施；采石、取土、开矿、爆破、放牧、砍伐等；未经批准擅自采集地质标本和化石；围堵或填塞河道、山泉、瀑布等；严禁向区域内自然水体排放未经处理或不达标的污水；禁止排放、堆放废物和垃圾；其它毁坏地质遗迹和地貌景观的行为。</w:t>
      </w:r>
    </w:p>
    <w:p w14:paraId="65A5AA5C">
      <w:pPr>
        <w:pStyle w:val="6"/>
        <w:spacing w:before="163" w:after="163"/>
      </w:pPr>
      <w:r>
        <w:rPr>
          <w:rFonts w:hint="eastAsia"/>
        </w:rPr>
        <w:t>保育丹霞物种与生存环境</w:t>
      </w:r>
    </w:p>
    <w:p w14:paraId="6ED55CF9">
      <w:pPr>
        <w:ind w:firstLine="600"/>
      </w:pPr>
      <w:r>
        <w:t>根据风景区保护现状，</w:t>
      </w:r>
      <w:r>
        <w:rPr>
          <w:rFonts w:hint="eastAsia"/>
        </w:rPr>
        <w:t>按照物种生存环境的保护重要性程度统筹划分</w:t>
      </w:r>
      <w:r>
        <w:t>全封、缓冲和轮封区，</w:t>
      </w:r>
      <w:r>
        <w:rPr>
          <w:rFonts w:hint="eastAsia"/>
        </w:rPr>
        <w:t>强调</w:t>
      </w:r>
      <w:r>
        <w:t>以封闭式自然演替为主，人工培育</w:t>
      </w:r>
      <w:r>
        <w:rPr>
          <w:rFonts w:hint="eastAsia"/>
        </w:rPr>
        <w:t>为辅，维育区内</w:t>
      </w:r>
      <w:r>
        <w:t>生物资源，提高整体生态系统环境质量</w:t>
      </w:r>
      <w:r>
        <w:rPr>
          <w:rFonts w:hint="eastAsia"/>
        </w:rPr>
        <w:t>。有效开展的生物多样性保育工作，强化黄腹角雉、豹猫、白鹇、中华秋沙鸭等国家重点保护动物栖息地以及丹霞梧桐、仙湖苏铁、桫椤、白芨等国家重点保护植物的原生地保护，推动丹霞兰、</w:t>
      </w:r>
      <w:r>
        <w:t>丹霞堇菜、丹霞刚竹</w:t>
      </w:r>
      <w:r>
        <w:rPr>
          <w:rFonts w:hint="eastAsia"/>
        </w:rPr>
        <w:t>等丹霞山特有的极小种群栖息地维育。</w:t>
      </w:r>
    </w:p>
    <w:p w14:paraId="23C7903A">
      <w:pPr>
        <w:ind w:firstLine="600"/>
      </w:pPr>
      <w:r>
        <w:t>区内必要的建设</w:t>
      </w:r>
      <w:r>
        <w:rPr>
          <w:rFonts w:hint="eastAsia"/>
        </w:rPr>
        <w:t>活动，</w:t>
      </w:r>
      <w:r>
        <w:t>应</w:t>
      </w:r>
      <w:r>
        <w:rPr>
          <w:rFonts w:hint="eastAsia"/>
        </w:rPr>
        <w:t>控制好</w:t>
      </w:r>
      <w:r>
        <w:t>对生物资源的破坏程度，选址建设</w:t>
      </w:r>
      <w:r>
        <w:rPr>
          <w:rFonts w:hint="eastAsia"/>
        </w:rPr>
        <w:t>需避开</w:t>
      </w:r>
      <w:r>
        <w:t>野生生物种类聚集地段，避免对景观生态链</w:t>
      </w:r>
      <w:r>
        <w:rPr>
          <w:rFonts w:hint="eastAsia"/>
        </w:rPr>
        <w:t>造成</w:t>
      </w:r>
      <w:r>
        <w:t>破坏。</w:t>
      </w:r>
    </w:p>
    <w:p w14:paraId="0B350ADF">
      <w:pPr>
        <w:pStyle w:val="6"/>
        <w:spacing w:before="163" w:after="163"/>
      </w:pPr>
      <w:r>
        <w:rPr>
          <w:rFonts w:hint="eastAsia"/>
        </w:rPr>
        <w:t>保护丹霞文物古迹</w:t>
      </w:r>
    </w:p>
    <w:p w14:paraId="3B14CE56">
      <w:pPr>
        <w:ind w:firstLine="600"/>
      </w:pPr>
      <w:r>
        <w:rPr>
          <w:rFonts w:hint="eastAsia"/>
        </w:rPr>
        <w:t>对</w:t>
      </w:r>
      <w:r>
        <w:t>丹霞山寺庵等宗教建筑和</w:t>
      </w:r>
      <w:r>
        <w:rPr>
          <w:rFonts w:hint="eastAsia"/>
        </w:rPr>
        <w:t>丹霞山摩崖石刻等</w:t>
      </w:r>
      <w:r>
        <w:t>历史文化遗迹以及丹霞山传统山村风格建筑的修建改造要坚</w:t>
      </w:r>
      <w:r>
        <w:rPr>
          <w:rFonts w:hint="eastAsia" w:ascii="仿宋_GB2312"/>
        </w:rPr>
        <w:t>持“还原”</w:t>
      </w:r>
      <w:r>
        <w:t>原则，寺庙和文物保护对象的修复工程必须经过</w:t>
      </w:r>
      <w:r>
        <w:rPr>
          <w:rFonts w:hint="eastAsia"/>
        </w:rPr>
        <w:t>相关</w:t>
      </w:r>
      <w:r>
        <w:t>部门的严格审定和监督。</w:t>
      </w:r>
    </w:p>
    <w:p w14:paraId="6E26289C">
      <w:pPr>
        <w:ind w:firstLine="600"/>
      </w:pPr>
      <w:r>
        <w:t>文物保护单位的保护范围内，不得安排影响文物保护单位及其环境风貌的建设工程和实施危及文物安全的活动。因特殊需要在文物保护单位的保护范围内进行建设工程，应经文物管理部门同意。尚未核定公布为文物保护单位的文物古迹，文物管理部门应登记造册，及时采取保护措施。</w:t>
      </w:r>
    </w:p>
    <w:p w14:paraId="56908099">
      <w:pPr>
        <w:ind w:firstLine="600"/>
      </w:pPr>
      <w:r>
        <w:t>在文物古迹保护范围内，禁止攀岩、开凿岩体、擅自采石取土等可能影响古文化遗存安全及其环境的活动。针对人为破坏因素，</w:t>
      </w:r>
      <w:r>
        <w:rPr>
          <w:rFonts w:hint="eastAsia"/>
        </w:rPr>
        <w:t>采</w:t>
      </w:r>
      <w:r>
        <w:t>用综合性保护措施。</w:t>
      </w:r>
    </w:p>
    <w:p w14:paraId="467D98BB">
      <w:pPr>
        <w:pStyle w:val="6"/>
        <w:spacing w:before="163" w:after="163"/>
      </w:pPr>
      <w:r>
        <w:rPr>
          <w:rFonts w:hint="eastAsia"/>
        </w:rPr>
        <w:t>保护丹霞水环境</w:t>
      </w:r>
    </w:p>
    <w:p w14:paraId="1A9E5670">
      <w:pPr>
        <w:ind w:firstLine="600"/>
      </w:pPr>
      <w:r>
        <w:rPr>
          <w:rFonts w:hint="eastAsia"/>
        </w:rPr>
        <w:t>生产生活污水，需统一集中处理达标后排放。合理减少上游农业生产过程中化肥和农药的使用量，对生产生活垃圾集中转运处理。</w:t>
      </w:r>
    </w:p>
    <w:p w14:paraId="35113738">
      <w:pPr>
        <w:ind w:firstLine="600"/>
      </w:pPr>
      <w:r>
        <w:rPr>
          <w:rFonts w:hint="eastAsia"/>
        </w:rPr>
        <w:t>锦江和浈江天然河道原则上不允许改变，河岸护坡生态化处理，局部岸线可以进行仿原生态绿化，但禁止在保护带内进行城市化园林建设。</w:t>
      </w:r>
    </w:p>
    <w:bookmarkEnd w:id="698"/>
    <w:p w14:paraId="5915377A">
      <w:pPr>
        <w:pStyle w:val="4"/>
        <w:spacing w:before="326" w:after="326"/>
        <w:ind w:firstLine="726"/>
        <w:rPr>
          <w:b w:val="0"/>
          <w:bCs w:val="0"/>
          <w:color w:val="000000" w:themeColor="text1"/>
          <w14:textFill>
            <w14:solidFill>
              <w14:schemeClr w14:val="tx1"/>
            </w14:solidFill>
          </w14:textFill>
        </w:rPr>
      </w:pPr>
      <w:bookmarkStart w:id="1275" w:name="_Toc145499947"/>
      <w:bookmarkEnd w:id="1275"/>
      <w:bookmarkStart w:id="1276" w:name="_Toc145499944"/>
      <w:bookmarkEnd w:id="1276"/>
      <w:bookmarkStart w:id="1277" w:name="_Toc145499946"/>
      <w:bookmarkEnd w:id="1277"/>
      <w:bookmarkStart w:id="1278" w:name="_Toc145499945"/>
      <w:bookmarkEnd w:id="1278"/>
      <w:bookmarkStart w:id="1279" w:name="_Toc141887904"/>
      <w:bookmarkStart w:id="1280" w:name="_Toc132305812"/>
      <w:bookmarkStart w:id="1281" w:name="_Toc167271394"/>
      <w:bookmarkStart w:id="1282" w:name="_Toc2281"/>
      <w:r>
        <w:rPr>
          <w:rFonts w:hint="eastAsia"/>
          <w:b w:val="0"/>
          <w:bCs w:val="0"/>
          <w:color w:val="000000" w:themeColor="text1"/>
          <w14:textFill>
            <w14:solidFill>
              <w14:schemeClr w14:val="tx1"/>
            </w14:solidFill>
          </w14:textFill>
        </w:rPr>
        <w:t>打造集约高效的城镇空间</w:t>
      </w:r>
      <w:bookmarkEnd w:id="1279"/>
      <w:bookmarkEnd w:id="1280"/>
      <w:bookmarkEnd w:id="1281"/>
      <w:bookmarkEnd w:id="1282"/>
    </w:p>
    <w:p w14:paraId="0120DDE8">
      <w:pPr>
        <w:pStyle w:val="5"/>
        <w:numPr>
          <w:ilvl w:val="1"/>
          <w:numId w:val="7"/>
        </w:numPr>
        <w:spacing w:before="163" w:after="163"/>
        <w:rPr>
          <w:b/>
        </w:rPr>
      </w:pPr>
      <w:bookmarkStart w:id="1283" w:name="_Toc132305813"/>
      <w:bookmarkStart w:id="1284" w:name="_Toc23946"/>
      <w:bookmarkStart w:id="1285" w:name="_Toc88472369"/>
      <w:bookmarkStart w:id="1286" w:name="_Toc167271395"/>
      <w:bookmarkStart w:id="1287" w:name="_Toc141887905"/>
      <w:r>
        <w:rPr>
          <w:rFonts w:hint="eastAsia"/>
        </w:rPr>
        <w:t>完善城镇体系布局</w:t>
      </w:r>
      <w:bookmarkEnd w:id="1283"/>
      <w:bookmarkEnd w:id="1284"/>
      <w:bookmarkEnd w:id="1285"/>
      <w:bookmarkEnd w:id="1286"/>
      <w:bookmarkEnd w:id="1287"/>
    </w:p>
    <w:p w14:paraId="62114920">
      <w:pPr>
        <w:pStyle w:val="6"/>
        <w:spacing w:before="163" w:after="163"/>
        <w:rPr>
          <w:b/>
        </w:rPr>
      </w:pPr>
      <w:r>
        <w:t>构建</w:t>
      </w:r>
      <w:bookmarkStart w:id="1288" w:name="_Hlk145144472"/>
      <w:r>
        <w:t>新型城镇化格局</w:t>
      </w:r>
      <w:bookmarkEnd w:id="1288"/>
    </w:p>
    <w:p w14:paraId="3FD0AFA1">
      <w:pPr>
        <w:ind w:firstLine="6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落实韶关</w:t>
      </w:r>
      <w:r>
        <w:rPr>
          <w:rFonts w:hint="eastAsia" w:ascii="仿宋_GB2312"/>
          <w:color w:val="000000" w:themeColor="text1"/>
          <w14:textFill>
            <w14:solidFill>
              <w14:schemeClr w14:val="tx1"/>
            </w14:solidFill>
          </w14:textFill>
        </w:rPr>
        <w:t>“</w:t>
      </w:r>
      <w:r>
        <w:rPr>
          <w:rFonts w:hint="eastAsia"/>
          <w:color w:val="000000" w:themeColor="text1"/>
          <w14:textFill>
            <w14:solidFill>
              <w14:schemeClr w14:val="tx1"/>
            </w14:solidFill>
          </w14:textFill>
        </w:rPr>
        <w:t>一主两副、四轴五特</w:t>
      </w:r>
      <w:r>
        <w:rPr>
          <w:rFonts w:hint="eastAsia" w:ascii="仿宋_GB2312"/>
          <w:color w:val="000000" w:themeColor="text1"/>
          <w14:textFill>
            <w14:solidFill>
              <w14:schemeClr w14:val="tx1"/>
            </w14:solidFill>
          </w14:textFill>
        </w:rPr>
        <w:t>”</w:t>
      </w:r>
      <w:r>
        <w:rPr>
          <w:rFonts w:hint="eastAsia"/>
          <w:color w:val="000000" w:themeColor="text1"/>
          <w14:textFill>
            <w14:solidFill>
              <w14:schemeClr w14:val="tx1"/>
            </w14:solidFill>
          </w14:textFill>
        </w:rPr>
        <w:t>的城镇发展总体空间格局要求，规划</w:t>
      </w:r>
      <w:bookmarkStart w:id="1289" w:name="_Hlk145925318"/>
      <w:r>
        <w:rPr>
          <w:rFonts w:hint="eastAsia"/>
          <w:color w:val="000000" w:themeColor="text1"/>
          <w14:textFill>
            <w14:solidFill>
              <w14:schemeClr w14:val="tx1"/>
            </w14:solidFill>
          </w14:textFill>
        </w:rPr>
        <w:t>构建</w:t>
      </w:r>
      <w:r>
        <w:rPr>
          <w:rFonts w:hint="eastAsia" w:ascii="仿宋_GB2312"/>
          <w:color w:val="000000" w:themeColor="text1"/>
          <w14:textFill>
            <w14:solidFill>
              <w14:schemeClr w14:val="tx1"/>
            </w14:solidFill>
          </w14:textFill>
        </w:rPr>
        <w:t>“一核</w:t>
      </w:r>
      <w:r>
        <w:rPr>
          <w:rFonts w:hint="eastAsia"/>
          <w:color w:val="000000" w:themeColor="text1"/>
          <w14:textFill>
            <w14:solidFill>
              <w14:schemeClr w14:val="tx1"/>
            </w14:solidFill>
          </w14:textFill>
        </w:rPr>
        <w:t>一环两轴</w:t>
      </w:r>
      <w:r>
        <w:rPr>
          <w:rFonts w:hint="eastAsia" w:ascii="仿宋_GB2312"/>
          <w:color w:val="000000" w:themeColor="text1"/>
          <w14:textFill>
            <w14:solidFill>
              <w14:schemeClr w14:val="tx1"/>
            </w14:solidFill>
          </w14:textFill>
        </w:rPr>
        <w:t>”的新型城镇化格局</w:t>
      </w:r>
      <w:r>
        <w:rPr>
          <w:rFonts w:hint="eastAsia"/>
          <w:color w:val="000000" w:themeColor="text1"/>
          <w14:textFill>
            <w14:solidFill>
              <w14:schemeClr w14:val="tx1"/>
            </w14:solidFill>
          </w14:textFill>
        </w:rPr>
        <w:t>。</w:t>
      </w:r>
      <w:bookmarkEnd w:id="1289"/>
    </w:p>
    <w:p w14:paraId="5777CBE0">
      <w:pPr>
        <w:ind w:firstLine="600"/>
        <w:jc w:val="both"/>
        <w:rPr>
          <w:rFonts w:ascii="楷体_GB2312" w:eastAsia="楷体_GB2312"/>
          <w:color w:val="000000" w:themeColor="text1"/>
          <w14:textFill>
            <w14:solidFill>
              <w14:schemeClr w14:val="tx1"/>
            </w14:solidFill>
          </w14:textFill>
        </w:rPr>
      </w:pPr>
      <w:bookmarkStart w:id="1290" w:name="_Hlk145925344"/>
      <w:r>
        <w:rPr>
          <w:rFonts w:hint="eastAsia" w:ascii="楷体_GB2312" w:eastAsia="楷体_GB2312"/>
          <w:color w:val="000000" w:themeColor="text1"/>
          <w14:textFill>
            <w14:solidFill>
              <w14:schemeClr w14:val="tx1"/>
            </w14:solidFill>
          </w14:textFill>
        </w:rPr>
        <w:t>“一核”</w:t>
      </w:r>
      <w:r>
        <w:rPr>
          <w:rFonts w:hint="eastAsia"/>
          <w:color w:val="000000" w:themeColor="text1"/>
          <w14:textFill>
            <w14:solidFill>
              <w14:schemeClr w14:val="tx1"/>
            </w14:solidFill>
          </w14:textFill>
        </w:rPr>
        <w:t>为中心城区。以提升人口、产业承载能力和旅游设施配套为重点，提高旅游综合服务能力，增强辐射带动力，打造县域服务核心区。</w:t>
      </w:r>
    </w:p>
    <w:p w14:paraId="3B5F35C1">
      <w:pPr>
        <w:ind w:firstLine="600"/>
        <w:jc w:val="both"/>
        <w:rPr>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“一环”</w:t>
      </w:r>
      <w:r>
        <w:rPr>
          <w:rFonts w:hint="eastAsia"/>
          <w:color w:val="000000" w:themeColor="text1"/>
          <w14:textFill>
            <w14:solidFill>
              <w14:schemeClr w14:val="tx1"/>
            </w14:solidFill>
          </w14:textFill>
        </w:rPr>
        <w:t>为环丹霞山发展环。依托现状城镇发展基础，形成环丹霞山，由丹霞街道、石塘、董塘、黄坑、周田和大桥等镇（街）组成的环丹霞山发展环。强化与韶关市区的衔接配套，增强经济联系，坚持错位发展、特色发展，打造特色城镇，发挥连城带镇的纽带作用、城乡融合发展的引领作用和乡村振兴的带动作用。</w:t>
      </w:r>
    </w:p>
    <w:p w14:paraId="4A6EC839">
      <w:pPr>
        <w:ind w:firstLine="600"/>
        <w:jc w:val="both"/>
      </w:pPr>
      <w:r>
        <w:rPr>
          <w:rFonts w:hint="eastAsia" w:ascii="楷体_GB2312" w:eastAsia="楷体_GB2312"/>
          <w:color w:val="000000" w:themeColor="text1"/>
          <w14:textFill>
            <w14:solidFill>
              <w14:schemeClr w14:val="tx1"/>
            </w14:solidFill>
          </w14:textFill>
        </w:rPr>
        <w:t>“两轴”</w:t>
      </w:r>
      <w:r>
        <w:rPr>
          <w:rFonts w:hint="eastAsia"/>
          <w:color w:val="000000" w:themeColor="text1"/>
          <w14:textFill>
            <w14:solidFill>
              <w14:schemeClr w14:val="tx1"/>
            </w14:solidFill>
          </w14:textFill>
        </w:rPr>
        <w:t>为县域横向、纵向城镇发展轴。依托南韶高速、雄乐高速（谋划研究）、国道</w:t>
      </w:r>
      <w:r>
        <w:rPr>
          <w:rFonts w:ascii="Times New Roman" w:hAnsi="Times New Roman" w:cs="Times New Roman"/>
          <w:color w:val="000000" w:themeColor="text1"/>
          <w14:textFill>
            <w14:solidFill>
              <w14:schemeClr w14:val="tx1"/>
            </w14:solidFill>
          </w14:textFill>
        </w:rPr>
        <w:t>G535</w:t>
      </w:r>
      <w:r>
        <w:rPr>
          <w:color w:val="000000" w:themeColor="text1"/>
          <w14:textFill>
            <w14:solidFill>
              <w14:schemeClr w14:val="tx1"/>
            </w14:solidFill>
          </w14:textFill>
        </w:rPr>
        <w:t>、国道</w:t>
      </w:r>
      <w:r>
        <w:rPr>
          <w:rFonts w:ascii="Times New Roman" w:hAnsi="Times New Roman" w:cs="Times New Roman"/>
          <w:color w:val="000000" w:themeColor="text1"/>
          <w14:textFill>
            <w14:solidFill>
              <w14:schemeClr w14:val="tx1"/>
            </w14:solidFill>
          </w14:textFill>
        </w:rPr>
        <w:t>G106</w:t>
      </w:r>
      <w:r>
        <w:rPr>
          <w:color w:val="000000" w:themeColor="text1"/>
          <w14:textFill>
            <w14:solidFill>
              <w14:schemeClr w14:val="tx1"/>
            </w14:solidFill>
          </w14:textFill>
        </w:rPr>
        <w:t>、国道</w:t>
      </w:r>
      <w:r>
        <w:rPr>
          <w:rFonts w:ascii="Times New Roman" w:hAnsi="Times New Roman" w:cs="Times New Roman"/>
          <w:color w:val="000000" w:themeColor="text1"/>
          <w14:textFill>
            <w14:solidFill>
              <w14:schemeClr w14:val="tx1"/>
            </w14:solidFill>
          </w14:textFill>
        </w:rPr>
        <w:t>G323</w:t>
      </w:r>
      <w:r>
        <w:rPr>
          <w:color w:val="000000" w:themeColor="text1"/>
          <w14:textFill>
            <w14:solidFill>
              <w14:schemeClr w14:val="tx1"/>
            </w14:solidFill>
          </w14:textFill>
        </w:rPr>
        <w:t>等交通干道，连接石塘、董塘、丹霞街道、黄坑、周田等镇（街），形成县域横向城镇发展轴；依托武深高速、南韶高速、国道</w:t>
      </w:r>
      <w:r>
        <w:rPr>
          <w:rFonts w:ascii="Times New Roman" w:hAnsi="Times New Roman" w:cs="Times New Roman"/>
          <w:color w:val="000000" w:themeColor="text1"/>
          <w14:textFill>
            <w14:solidFill>
              <w14:schemeClr w14:val="tx1"/>
            </w14:solidFill>
          </w14:textFill>
        </w:rPr>
        <w:t>G106</w:t>
      </w:r>
      <w:r>
        <w:rPr>
          <w:color w:val="000000" w:themeColor="text1"/>
          <w14:textFill>
            <w14:solidFill>
              <w14:schemeClr w14:val="tx1"/>
            </w14:solidFill>
          </w14:textFill>
        </w:rPr>
        <w:t>等交通干道，连接城口、丹霞街道、黄坑、周田、大桥等镇（街），形成纵向城市联动发展轴。以路为轴，发挥快速连接作用，保障区域间联系畅通，促进产业结构调整，生产要素流动，推动各项工作顺利开展，带动县域经济快速发展</w:t>
      </w:r>
      <w:r>
        <w:rPr>
          <w:rFonts w:hint="eastAsia"/>
          <w:color w:val="000000" w:themeColor="text1"/>
          <w14:textFill>
            <w14:solidFill>
              <w14:schemeClr w14:val="tx1"/>
            </w14:solidFill>
          </w14:textFill>
        </w:rPr>
        <w:t>。</w:t>
      </w:r>
    </w:p>
    <w:bookmarkEnd w:id="1290"/>
    <w:p w14:paraId="60090A34">
      <w:pPr>
        <w:pStyle w:val="6"/>
        <w:spacing w:before="163" w:after="163"/>
        <w:rPr>
          <w:b/>
        </w:rPr>
      </w:pPr>
      <w:bookmarkStart w:id="1291" w:name="_Toc30452"/>
      <w:bookmarkStart w:id="1292" w:name="_Toc88472386"/>
      <w:bookmarkStart w:id="1293" w:name="_Toc68625530"/>
      <w:r>
        <w:rPr>
          <w:rFonts w:hint="eastAsia"/>
        </w:rPr>
        <w:t>优化城镇等级</w:t>
      </w:r>
      <w:bookmarkEnd w:id="1291"/>
      <w:r>
        <w:rPr>
          <w:rFonts w:hint="eastAsia"/>
        </w:rPr>
        <w:t>体系</w:t>
      </w:r>
    </w:p>
    <w:p w14:paraId="4A629E79">
      <w:pPr>
        <w:pStyle w:val="20"/>
        <w:ind w:firstLine="600"/>
        <w:jc w:val="both"/>
        <w:rPr>
          <w:color w:val="000000" w:themeColor="text1"/>
          <w14:textFill>
            <w14:solidFill>
              <w14:schemeClr w14:val="tx1"/>
            </w14:solidFill>
          </w14:textFill>
        </w:rPr>
      </w:pPr>
      <w:bookmarkStart w:id="1294" w:name="_Hlk145925298"/>
      <w:r>
        <w:t>推进城镇建设，形成</w:t>
      </w:r>
      <w:r>
        <w:rPr>
          <w:rFonts w:hint="eastAsia"/>
        </w:rPr>
        <w:t>“县</w:t>
      </w:r>
      <w:r>
        <w:t>级中心城市</w:t>
      </w:r>
      <w:r>
        <w:rPr>
          <w:rFonts w:hint="eastAsia"/>
        </w:rPr>
        <w:t>—</w:t>
      </w:r>
      <w:r>
        <w:t>重点镇</w:t>
      </w:r>
      <w:r>
        <w:rPr>
          <w:rFonts w:hint="eastAsia"/>
        </w:rPr>
        <w:t>—</w:t>
      </w:r>
      <w:r>
        <w:t>一般镇</w:t>
      </w:r>
      <w:r>
        <w:rPr>
          <w:rFonts w:hint="eastAsia"/>
        </w:rPr>
        <w:t>”</w:t>
      </w:r>
      <w:r>
        <w:t>三级城镇等级体系。</w:t>
      </w:r>
    </w:p>
    <w:p w14:paraId="127C33A2">
      <w:pPr>
        <w:ind w:firstLine="600"/>
        <w:jc w:val="both"/>
        <w:rPr>
          <w:rFonts w:ascii="仿宋_GB2312" w:hAnsi="Times New Roman" w:cs="Times New Roman"/>
        </w:rPr>
      </w:pPr>
      <w:bookmarkStart w:id="1295" w:name="_Hlk143764970"/>
      <w:r>
        <w:rPr>
          <w:rFonts w:hint="eastAsia" w:ascii="楷体_GB2312" w:eastAsia="楷体_GB2312"/>
          <w:color w:val="000000" w:themeColor="text1"/>
          <w14:textFill>
            <w14:solidFill>
              <w14:schemeClr w14:val="tx1"/>
            </w14:solidFill>
          </w14:textFill>
        </w:rPr>
        <w:t>“县级中心城市”</w:t>
      </w:r>
      <w:r>
        <w:rPr>
          <w:rFonts w:ascii="仿宋_GB2312" w:hAnsi="Times New Roman" w:cs="Times New Roman"/>
        </w:rPr>
        <w:t>指中心城区。</w:t>
      </w:r>
      <w:bookmarkStart w:id="1296" w:name="_Hlk145145293"/>
      <w:r>
        <w:rPr>
          <w:rFonts w:hint="eastAsia" w:ascii="仿宋_GB2312" w:hAnsi="Times New Roman" w:cs="Times New Roman"/>
        </w:rPr>
        <w:t>建设县域</w:t>
      </w:r>
      <w:r>
        <w:rPr>
          <w:rFonts w:ascii="仿宋_GB2312" w:hAnsi="Times New Roman" w:cs="Times New Roman"/>
        </w:rPr>
        <w:t>政治、经济、文化发展中心和旅游服务中心。</w:t>
      </w:r>
    </w:p>
    <w:bookmarkEnd w:id="1296"/>
    <w:p w14:paraId="5710167A">
      <w:pPr>
        <w:ind w:firstLine="600"/>
        <w:jc w:val="both"/>
        <w:rPr>
          <w:rFonts w:ascii="仿宋_GB2312" w:hAnsi="Times New Roman" w:cs="Times New Roman"/>
        </w:rPr>
      </w:pPr>
      <w:r>
        <w:rPr>
          <w:rFonts w:hint="eastAsia" w:ascii="楷体_GB2312" w:eastAsia="楷体_GB2312"/>
          <w:color w:val="000000" w:themeColor="text1"/>
          <w14:textFill>
            <w14:solidFill>
              <w14:schemeClr w14:val="tx1"/>
            </w14:solidFill>
          </w14:textFill>
        </w:rPr>
        <w:t>“重点镇”</w:t>
      </w:r>
      <w:r>
        <w:rPr>
          <w:rFonts w:ascii="仿宋_GB2312" w:hAnsi="Times New Roman" w:cs="Times New Roman"/>
        </w:rPr>
        <w:t>指董塘、长江、周田</w:t>
      </w:r>
      <w:r>
        <w:rPr>
          <w:rFonts w:hint="eastAsia" w:ascii="仿宋_GB2312" w:hAnsi="Times New Roman" w:cs="Times New Roman"/>
        </w:rPr>
        <w:t>等镇</w:t>
      </w:r>
      <w:r>
        <w:rPr>
          <w:rFonts w:ascii="仿宋_GB2312" w:hAnsi="Times New Roman" w:cs="Times New Roman"/>
        </w:rPr>
        <w:t>。依托其人口、经济、产业等优势，重点发展绿色</w:t>
      </w:r>
      <w:r>
        <w:rPr>
          <w:rFonts w:hint="eastAsia" w:ascii="仿宋_GB2312" w:hAnsi="Times New Roman" w:cs="Times New Roman"/>
        </w:rPr>
        <w:t>产业</w:t>
      </w:r>
      <w:r>
        <w:rPr>
          <w:rFonts w:ascii="仿宋_GB2312" w:hAnsi="Times New Roman" w:cs="Times New Roman"/>
        </w:rPr>
        <w:t>，发挥</w:t>
      </w:r>
      <w:r>
        <w:rPr>
          <w:rFonts w:hint="eastAsia" w:ascii="仿宋_GB2312" w:hAnsi="Times New Roman" w:cs="Times New Roman"/>
        </w:rPr>
        <w:t>片</w:t>
      </w:r>
      <w:r>
        <w:rPr>
          <w:rFonts w:ascii="仿宋_GB2312" w:hAnsi="Times New Roman" w:cs="Times New Roman"/>
        </w:rPr>
        <w:t>区极核作用，带动、服务周边</w:t>
      </w:r>
      <w:r>
        <w:rPr>
          <w:rFonts w:hint="eastAsia" w:ascii="仿宋_GB2312" w:hAnsi="Times New Roman" w:cs="Times New Roman"/>
        </w:rPr>
        <w:t>镇村发展</w:t>
      </w:r>
      <w:r>
        <w:rPr>
          <w:rFonts w:ascii="仿宋_GB2312" w:hAnsi="Times New Roman" w:cs="Times New Roman"/>
        </w:rPr>
        <w:t>。</w:t>
      </w:r>
    </w:p>
    <w:p w14:paraId="4DD036FF">
      <w:pPr>
        <w:ind w:firstLine="600"/>
        <w:jc w:val="both"/>
        <w:rPr>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“一般镇”</w:t>
      </w:r>
      <w:r>
        <w:rPr>
          <w:rFonts w:ascii="仿宋_GB2312" w:hAnsi="Times New Roman" w:cs="Times New Roman"/>
        </w:rPr>
        <w:t>指红山、闻韶、扶溪、黄坑、大桥</w:t>
      </w:r>
      <w:r>
        <w:rPr>
          <w:rFonts w:hint="eastAsia" w:ascii="仿宋_GB2312" w:hAnsi="Times New Roman" w:cs="Times New Roman"/>
        </w:rPr>
        <w:t>、城口、石塘等</w:t>
      </w:r>
      <w:r>
        <w:rPr>
          <w:rFonts w:ascii="仿宋_GB2312" w:hAnsi="Times New Roman" w:cs="Times New Roman"/>
        </w:rPr>
        <w:t>镇</w:t>
      </w:r>
      <w:r>
        <w:rPr>
          <w:rFonts w:hint="eastAsia" w:ascii="仿宋_GB2312" w:hAnsi="Times New Roman" w:cs="Times New Roman"/>
        </w:rPr>
        <w:t>，其中红山、闻韶、扶溪、黄坑、大桥等镇</w:t>
      </w:r>
      <w:r>
        <w:rPr>
          <w:rFonts w:ascii="仿宋_GB2312" w:hAnsi="Times New Roman" w:cs="Times New Roman"/>
        </w:rPr>
        <w:t>重点发展现代农业、农旅融合产业；城口</w:t>
      </w:r>
      <w:r>
        <w:rPr>
          <w:rFonts w:hint="eastAsia" w:ascii="仿宋_GB2312" w:hAnsi="Times New Roman" w:cs="Times New Roman"/>
        </w:rPr>
        <w:t>、</w:t>
      </w:r>
      <w:r>
        <w:rPr>
          <w:rFonts w:ascii="仿宋_GB2312" w:hAnsi="Times New Roman" w:cs="Times New Roman"/>
        </w:rPr>
        <w:t>石塘</w:t>
      </w:r>
      <w:r>
        <w:rPr>
          <w:rFonts w:hint="eastAsia" w:ascii="仿宋_GB2312" w:hAnsi="Times New Roman" w:cs="Times New Roman"/>
        </w:rPr>
        <w:t>等镇</w:t>
      </w:r>
      <w:r>
        <w:rPr>
          <w:rFonts w:ascii="仿宋_GB2312" w:hAnsi="Times New Roman" w:cs="Times New Roman"/>
        </w:rPr>
        <w:t>，依托红色文化资源，建设旅游示范镇。</w:t>
      </w:r>
      <w:bookmarkEnd w:id="1295"/>
    </w:p>
    <w:bookmarkEnd w:id="1294"/>
    <w:p w14:paraId="08458C84">
      <w:pPr>
        <w:pStyle w:val="6"/>
        <w:spacing w:before="163" w:after="163"/>
        <w:rPr>
          <w:b/>
        </w:rPr>
      </w:pPr>
      <w:bookmarkStart w:id="1297" w:name="_Toc13956"/>
      <w:r>
        <w:rPr>
          <w:rFonts w:hint="eastAsia"/>
        </w:rPr>
        <w:t>优化城镇规模</w:t>
      </w:r>
      <w:bookmarkEnd w:id="1297"/>
      <w:r>
        <w:rPr>
          <w:rFonts w:hint="eastAsia"/>
        </w:rPr>
        <w:t>结构</w:t>
      </w:r>
    </w:p>
    <w:p w14:paraId="062CA4FC">
      <w:pPr>
        <w:ind w:firstLine="600"/>
        <w:jc w:val="both"/>
        <w:rPr>
          <w:color w:val="000000" w:themeColor="text1"/>
          <w14:textFill>
            <w14:solidFill>
              <w14:schemeClr w14:val="tx1"/>
            </w14:solidFill>
          </w14:textFill>
        </w:rPr>
      </w:pPr>
      <w:bookmarkStart w:id="1298" w:name="_Hlk145925248"/>
      <w:r>
        <w:rPr>
          <w:rFonts w:hint="eastAsia"/>
          <w:color w:val="000000" w:themeColor="text1"/>
          <w14:textFill>
            <w14:solidFill>
              <w14:schemeClr w14:val="tx1"/>
            </w14:solidFill>
          </w14:textFill>
        </w:rPr>
        <w:t>规划</w:t>
      </w:r>
      <w:r>
        <w:rPr>
          <w:rFonts w:ascii="Times New Roman" w:hAnsi="Times New Roman" w:cs="Times New Roman"/>
          <w:color w:val="000000" w:themeColor="text1"/>
          <w14:textFill>
            <w14:solidFill>
              <w14:schemeClr w14:val="tx1"/>
            </w14:solidFill>
          </w14:textFill>
        </w:rPr>
        <w:t>5</w:t>
      </w:r>
      <w:r>
        <w:rPr>
          <w:rFonts w:hint="eastAsia" w:ascii="仿宋_GB2312"/>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10</w:t>
      </w:r>
      <w:r>
        <w:rPr>
          <w:rFonts w:hint="eastAsia"/>
          <w:color w:val="000000" w:themeColor="text1"/>
          <w14:textFill>
            <w14:solidFill>
              <w14:schemeClr w14:val="tx1"/>
            </w14:solidFill>
          </w14:textFill>
        </w:rPr>
        <w:t>万人小城市</w:t>
      </w:r>
      <w:r>
        <w:rPr>
          <w:rFonts w:ascii="Times New Roman" w:hAnsi="Times New Roman" w:cs="Times New Roman"/>
          <w:color w:val="000000" w:themeColor="text1"/>
          <w14:textFill>
            <w14:solidFill>
              <w14:schemeClr w14:val="tx1"/>
            </w14:solidFill>
          </w14:textFill>
        </w:rPr>
        <w:t>1</w:t>
      </w:r>
      <w:r>
        <w:rPr>
          <w:rFonts w:hint="eastAsia"/>
          <w:color w:val="000000" w:themeColor="text1"/>
          <w14:textFill>
            <w14:solidFill>
              <w14:schemeClr w14:val="tx1"/>
            </w14:solidFill>
          </w14:textFill>
        </w:rPr>
        <w:t>个，为中心城区；</w:t>
      </w:r>
      <w:r>
        <w:rPr>
          <w:rFonts w:ascii="Times New Roman" w:hAnsi="Times New Roman" w:cs="Times New Roman"/>
          <w:color w:val="000000" w:themeColor="text1"/>
          <w14:textFill>
            <w14:solidFill>
              <w14:schemeClr w14:val="tx1"/>
            </w14:solidFill>
          </w14:textFill>
        </w:rPr>
        <w:t>1</w:t>
      </w:r>
      <w:r>
        <w:rPr>
          <w:rFonts w:hint="eastAsia" w:ascii="仿宋_GB2312"/>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5</w:t>
      </w:r>
      <w:r>
        <w:rPr>
          <w:rFonts w:hint="eastAsia"/>
          <w:color w:val="000000" w:themeColor="text1"/>
          <w14:textFill>
            <w14:solidFill>
              <w14:schemeClr w14:val="tx1"/>
            </w14:solidFill>
          </w14:textFill>
        </w:rPr>
        <w:t>万人小城镇</w:t>
      </w:r>
      <w:r>
        <w:rPr>
          <w:rFonts w:ascii="Times New Roman" w:hAnsi="Times New Roman" w:cs="Times New Roman"/>
          <w:color w:val="000000" w:themeColor="text1"/>
          <w14:textFill>
            <w14:solidFill>
              <w14:schemeClr w14:val="tx1"/>
            </w14:solidFill>
          </w14:textFill>
        </w:rPr>
        <w:t>1</w:t>
      </w:r>
      <w:r>
        <w:rPr>
          <w:rFonts w:hint="eastAsia"/>
          <w:color w:val="000000" w:themeColor="text1"/>
          <w14:textFill>
            <w14:solidFill>
              <w14:schemeClr w14:val="tx1"/>
            </w14:solidFill>
          </w14:textFill>
        </w:rPr>
        <w:t>个，为董塘镇；</w:t>
      </w:r>
      <w:r>
        <w:rPr>
          <w:rFonts w:ascii="Times New Roman" w:hAnsi="Times New Roman" w:cs="Times New Roman"/>
          <w:color w:val="000000" w:themeColor="text1"/>
          <w14:textFill>
            <w14:solidFill>
              <w14:schemeClr w14:val="tx1"/>
            </w14:solidFill>
          </w14:textFill>
        </w:rPr>
        <w:t>1</w:t>
      </w:r>
      <w:r>
        <w:rPr>
          <w:rFonts w:hint="eastAsia"/>
          <w:color w:val="000000" w:themeColor="text1"/>
          <w14:textFill>
            <w14:solidFill>
              <w14:schemeClr w14:val="tx1"/>
            </w14:solidFill>
          </w14:textFill>
        </w:rPr>
        <w:t>万人以内的小城镇</w:t>
      </w:r>
      <w:r>
        <w:rPr>
          <w:rFonts w:ascii="Times New Roman" w:hAnsi="Times New Roman" w:cs="Times New Roman"/>
          <w:color w:val="000000" w:themeColor="text1"/>
          <w14:textFill>
            <w14:solidFill>
              <w14:schemeClr w14:val="tx1"/>
            </w14:solidFill>
          </w14:textFill>
        </w:rPr>
        <w:t>9</w:t>
      </w:r>
      <w:r>
        <w:rPr>
          <w:rFonts w:hint="eastAsia"/>
          <w:color w:val="000000" w:themeColor="text1"/>
          <w14:textFill>
            <w14:solidFill>
              <w14:schemeClr w14:val="tx1"/>
            </w14:solidFill>
          </w14:textFill>
        </w:rPr>
        <w:t>个，为长江、周田、红山、闻韶、扶溪、黄坑、大桥、城口、石塘等镇。</w:t>
      </w:r>
    </w:p>
    <w:bookmarkEnd w:id="1298"/>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1904"/>
        <w:gridCol w:w="1268"/>
        <w:gridCol w:w="1904"/>
        <w:gridCol w:w="3423"/>
      </w:tblGrid>
      <w:tr w14:paraId="266FE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000" w:type="pct"/>
            <w:gridSpan w:val="5"/>
            <w:shd w:val="clear" w:color="auto" w:fill="D8D8D8" w:themeFill="background1" w:themeFillShade="D9"/>
            <w:vAlign w:val="center"/>
          </w:tcPr>
          <w:p w14:paraId="7F416FA8">
            <w:pPr>
              <w:pStyle w:val="193"/>
              <w:rPr>
                <w:rFonts w:ascii="黑体" w:hAnsi="黑体" w:eastAsia="黑体"/>
                <w:sz w:val="30"/>
                <w:szCs w:val="30"/>
              </w:rPr>
            </w:pPr>
            <w:r>
              <w:rPr>
                <w:rFonts w:hint="eastAsia" w:ascii="黑体" w:hAnsi="黑体" w:eastAsia="黑体"/>
                <w:sz w:val="30"/>
                <w:szCs w:val="30"/>
              </w:rPr>
              <w:t>专栏</w:t>
            </w:r>
            <w:r>
              <w:rPr>
                <w:rFonts w:eastAsia="黑体" w:cs="Times New Roman"/>
                <w:sz w:val="30"/>
                <w:szCs w:val="30"/>
              </w:rPr>
              <w:t>7</w:t>
            </w:r>
            <w:r>
              <w:rPr>
                <w:rFonts w:ascii="黑体" w:hAnsi="黑体" w:eastAsia="黑体"/>
                <w:sz w:val="30"/>
                <w:szCs w:val="30"/>
              </w:rPr>
              <w:t>-</w:t>
            </w:r>
            <w:r>
              <w:rPr>
                <w:rFonts w:eastAsia="黑体" w:cs="Times New Roman"/>
                <w:sz w:val="30"/>
                <w:szCs w:val="30"/>
              </w:rPr>
              <w:t>1</w:t>
            </w:r>
            <w:r>
              <w:rPr>
                <w:rFonts w:hint="eastAsia" w:ascii="黑体" w:hAnsi="黑体" w:eastAsia="黑体"/>
                <w:sz w:val="30"/>
                <w:szCs w:val="30"/>
              </w:rPr>
              <w:t>：县域城镇等级规模体系</w:t>
            </w:r>
          </w:p>
        </w:tc>
      </w:tr>
      <w:tr w14:paraId="61902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24" w:type="pct"/>
            <w:vAlign w:val="center"/>
          </w:tcPr>
          <w:p w14:paraId="2DD5C08A">
            <w:pPr>
              <w:pStyle w:val="193"/>
              <w:rPr>
                <w:b/>
                <w:bCs/>
                <w:sz w:val="24"/>
                <w:szCs w:val="24"/>
              </w:rPr>
            </w:pPr>
            <w:r>
              <w:rPr>
                <w:rFonts w:hint="eastAsia"/>
                <w:b/>
                <w:bCs/>
                <w:sz w:val="24"/>
                <w:szCs w:val="24"/>
              </w:rPr>
              <w:t>序号</w:t>
            </w:r>
          </w:p>
        </w:tc>
        <w:tc>
          <w:tcPr>
            <w:tcW w:w="1025" w:type="pct"/>
            <w:vAlign w:val="center"/>
          </w:tcPr>
          <w:p w14:paraId="6C5A0E9A">
            <w:pPr>
              <w:pStyle w:val="193"/>
              <w:rPr>
                <w:b/>
                <w:bCs/>
                <w:sz w:val="24"/>
                <w:szCs w:val="24"/>
              </w:rPr>
            </w:pPr>
            <w:r>
              <w:rPr>
                <w:rFonts w:hint="eastAsia"/>
                <w:b/>
                <w:bCs/>
                <w:sz w:val="24"/>
                <w:szCs w:val="24"/>
              </w:rPr>
              <w:t>规模等级</w:t>
            </w:r>
          </w:p>
        </w:tc>
        <w:tc>
          <w:tcPr>
            <w:tcW w:w="683" w:type="pct"/>
            <w:vAlign w:val="center"/>
          </w:tcPr>
          <w:p w14:paraId="379D2863">
            <w:pPr>
              <w:pStyle w:val="193"/>
              <w:rPr>
                <w:b/>
                <w:bCs/>
                <w:sz w:val="24"/>
                <w:szCs w:val="24"/>
              </w:rPr>
            </w:pPr>
            <w:r>
              <w:rPr>
                <w:rFonts w:hint="eastAsia"/>
                <w:b/>
                <w:bCs/>
                <w:sz w:val="24"/>
                <w:szCs w:val="24"/>
              </w:rPr>
              <w:t>城镇数量</w:t>
            </w:r>
          </w:p>
        </w:tc>
        <w:tc>
          <w:tcPr>
            <w:tcW w:w="1025" w:type="pct"/>
            <w:vAlign w:val="center"/>
          </w:tcPr>
          <w:p w14:paraId="43A90C10">
            <w:pPr>
              <w:pStyle w:val="193"/>
              <w:rPr>
                <w:b/>
                <w:bCs/>
                <w:sz w:val="24"/>
                <w:szCs w:val="24"/>
              </w:rPr>
            </w:pPr>
            <w:r>
              <w:rPr>
                <w:rFonts w:hint="eastAsia"/>
                <w:b/>
                <w:bCs/>
                <w:sz w:val="24"/>
                <w:szCs w:val="24"/>
              </w:rPr>
              <w:t>城镇人口规模</w:t>
            </w:r>
          </w:p>
        </w:tc>
        <w:tc>
          <w:tcPr>
            <w:tcW w:w="1843" w:type="pct"/>
            <w:vAlign w:val="center"/>
          </w:tcPr>
          <w:p w14:paraId="330EB49B">
            <w:pPr>
              <w:pStyle w:val="193"/>
              <w:rPr>
                <w:b/>
                <w:bCs/>
                <w:sz w:val="24"/>
                <w:szCs w:val="24"/>
              </w:rPr>
            </w:pPr>
            <w:r>
              <w:rPr>
                <w:rFonts w:hint="eastAsia"/>
                <w:b/>
                <w:bCs/>
                <w:sz w:val="24"/>
                <w:szCs w:val="24"/>
              </w:rPr>
              <w:t>城镇名称</w:t>
            </w:r>
          </w:p>
        </w:tc>
      </w:tr>
      <w:tr w14:paraId="5BC17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Align w:val="center"/>
          </w:tcPr>
          <w:p w14:paraId="4CE797DD">
            <w:pPr>
              <w:pStyle w:val="193"/>
              <w:rPr>
                <w:rFonts w:cs="Times New Roman"/>
                <w:sz w:val="24"/>
                <w:szCs w:val="24"/>
              </w:rPr>
            </w:pPr>
            <w:r>
              <w:rPr>
                <w:rFonts w:cs="Times New Roman"/>
                <w:sz w:val="24"/>
                <w:szCs w:val="24"/>
              </w:rPr>
              <w:t>1</w:t>
            </w:r>
          </w:p>
        </w:tc>
        <w:tc>
          <w:tcPr>
            <w:tcW w:w="1025" w:type="pct"/>
            <w:shd w:val="clear" w:color="auto" w:fill="auto"/>
            <w:vAlign w:val="center"/>
          </w:tcPr>
          <w:p w14:paraId="5D9D477D">
            <w:pPr>
              <w:pStyle w:val="193"/>
              <w:rPr>
                <w:sz w:val="24"/>
                <w:szCs w:val="24"/>
              </w:rPr>
            </w:pPr>
            <w:r>
              <w:rPr>
                <w:rFonts w:hint="eastAsia"/>
                <w:sz w:val="24"/>
                <w:szCs w:val="24"/>
              </w:rPr>
              <w:t>县级中心城市</w:t>
            </w:r>
          </w:p>
        </w:tc>
        <w:tc>
          <w:tcPr>
            <w:tcW w:w="683" w:type="pct"/>
            <w:shd w:val="clear" w:color="auto" w:fill="auto"/>
            <w:vAlign w:val="center"/>
          </w:tcPr>
          <w:p w14:paraId="18675949">
            <w:pPr>
              <w:pStyle w:val="193"/>
              <w:rPr>
                <w:rFonts w:cs="Times New Roman"/>
                <w:sz w:val="24"/>
                <w:szCs w:val="24"/>
              </w:rPr>
            </w:pPr>
            <w:r>
              <w:rPr>
                <w:rFonts w:cs="Times New Roman"/>
                <w:sz w:val="24"/>
                <w:szCs w:val="24"/>
              </w:rPr>
              <w:t>1</w:t>
            </w:r>
          </w:p>
        </w:tc>
        <w:tc>
          <w:tcPr>
            <w:tcW w:w="1025" w:type="pct"/>
            <w:vAlign w:val="center"/>
          </w:tcPr>
          <w:p w14:paraId="06200952">
            <w:pPr>
              <w:pStyle w:val="193"/>
              <w:rPr>
                <w:sz w:val="24"/>
                <w:szCs w:val="24"/>
              </w:rPr>
            </w:pPr>
            <w:r>
              <w:rPr>
                <w:rFonts w:cs="Times New Roman"/>
                <w:sz w:val="24"/>
                <w:szCs w:val="24"/>
              </w:rPr>
              <w:t>5</w:t>
            </w:r>
            <w:r>
              <w:rPr>
                <w:rFonts w:hint="eastAsia"/>
                <w:sz w:val="24"/>
                <w:szCs w:val="24"/>
              </w:rPr>
              <w:t>-</w:t>
            </w:r>
            <w:r>
              <w:rPr>
                <w:rFonts w:cs="Times New Roman"/>
                <w:sz w:val="24"/>
                <w:szCs w:val="24"/>
              </w:rPr>
              <w:t>10</w:t>
            </w:r>
            <w:r>
              <w:rPr>
                <w:rFonts w:hint="eastAsia"/>
                <w:sz w:val="24"/>
                <w:szCs w:val="24"/>
              </w:rPr>
              <w:t>万</w:t>
            </w:r>
          </w:p>
        </w:tc>
        <w:tc>
          <w:tcPr>
            <w:tcW w:w="1843" w:type="pct"/>
            <w:shd w:val="clear" w:color="auto" w:fill="auto"/>
            <w:vAlign w:val="center"/>
          </w:tcPr>
          <w:p w14:paraId="2C07C7D6">
            <w:pPr>
              <w:pStyle w:val="193"/>
              <w:rPr>
                <w:sz w:val="24"/>
                <w:szCs w:val="24"/>
              </w:rPr>
            </w:pPr>
            <w:r>
              <w:rPr>
                <w:rFonts w:hint="eastAsia"/>
                <w:sz w:val="24"/>
                <w:szCs w:val="24"/>
              </w:rPr>
              <w:t>中心城区</w:t>
            </w:r>
          </w:p>
        </w:tc>
      </w:tr>
      <w:tr w14:paraId="563D3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Merge w:val="restart"/>
            <w:vAlign w:val="center"/>
          </w:tcPr>
          <w:p w14:paraId="4587FCE0">
            <w:pPr>
              <w:pStyle w:val="193"/>
              <w:rPr>
                <w:rFonts w:cs="Times New Roman"/>
                <w:sz w:val="24"/>
                <w:szCs w:val="24"/>
              </w:rPr>
            </w:pPr>
            <w:r>
              <w:rPr>
                <w:rFonts w:cs="Times New Roman"/>
                <w:sz w:val="24"/>
                <w:szCs w:val="24"/>
              </w:rPr>
              <w:t>2</w:t>
            </w:r>
          </w:p>
        </w:tc>
        <w:tc>
          <w:tcPr>
            <w:tcW w:w="1025" w:type="pct"/>
            <w:vMerge w:val="restart"/>
            <w:shd w:val="clear" w:color="auto" w:fill="auto"/>
            <w:vAlign w:val="center"/>
          </w:tcPr>
          <w:p w14:paraId="477A8CBB">
            <w:pPr>
              <w:pStyle w:val="193"/>
              <w:rPr>
                <w:sz w:val="24"/>
                <w:szCs w:val="24"/>
              </w:rPr>
            </w:pPr>
            <w:r>
              <w:rPr>
                <w:rFonts w:hint="eastAsia"/>
                <w:sz w:val="24"/>
                <w:szCs w:val="24"/>
              </w:rPr>
              <w:t>重点镇</w:t>
            </w:r>
          </w:p>
        </w:tc>
        <w:tc>
          <w:tcPr>
            <w:tcW w:w="683" w:type="pct"/>
            <w:shd w:val="clear" w:color="auto" w:fill="auto"/>
            <w:vAlign w:val="center"/>
          </w:tcPr>
          <w:p w14:paraId="428F3EC4">
            <w:pPr>
              <w:pStyle w:val="193"/>
              <w:rPr>
                <w:rFonts w:cs="Times New Roman"/>
                <w:sz w:val="24"/>
                <w:szCs w:val="24"/>
              </w:rPr>
            </w:pPr>
            <w:r>
              <w:rPr>
                <w:rFonts w:cs="Times New Roman"/>
                <w:sz w:val="24"/>
                <w:szCs w:val="24"/>
              </w:rPr>
              <w:t>1</w:t>
            </w:r>
          </w:p>
        </w:tc>
        <w:tc>
          <w:tcPr>
            <w:tcW w:w="1025" w:type="pct"/>
            <w:vAlign w:val="center"/>
          </w:tcPr>
          <w:p w14:paraId="01763616">
            <w:pPr>
              <w:pStyle w:val="193"/>
              <w:rPr>
                <w:sz w:val="24"/>
                <w:szCs w:val="24"/>
              </w:rPr>
            </w:pPr>
            <w:r>
              <w:rPr>
                <w:rFonts w:cs="Times New Roman"/>
                <w:sz w:val="24"/>
                <w:szCs w:val="24"/>
              </w:rPr>
              <w:t>1</w:t>
            </w:r>
            <w:r>
              <w:rPr>
                <w:sz w:val="24"/>
                <w:szCs w:val="24"/>
              </w:rPr>
              <w:t>-</w:t>
            </w:r>
            <w:r>
              <w:rPr>
                <w:rFonts w:cs="Times New Roman"/>
                <w:sz w:val="24"/>
                <w:szCs w:val="24"/>
              </w:rPr>
              <w:t>5</w:t>
            </w:r>
            <w:r>
              <w:rPr>
                <w:rFonts w:hint="eastAsia"/>
                <w:sz w:val="24"/>
                <w:szCs w:val="24"/>
              </w:rPr>
              <w:t>万</w:t>
            </w:r>
          </w:p>
        </w:tc>
        <w:tc>
          <w:tcPr>
            <w:tcW w:w="1843" w:type="pct"/>
            <w:shd w:val="clear" w:color="auto" w:fill="auto"/>
            <w:vAlign w:val="center"/>
          </w:tcPr>
          <w:p w14:paraId="3BC2B3E8">
            <w:pPr>
              <w:pStyle w:val="193"/>
              <w:rPr>
                <w:sz w:val="24"/>
                <w:szCs w:val="24"/>
              </w:rPr>
            </w:pPr>
            <w:r>
              <w:rPr>
                <w:rFonts w:hint="eastAsia"/>
                <w:sz w:val="24"/>
                <w:szCs w:val="24"/>
              </w:rPr>
              <w:t>董塘镇</w:t>
            </w:r>
          </w:p>
        </w:tc>
      </w:tr>
      <w:tr w14:paraId="6B94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Merge w:val="continue"/>
            <w:vAlign w:val="center"/>
          </w:tcPr>
          <w:p w14:paraId="25FBFDFC">
            <w:pPr>
              <w:pStyle w:val="193"/>
              <w:rPr>
                <w:sz w:val="24"/>
                <w:szCs w:val="24"/>
              </w:rPr>
            </w:pPr>
          </w:p>
        </w:tc>
        <w:tc>
          <w:tcPr>
            <w:tcW w:w="1025" w:type="pct"/>
            <w:vMerge w:val="continue"/>
            <w:shd w:val="clear" w:color="auto" w:fill="auto"/>
            <w:vAlign w:val="center"/>
          </w:tcPr>
          <w:p w14:paraId="1141595C">
            <w:pPr>
              <w:pStyle w:val="193"/>
              <w:rPr>
                <w:sz w:val="24"/>
                <w:szCs w:val="24"/>
              </w:rPr>
            </w:pPr>
          </w:p>
        </w:tc>
        <w:tc>
          <w:tcPr>
            <w:tcW w:w="683" w:type="pct"/>
            <w:shd w:val="clear" w:color="auto" w:fill="auto"/>
            <w:vAlign w:val="center"/>
          </w:tcPr>
          <w:p w14:paraId="0E4CE17C">
            <w:pPr>
              <w:pStyle w:val="193"/>
              <w:rPr>
                <w:rFonts w:cs="Times New Roman"/>
                <w:sz w:val="24"/>
                <w:szCs w:val="24"/>
              </w:rPr>
            </w:pPr>
            <w:r>
              <w:rPr>
                <w:rFonts w:cs="Times New Roman"/>
                <w:sz w:val="24"/>
                <w:szCs w:val="24"/>
              </w:rPr>
              <w:t>2</w:t>
            </w:r>
          </w:p>
        </w:tc>
        <w:tc>
          <w:tcPr>
            <w:tcW w:w="1025" w:type="pct"/>
            <w:vAlign w:val="center"/>
          </w:tcPr>
          <w:p w14:paraId="656BB089">
            <w:pPr>
              <w:pStyle w:val="193"/>
              <w:rPr>
                <w:sz w:val="24"/>
                <w:szCs w:val="24"/>
              </w:rPr>
            </w:pPr>
            <w:r>
              <w:rPr>
                <w:rFonts w:cs="Times New Roman"/>
                <w:sz w:val="24"/>
                <w:szCs w:val="24"/>
              </w:rPr>
              <w:t>1</w:t>
            </w:r>
            <w:r>
              <w:rPr>
                <w:rFonts w:hint="eastAsia"/>
                <w:sz w:val="24"/>
                <w:szCs w:val="24"/>
              </w:rPr>
              <w:t>万以下</w:t>
            </w:r>
          </w:p>
        </w:tc>
        <w:tc>
          <w:tcPr>
            <w:tcW w:w="1843" w:type="pct"/>
            <w:shd w:val="clear" w:color="auto" w:fill="auto"/>
            <w:vAlign w:val="center"/>
          </w:tcPr>
          <w:p w14:paraId="630946D1">
            <w:pPr>
              <w:pStyle w:val="193"/>
              <w:rPr>
                <w:sz w:val="24"/>
                <w:szCs w:val="24"/>
              </w:rPr>
            </w:pPr>
            <w:r>
              <w:rPr>
                <w:rFonts w:hint="eastAsia"/>
                <w:sz w:val="24"/>
                <w:szCs w:val="24"/>
              </w:rPr>
              <w:t>长江镇、周田镇</w:t>
            </w:r>
          </w:p>
        </w:tc>
      </w:tr>
      <w:tr w14:paraId="0C7D4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Align w:val="center"/>
          </w:tcPr>
          <w:p w14:paraId="4BDC42F3">
            <w:pPr>
              <w:pStyle w:val="193"/>
              <w:rPr>
                <w:rFonts w:cs="Times New Roman"/>
                <w:sz w:val="24"/>
                <w:szCs w:val="24"/>
              </w:rPr>
            </w:pPr>
            <w:r>
              <w:rPr>
                <w:rFonts w:cs="Times New Roman"/>
                <w:sz w:val="24"/>
                <w:szCs w:val="24"/>
              </w:rPr>
              <w:t>3</w:t>
            </w:r>
          </w:p>
        </w:tc>
        <w:tc>
          <w:tcPr>
            <w:tcW w:w="1025" w:type="pct"/>
            <w:shd w:val="clear" w:color="auto" w:fill="auto"/>
            <w:vAlign w:val="center"/>
          </w:tcPr>
          <w:p w14:paraId="093B4CD9">
            <w:pPr>
              <w:pStyle w:val="193"/>
              <w:rPr>
                <w:sz w:val="24"/>
                <w:szCs w:val="24"/>
              </w:rPr>
            </w:pPr>
            <w:r>
              <w:rPr>
                <w:rFonts w:hint="eastAsia"/>
                <w:sz w:val="24"/>
                <w:szCs w:val="24"/>
              </w:rPr>
              <w:t>一般镇</w:t>
            </w:r>
          </w:p>
        </w:tc>
        <w:tc>
          <w:tcPr>
            <w:tcW w:w="683" w:type="pct"/>
            <w:shd w:val="clear" w:color="auto" w:fill="auto"/>
            <w:vAlign w:val="center"/>
          </w:tcPr>
          <w:p w14:paraId="6D52222D">
            <w:pPr>
              <w:pStyle w:val="193"/>
              <w:rPr>
                <w:rFonts w:cs="Times New Roman"/>
                <w:sz w:val="24"/>
                <w:szCs w:val="24"/>
              </w:rPr>
            </w:pPr>
            <w:r>
              <w:rPr>
                <w:rFonts w:cs="Times New Roman"/>
                <w:sz w:val="24"/>
                <w:szCs w:val="24"/>
              </w:rPr>
              <w:t>7</w:t>
            </w:r>
          </w:p>
        </w:tc>
        <w:tc>
          <w:tcPr>
            <w:tcW w:w="1025" w:type="pct"/>
            <w:vAlign w:val="center"/>
          </w:tcPr>
          <w:p w14:paraId="588D1E4B">
            <w:pPr>
              <w:pStyle w:val="193"/>
              <w:rPr>
                <w:sz w:val="24"/>
                <w:szCs w:val="24"/>
              </w:rPr>
            </w:pPr>
            <w:r>
              <w:rPr>
                <w:rFonts w:cs="Times New Roman"/>
                <w:sz w:val="24"/>
                <w:szCs w:val="24"/>
              </w:rPr>
              <w:t>1</w:t>
            </w:r>
            <w:r>
              <w:rPr>
                <w:rFonts w:hint="eastAsia"/>
                <w:sz w:val="24"/>
                <w:szCs w:val="24"/>
              </w:rPr>
              <w:t>万以下</w:t>
            </w:r>
          </w:p>
        </w:tc>
        <w:tc>
          <w:tcPr>
            <w:tcW w:w="1843" w:type="pct"/>
            <w:shd w:val="clear" w:color="auto" w:fill="auto"/>
            <w:vAlign w:val="center"/>
          </w:tcPr>
          <w:p w14:paraId="53E75F24">
            <w:pPr>
              <w:pStyle w:val="193"/>
              <w:rPr>
                <w:sz w:val="24"/>
                <w:szCs w:val="24"/>
              </w:rPr>
            </w:pPr>
            <w:r>
              <w:rPr>
                <w:rFonts w:hint="eastAsia"/>
                <w:sz w:val="24"/>
                <w:szCs w:val="24"/>
              </w:rPr>
              <w:t>红山镇、闻韶镇、扶溪镇、黄坑镇、大桥镇、城口镇、石塘镇</w:t>
            </w:r>
          </w:p>
        </w:tc>
      </w:tr>
    </w:tbl>
    <w:p w14:paraId="370571B8">
      <w:pPr>
        <w:pStyle w:val="6"/>
        <w:spacing w:before="163" w:after="163"/>
        <w:rPr>
          <w:b/>
        </w:rPr>
      </w:pPr>
      <w:r>
        <w:rPr>
          <w:rFonts w:hint="eastAsia"/>
        </w:rPr>
        <w:t>确定城镇职能</w:t>
      </w:r>
    </w:p>
    <w:p w14:paraId="386EE3CB">
      <w:pPr>
        <w:ind w:firstLine="600"/>
        <w:jc w:val="both"/>
        <w:rPr>
          <w:rFonts w:ascii="仿宋_GB2312" w:hAnsi="仿宋" w:cs="Times New Roman"/>
          <w:b/>
          <w:color w:val="000000" w:themeColor="text1"/>
          <w:sz w:val="28"/>
          <w:szCs w:val="28"/>
          <w14:textFill>
            <w14:solidFill>
              <w14:schemeClr w14:val="tx1"/>
            </w14:solidFill>
          </w14:textFill>
        </w:rPr>
      </w:pPr>
      <w:bookmarkStart w:id="1299" w:name="_Hlk145925179"/>
      <w:r>
        <w:rPr>
          <w:rFonts w:hint="eastAsia"/>
          <w:color w:val="000000" w:themeColor="text1"/>
          <w14:textFill>
            <w14:solidFill>
              <w14:schemeClr w14:val="tx1"/>
            </w14:solidFill>
          </w14:textFill>
        </w:rPr>
        <w:t>划分综合型、工贸型、农业型、旅游型四类城镇职能，科学引导城镇发展方向。</w:t>
      </w:r>
    </w:p>
    <w:bookmarkEnd w:id="1299"/>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2"/>
        <w:gridCol w:w="1307"/>
        <w:gridCol w:w="6967"/>
      </w:tblGrid>
      <w:tr w14:paraId="2FC22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 w:hRule="atLeast"/>
          <w:tblHeader/>
          <w:jc w:val="center"/>
        </w:trPr>
        <w:tc>
          <w:tcPr>
            <w:tcW w:w="5000" w:type="pct"/>
            <w:gridSpan w:val="3"/>
            <w:shd w:val="clear" w:color="auto" w:fill="D8D8D8" w:themeFill="background1" w:themeFillShade="D9"/>
            <w:vAlign w:val="center"/>
          </w:tcPr>
          <w:p w14:paraId="0A4AA375">
            <w:pPr>
              <w:ind w:firstLine="0" w:firstLineChars="0"/>
              <w:jc w:val="center"/>
              <w:rPr>
                <w:rFonts w:ascii="仿宋_GB2312" w:cs="宋体"/>
                <w:b/>
                <w:bCs/>
                <w:color w:val="000000" w:themeColor="text1"/>
                <w:kern w:val="0"/>
                <w:sz w:val="22"/>
                <w14:textFill>
                  <w14:solidFill>
                    <w14:schemeClr w14:val="tx1"/>
                  </w14:solidFill>
                </w14:textFill>
              </w:rPr>
            </w:pPr>
            <w:r>
              <w:rPr>
                <w:rFonts w:hint="eastAsia" w:ascii="Times New Roman" w:hAnsi="Times New Roman" w:eastAsia="黑体" w:cs="Times New Roman"/>
                <w:kern w:val="0"/>
                <w:szCs w:val="30"/>
              </w:rPr>
              <w:t>专栏</w:t>
            </w:r>
            <w:r>
              <w:rPr>
                <w:rFonts w:ascii="Times New Roman" w:hAnsi="Times New Roman" w:eastAsia="黑体" w:cs="Times New Roman"/>
                <w:kern w:val="0"/>
                <w:szCs w:val="30"/>
              </w:rPr>
              <w:t>7</w:t>
            </w:r>
            <w:r>
              <w:rPr>
                <w:rFonts w:ascii="Times New Roman" w:hAnsi="Times New Roman" w:cs="Times New Roman"/>
                <w:kern w:val="0"/>
                <w:szCs w:val="30"/>
              </w:rPr>
              <w:t>-2</w:t>
            </w:r>
            <w:r>
              <w:rPr>
                <w:rFonts w:hint="eastAsia" w:ascii="Times New Roman" w:hAnsi="Times New Roman" w:eastAsia="黑体" w:cs="Times New Roman"/>
                <w:kern w:val="0"/>
                <w:szCs w:val="30"/>
              </w:rPr>
              <w:t>：各镇（街）主要职能定位</w:t>
            </w:r>
          </w:p>
        </w:tc>
      </w:tr>
      <w:tr w14:paraId="464EB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blHeader/>
          <w:jc w:val="center"/>
        </w:trPr>
        <w:tc>
          <w:tcPr>
            <w:tcW w:w="545" w:type="pct"/>
            <w:shd w:val="clear" w:color="auto" w:fill="FFFFFF" w:themeFill="background1"/>
            <w:vAlign w:val="center"/>
          </w:tcPr>
          <w:p w14:paraId="7B2C52B4">
            <w:pPr>
              <w:ind w:firstLine="0" w:firstLineChars="0"/>
              <w:jc w:val="center"/>
              <w:rPr>
                <w:rFonts w:ascii="仿宋_GB2312" w:cs="宋体"/>
                <w:b/>
                <w:bCs/>
                <w:color w:val="000000" w:themeColor="text1"/>
                <w:kern w:val="0"/>
                <w:sz w:val="24"/>
                <w:szCs w:val="24"/>
                <w14:textFill>
                  <w14:solidFill>
                    <w14:schemeClr w14:val="tx1"/>
                  </w14:solidFill>
                </w14:textFill>
              </w:rPr>
            </w:pPr>
            <w:r>
              <w:rPr>
                <w:rFonts w:hint="eastAsia" w:ascii="仿宋_GB2312" w:cs="宋体"/>
                <w:b/>
                <w:bCs/>
                <w:color w:val="000000" w:themeColor="text1"/>
                <w:kern w:val="0"/>
                <w:sz w:val="24"/>
                <w:szCs w:val="24"/>
                <w14:textFill>
                  <w14:solidFill>
                    <w14:schemeClr w14:val="tx1"/>
                  </w14:solidFill>
                </w14:textFill>
              </w:rPr>
              <w:t>名称</w:t>
            </w:r>
          </w:p>
        </w:tc>
        <w:tc>
          <w:tcPr>
            <w:tcW w:w="704" w:type="pct"/>
            <w:shd w:val="clear" w:color="auto" w:fill="FFFFFF" w:themeFill="background1"/>
            <w:vAlign w:val="center"/>
          </w:tcPr>
          <w:p w14:paraId="0800B91A">
            <w:pPr>
              <w:ind w:firstLine="0" w:firstLineChars="0"/>
              <w:jc w:val="center"/>
              <w:rPr>
                <w:rFonts w:ascii="仿宋_GB2312" w:cs="宋体"/>
                <w:b/>
                <w:bCs/>
                <w:color w:val="000000" w:themeColor="text1"/>
                <w:kern w:val="0"/>
                <w:sz w:val="24"/>
                <w:szCs w:val="24"/>
                <w14:textFill>
                  <w14:solidFill>
                    <w14:schemeClr w14:val="tx1"/>
                  </w14:solidFill>
                </w14:textFill>
              </w:rPr>
            </w:pPr>
            <w:r>
              <w:rPr>
                <w:rFonts w:hint="eastAsia" w:ascii="仿宋_GB2312" w:cs="宋体"/>
                <w:b/>
                <w:bCs/>
                <w:color w:val="000000" w:themeColor="text1"/>
                <w:kern w:val="0"/>
                <w:sz w:val="24"/>
                <w:szCs w:val="24"/>
                <w14:textFill>
                  <w14:solidFill>
                    <w14:schemeClr w14:val="tx1"/>
                  </w14:solidFill>
                </w14:textFill>
              </w:rPr>
              <w:t>职能类型</w:t>
            </w:r>
          </w:p>
        </w:tc>
        <w:tc>
          <w:tcPr>
            <w:tcW w:w="3751" w:type="pct"/>
            <w:shd w:val="clear" w:color="auto" w:fill="FFFFFF" w:themeFill="background1"/>
            <w:vAlign w:val="center"/>
          </w:tcPr>
          <w:p w14:paraId="5B803263">
            <w:pPr>
              <w:ind w:firstLine="0" w:firstLineChars="0"/>
              <w:jc w:val="center"/>
              <w:rPr>
                <w:rFonts w:ascii="仿宋_GB2312" w:cs="宋体"/>
                <w:b/>
                <w:bCs/>
                <w:color w:val="000000" w:themeColor="text1"/>
                <w:kern w:val="0"/>
                <w:sz w:val="24"/>
                <w:szCs w:val="24"/>
                <w14:textFill>
                  <w14:solidFill>
                    <w14:schemeClr w14:val="tx1"/>
                  </w14:solidFill>
                </w14:textFill>
              </w:rPr>
            </w:pPr>
            <w:r>
              <w:rPr>
                <w:rFonts w:hint="eastAsia" w:ascii="仿宋_GB2312" w:cs="宋体"/>
                <w:b/>
                <w:bCs/>
                <w:color w:val="000000" w:themeColor="text1"/>
                <w:kern w:val="0"/>
                <w:sz w:val="24"/>
                <w:szCs w:val="24"/>
                <w14:textFill>
                  <w14:solidFill>
                    <w14:schemeClr w14:val="tx1"/>
                  </w14:solidFill>
                </w14:textFill>
              </w:rPr>
              <w:t>发展指引</w:t>
            </w:r>
          </w:p>
        </w:tc>
      </w:tr>
      <w:tr w14:paraId="6F422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 w:hRule="atLeast"/>
          <w:jc w:val="center"/>
        </w:trPr>
        <w:tc>
          <w:tcPr>
            <w:tcW w:w="545" w:type="pct"/>
            <w:vAlign w:val="center"/>
          </w:tcPr>
          <w:p w14:paraId="408BB83C">
            <w:pPr>
              <w:ind w:firstLine="0" w:firstLineChars="0"/>
              <w:jc w:val="center"/>
              <w:rPr>
                <w:rFonts w:ascii="仿宋_GB2312" w:cs="宋体"/>
                <w:color w:val="000000" w:themeColor="text1"/>
                <w:kern w:val="0"/>
                <w:sz w:val="24"/>
                <w:szCs w:val="24"/>
                <w14:textFill>
                  <w14:solidFill>
                    <w14:schemeClr w14:val="tx1"/>
                  </w14:solidFill>
                </w14:textFill>
              </w:rPr>
            </w:pPr>
            <w:r>
              <w:rPr>
                <w:rFonts w:hint="eastAsia" w:ascii="仿宋_GB2312" w:cs="宋体"/>
                <w:color w:val="000000" w:themeColor="text1"/>
                <w:kern w:val="0"/>
                <w:sz w:val="24"/>
                <w:szCs w:val="24"/>
                <w14:textFill>
                  <w14:solidFill>
                    <w14:schemeClr w14:val="tx1"/>
                  </w14:solidFill>
                </w14:textFill>
              </w:rPr>
              <w:t>丹霞街道</w:t>
            </w:r>
          </w:p>
        </w:tc>
        <w:tc>
          <w:tcPr>
            <w:tcW w:w="704" w:type="pct"/>
            <w:vAlign w:val="center"/>
          </w:tcPr>
          <w:p w14:paraId="230CF891">
            <w:pPr>
              <w:ind w:firstLine="0" w:firstLineChars="0"/>
              <w:jc w:val="center"/>
              <w:rPr>
                <w:rFonts w:ascii="仿宋_GB2312" w:cs="宋体"/>
                <w:color w:val="000000" w:themeColor="text1"/>
                <w:kern w:val="0"/>
                <w:sz w:val="24"/>
                <w:szCs w:val="24"/>
                <w14:textFill>
                  <w14:solidFill>
                    <w14:schemeClr w14:val="tx1"/>
                  </w14:solidFill>
                </w14:textFill>
              </w:rPr>
            </w:pPr>
            <w:r>
              <w:rPr>
                <w:rFonts w:hint="eastAsia" w:ascii="仿宋_GB2312" w:cs="宋体"/>
                <w:color w:val="000000" w:themeColor="text1"/>
                <w:kern w:val="0"/>
                <w:sz w:val="24"/>
                <w:szCs w:val="24"/>
                <w14:textFill>
                  <w14:solidFill>
                    <w14:schemeClr w14:val="tx1"/>
                  </w14:solidFill>
                </w14:textFill>
              </w:rPr>
              <w:t>综合型</w:t>
            </w:r>
          </w:p>
        </w:tc>
        <w:tc>
          <w:tcPr>
            <w:tcW w:w="3751" w:type="pct"/>
            <w:vAlign w:val="center"/>
          </w:tcPr>
          <w:p w14:paraId="61086184">
            <w:pPr>
              <w:spacing w:before="48" w:beforeLines="15" w:after="48" w:afterLines="15" w:line="280" w:lineRule="exact"/>
              <w:ind w:firstLine="0" w:firstLineChars="0"/>
              <w:jc w:val="both"/>
              <w:rPr>
                <w:rFonts w:ascii="仿宋_GB2312" w:cs="宋体"/>
                <w:color w:val="000000" w:themeColor="text1"/>
                <w:kern w:val="0"/>
                <w:sz w:val="24"/>
                <w:szCs w:val="24"/>
                <w14:textFill>
                  <w14:solidFill>
                    <w14:schemeClr w14:val="tx1"/>
                  </w14:solidFill>
                </w14:textFill>
              </w:rPr>
            </w:pPr>
            <w:r>
              <w:rPr>
                <w:rFonts w:hint="eastAsia" w:ascii="仿宋_GB2312" w:cs="宋体"/>
                <w:color w:val="000000" w:themeColor="text1"/>
                <w:kern w:val="0"/>
                <w:sz w:val="24"/>
                <w:szCs w:val="24"/>
                <w14:textFill>
                  <w14:solidFill>
                    <w14:schemeClr w14:val="tx1"/>
                  </w14:solidFill>
                </w14:textFill>
              </w:rPr>
              <w:t>县域政治、经济、文化中心，县域旅游服务中心，大力发展旅游服务业，培育包括循环经济产业、大健康产业、数字文化创意产业、智慧物流等创新类产业。</w:t>
            </w:r>
          </w:p>
        </w:tc>
      </w:tr>
      <w:tr w14:paraId="352B3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 w:hRule="atLeast"/>
          <w:jc w:val="center"/>
        </w:trPr>
        <w:tc>
          <w:tcPr>
            <w:tcW w:w="545" w:type="pct"/>
            <w:vAlign w:val="center"/>
          </w:tcPr>
          <w:p w14:paraId="7D2830DB">
            <w:pPr>
              <w:ind w:firstLine="0" w:firstLineChars="0"/>
              <w:jc w:val="center"/>
              <w:rPr>
                <w:rFonts w:ascii="仿宋_GB2312" w:cs="宋体"/>
                <w:color w:val="000000" w:themeColor="text1"/>
                <w:kern w:val="0"/>
                <w:sz w:val="24"/>
                <w:szCs w:val="24"/>
                <w14:textFill>
                  <w14:solidFill>
                    <w14:schemeClr w14:val="tx1"/>
                  </w14:solidFill>
                </w14:textFill>
              </w:rPr>
            </w:pPr>
            <w:r>
              <w:rPr>
                <w:rFonts w:hint="eastAsia" w:ascii="仿宋_GB2312" w:cs="宋体"/>
                <w:color w:val="000000" w:themeColor="text1"/>
                <w:kern w:val="0"/>
                <w:sz w:val="24"/>
                <w:szCs w:val="24"/>
                <w14:textFill>
                  <w14:solidFill>
                    <w14:schemeClr w14:val="tx1"/>
                  </w14:solidFill>
                </w14:textFill>
              </w:rPr>
              <w:t>周田镇</w:t>
            </w:r>
          </w:p>
        </w:tc>
        <w:tc>
          <w:tcPr>
            <w:tcW w:w="704" w:type="pct"/>
            <w:vAlign w:val="center"/>
          </w:tcPr>
          <w:p w14:paraId="75578EBA">
            <w:pPr>
              <w:ind w:firstLine="0" w:firstLineChars="0"/>
              <w:jc w:val="center"/>
              <w:rPr>
                <w:rFonts w:ascii="仿宋_GB2312" w:cs="宋体"/>
                <w:color w:val="000000" w:themeColor="text1"/>
                <w:kern w:val="0"/>
                <w:sz w:val="24"/>
                <w:szCs w:val="24"/>
                <w14:textFill>
                  <w14:solidFill>
                    <w14:schemeClr w14:val="tx1"/>
                  </w14:solidFill>
                </w14:textFill>
              </w:rPr>
            </w:pPr>
            <w:r>
              <w:rPr>
                <w:rFonts w:hint="eastAsia" w:ascii="仿宋_GB2312" w:cs="宋体"/>
                <w:color w:val="000000" w:themeColor="text1"/>
                <w:kern w:val="0"/>
                <w:sz w:val="24"/>
                <w:szCs w:val="24"/>
                <w14:textFill>
                  <w14:solidFill>
                    <w14:schemeClr w14:val="tx1"/>
                  </w14:solidFill>
                </w14:textFill>
              </w:rPr>
              <w:t>工贸型</w:t>
            </w:r>
          </w:p>
        </w:tc>
        <w:tc>
          <w:tcPr>
            <w:tcW w:w="3751" w:type="pct"/>
            <w:vAlign w:val="center"/>
          </w:tcPr>
          <w:p w14:paraId="0FAC6907">
            <w:pPr>
              <w:spacing w:before="48" w:beforeLines="15" w:after="48" w:afterLines="15" w:line="280" w:lineRule="exact"/>
              <w:ind w:firstLine="0" w:firstLineChars="0"/>
              <w:jc w:val="both"/>
              <w:rPr>
                <w:rFonts w:ascii="仿宋_GB2312" w:cs="宋体"/>
                <w:color w:val="000000" w:themeColor="text1"/>
                <w:kern w:val="0"/>
                <w:sz w:val="24"/>
                <w:szCs w:val="24"/>
                <w14:textFill>
                  <w14:solidFill>
                    <w14:schemeClr w14:val="tx1"/>
                  </w14:solidFill>
                </w14:textFill>
              </w:rPr>
            </w:pPr>
            <w:r>
              <w:rPr>
                <w:rFonts w:hint="eastAsia" w:ascii="仿宋_GB2312" w:cs="宋体"/>
                <w:color w:val="000000" w:themeColor="text1"/>
                <w:kern w:val="0"/>
                <w:sz w:val="24"/>
                <w:szCs w:val="24"/>
                <w14:textFill>
                  <w14:solidFill>
                    <w14:schemeClr w14:val="tx1"/>
                  </w14:solidFill>
                </w14:textFill>
              </w:rPr>
              <w:t>以新材料新能源新兴产业有序转移承接，农业综合物流集散为主，培育包括循环经济产业、大健康产业、数字文化创意产业、智慧物流等创新类产业。</w:t>
            </w:r>
          </w:p>
        </w:tc>
      </w:tr>
      <w:tr w14:paraId="3141B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 w:hRule="atLeast"/>
          <w:jc w:val="center"/>
        </w:trPr>
        <w:tc>
          <w:tcPr>
            <w:tcW w:w="545" w:type="pct"/>
            <w:vAlign w:val="center"/>
          </w:tcPr>
          <w:p w14:paraId="6A2BC0EA">
            <w:pPr>
              <w:ind w:firstLine="0" w:firstLineChars="0"/>
              <w:jc w:val="center"/>
              <w:rPr>
                <w:rFonts w:ascii="仿宋_GB2312" w:cs="宋体"/>
                <w:color w:val="000000" w:themeColor="text1"/>
                <w:kern w:val="0"/>
                <w:sz w:val="24"/>
                <w:szCs w:val="24"/>
                <w14:textFill>
                  <w14:solidFill>
                    <w14:schemeClr w14:val="tx1"/>
                  </w14:solidFill>
                </w14:textFill>
              </w:rPr>
            </w:pPr>
            <w:r>
              <w:rPr>
                <w:rFonts w:hint="eastAsia" w:ascii="仿宋_GB2312" w:cs="宋体"/>
                <w:color w:val="000000" w:themeColor="text1"/>
                <w:kern w:val="0"/>
                <w:sz w:val="24"/>
                <w:szCs w:val="24"/>
                <w14:textFill>
                  <w14:solidFill>
                    <w14:schemeClr w14:val="tx1"/>
                  </w14:solidFill>
                </w14:textFill>
              </w:rPr>
              <w:t>董塘镇</w:t>
            </w:r>
          </w:p>
        </w:tc>
        <w:tc>
          <w:tcPr>
            <w:tcW w:w="704" w:type="pct"/>
            <w:vAlign w:val="center"/>
          </w:tcPr>
          <w:p w14:paraId="2109E0EE">
            <w:pPr>
              <w:ind w:firstLine="0" w:firstLineChars="0"/>
              <w:jc w:val="center"/>
              <w:rPr>
                <w:rFonts w:ascii="仿宋_GB2312" w:cs="宋体"/>
                <w:color w:val="000000" w:themeColor="text1"/>
                <w:kern w:val="0"/>
                <w:sz w:val="24"/>
                <w:szCs w:val="24"/>
                <w14:textFill>
                  <w14:solidFill>
                    <w14:schemeClr w14:val="tx1"/>
                  </w14:solidFill>
                </w14:textFill>
              </w:rPr>
            </w:pPr>
            <w:r>
              <w:rPr>
                <w:rFonts w:hint="eastAsia" w:ascii="仿宋_GB2312" w:cs="宋体"/>
                <w:color w:val="000000" w:themeColor="text1"/>
                <w:kern w:val="0"/>
                <w:sz w:val="24"/>
                <w:szCs w:val="24"/>
                <w14:textFill>
                  <w14:solidFill>
                    <w14:schemeClr w14:val="tx1"/>
                  </w14:solidFill>
                </w14:textFill>
              </w:rPr>
              <w:t>工贸型</w:t>
            </w:r>
          </w:p>
        </w:tc>
        <w:tc>
          <w:tcPr>
            <w:tcW w:w="3751" w:type="pct"/>
            <w:vAlign w:val="center"/>
          </w:tcPr>
          <w:p w14:paraId="4DBABD69">
            <w:pPr>
              <w:spacing w:before="48" w:beforeLines="15" w:after="48" w:afterLines="15" w:line="280" w:lineRule="exact"/>
              <w:ind w:firstLine="0" w:firstLineChars="0"/>
              <w:jc w:val="both"/>
              <w:rPr>
                <w:rFonts w:ascii="仿宋_GB2312" w:cs="宋体"/>
                <w:color w:val="000000" w:themeColor="text1"/>
                <w:kern w:val="0"/>
                <w:sz w:val="24"/>
                <w:szCs w:val="24"/>
                <w14:textFill>
                  <w14:solidFill>
                    <w14:schemeClr w14:val="tx1"/>
                  </w14:solidFill>
                </w14:textFill>
              </w:rPr>
            </w:pPr>
            <w:r>
              <w:rPr>
                <w:rFonts w:hint="eastAsia" w:ascii="仿宋_GB2312" w:cs="宋体"/>
                <w:color w:val="000000" w:themeColor="text1"/>
                <w:kern w:val="0"/>
                <w:sz w:val="24"/>
                <w:szCs w:val="24"/>
                <w14:textFill>
                  <w14:solidFill>
                    <w14:schemeClr w14:val="tx1"/>
                  </w14:solidFill>
                </w14:textFill>
              </w:rPr>
              <w:t>依托产业园，以绿色矿业、有色金属采选加工为主，积极发展服务业，控制碳排放。</w:t>
            </w:r>
          </w:p>
        </w:tc>
      </w:tr>
      <w:tr w14:paraId="61B98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 w:hRule="atLeast"/>
          <w:jc w:val="center"/>
        </w:trPr>
        <w:tc>
          <w:tcPr>
            <w:tcW w:w="545" w:type="pct"/>
            <w:vAlign w:val="center"/>
          </w:tcPr>
          <w:p w14:paraId="04953D64">
            <w:pPr>
              <w:ind w:firstLine="0" w:firstLineChars="0"/>
              <w:jc w:val="center"/>
              <w:rPr>
                <w:rFonts w:ascii="仿宋_GB2312" w:cs="宋体"/>
                <w:color w:val="000000" w:themeColor="text1"/>
                <w:kern w:val="0"/>
                <w:sz w:val="24"/>
                <w:szCs w:val="24"/>
                <w14:textFill>
                  <w14:solidFill>
                    <w14:schemeClr w14:val="tx1"/>
                  </w14:solidFill>
                </w14:textFill>
              </w:rPr>
            </w:pPr>
            <w:r>
              <w:rPr>
                <w:rFonts w:hint="eastAsia" w:ascii="仿宋_GB2312" w:cs="宋体"/>
                <w:color w:val="000000" w:themeColor="text1"/>
                <w:kern w:val="0"/>
                <w:sz w:val="24"/>
                <w:szCs w:val="24"/>
                <w14:textFill>
                  <w14:solidFill>
                    <w14:schemeClr w14:val="tx1"/>
                  </w14:solidFill>
                </w14:textFill>
              </w:rPr>
              <w:t>闻韶镇</w:t>
            </w:r>
          </w:p>
        </w:tc>
        <w:tc>
          <w:tcPr>
            <w:tcW w:w="704" w:type="pct"/>
            <w:vAlign w:val="center"/>
          </w:tcPr>
          <w:p w14:paraId="0B4A55E2">
            <w:pPr>
              <w:ind w:firstLine="0" w:firstLineChars="0"/>
              <w:jc w:val="center"/>
              <w:rPr>
                <w:rFonts w:ascii="仿宋_GB2312" w:cs="宋体"/>
                <w:color w:val="000000" w:themeColor="text1"/>
                <w:kern w:val="0"/>
                <w:sz w:val="24"/>
                <w:szCs w:val="24"/>
                <w14:textFill>
                  <w14:solidFill>
                    <w14:schemeClr w14:val="tx1"/>
                  </w14:solidFill>
                </w14:textFill>
              </w:rPr>
            </w:pPr>
            <w:r>
              <w:rPr>
                <w:rFonts w:hint="eastAsia" w:ascii="仿宋_GB2312" w:cs="宋体"/>
                <w:color w:val="000000" w:themeColor="text1"/>
                <w:kern w:val="0"/>
                <w:sz w:val="24"/>
                <w:szCs w:val="24"/>
                <w14:textFill>
                  <w14:solidFill>
                    <w14:schemeClr w14:val="tx1"/>
                  </w14:solidFill>
                </w14:textFill>
              </w:rPr>
              <w:t>农业型</w:t>
            </w:r>
          </w:p>
        </w:tc>
        <w:tc>
          <w:tcPr>
            <w:tcW w:w="3751" w:type="pct"/>
            <w:vAlign w:val="center"/>
          </w:tcPr>
          <w:p w14:paraId="7B651A21">
            <w:pPr>
              <w:spacing w:before="48" w:beforeLines="15" w:after="48" w:afterLines="15" w:line="280" w:lineRule="exact"/>
              <w:ind w:firstLine="0" w:firstLineChars="0"/>
              <w:jc w:val="both"/>
              <w:rPr>
                <w:rFonts w:ascii="仿宋_GB2312" w:cs="宋体"/>
                <w:color w:val="000000" w:themeColor="text1"/>
                <w:kern w:val="0"/>
                <w:sz w:val="24"/>
                <w:szCs w:val="24"/>
                <w14:textFill>
                  <w14:solidFill>
                    <w14:schemeClr w14:val="tx1"/>
                  </w14:solidFill>
                </w14:textFill>
              </w:rPr>
            </w:pPr>
            <w:r>
              <w:rPr>
                <w:rFonts w:hint="eastAsia" w:ascii="仿宋_GB2312" w:cs="宋体"/>
                <w:color w:val="000000" w:themeColor="text1"/>
                <w:kern w:val="0"/>
                <w:sz w:val="24"/>
                <w:szCs w:val="24"/>
                <w14:textFill>
                  <w14:solidFill>
                    <w14:schemeClr w14:val="tx1"/>
                  </w14:solidFill>
                </w14:textFill>
              </w:rPr>
              <w:t>以禽畜养殖为主导，发展包括农业生态观光、高端休闲度假、特色民宿、中药种植与生产、山水观光、文化体验、乡村旅游、工矿旅游等转型升级类产业。</w:t>
            </w:r>
          </w:p>
        </w:tc>
      </w:tr>
      <w:tr w14:paraId="29A3A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 w:hRule="atLeast"/>
          <w:jc w:val="center"/>
        </w:trPr>
        <w:tc>
          <w:tcPr>
            <w:tcW w:w="545" w:type="pct"/>
            <w:vAlign w:val="center"/>
          </w:tcPr>
          <w:p w14:paraId="033614C1">
            <w:pPr>
              <w:ind w:firstLine="0" w:firstLineChars="0"/>
              <w:jc w:val="center"/>
              <w:rPr>
                <w:rFonts w:ascii="仿宋_GB2312" w:cs="宋体"/>
                <w:color w:val="000000" w:themeColor="text1"/>
                <w:kern w:val="0"/>
                <w:sz w:val="24"/>
                <w:szCs w:val="24"/>
                <w14:textFill>
                  <w14:solidFill>
                    <w14:schemeClr w14:val="tx1"/>
                  </w14:solidFill>
                </w14:textFill>
              </w:rPr>
            </w:pPr>
            <w:r>
              <w:rPr>
                <w:rFonts w:hint="eastAsia" w:ascii="仿宋_GB2312" w:cs="宋体"/>
                <w:color w:val="000000" w:themeColor="text1"/>
                <w:kern w:val="0"/>
                <w:sz w:val="24"/>
                <w:szCs w:val="24"/>
                <w14:textFill>
                  <w14:solidFill>
                    <w14:schemeClr w14:val="tx1"/>
                  </w14:solidFill>
                </w14:textFill>
              </w:rPr>
              <w:t>长江镇</w:t>
            </w:r>
          </w:p>
        </w:tc>
        <w:tc>
          <w:tcPr>
            <w:tcW w:w="704" w:type="pct"/>
            <w:vAlign w:val="center"/>
          </w:tcPr>
          <w:p w14:paraId="38C53EA2">
            <w:pPr>
              <w:ind w:firstLine="0" w:firstLineChars="0"/>
              <w:jc w:val="center"/>
              <w:rPr>
                <w:rFonts w:ascii="仿宋_GB2312" w:cs="宋体"/>
                <w:color w:val="000000" w:themeColor="text1"/>
                <w:kern w:val="0"/>
                <w:sz w:val="24"/>
                <w:szCs w:val="24"/>
                <w14:textFill>
                  <w14:solidFill>
                    <w14:schemeClr w14:val="tx1"/>
                  </w14:solidFill>
                </w14:textFill>
              </w:rPr>
            </w:pPr>
            <w:r>
              <w:rPr>
                <w:rFonts w:hint="eastAsia" w:ascii="仿宋_GB2312" w:cs="宋体"/>
                <w:color w:val="000000" w:themeColor="text1"/>
                <w:kern w:val="0"/>
                <w:sz w:val="24"/>
                <w:szCs w:val="24"/>
                <w14:textFill>
                  <w14:solidFill>
                    <w14:schemeClr w14:val="tx1"/>
                  </w14:solidFill>
                </w14:textFill>
              </w:rPr>
              <w:t>农业型</w:t>
            </w:r>
          </w:p>
        </w:tc>
        <w:tc>
          <w:tcPr>
            <w:tcW w:w="3751" w:type="pct"/>
            <w:vAlign w:val="center"/>
          </w:tcPr>
          <w:p w14:paraId="10E280F6">
            <w:pPr>
              <w:spacing w:before="48" w:beforeLines="15" w:after="48" w:afterLines="15" w:line="280" w:lineRule="exact"/>
              <w:ind w:firstLine="0" w:firstLineChars="0"/>
              <w:jc w:val="both"/>
              <w:rPr>
                <w:rFonts w:ascii="仿宋_GB2312" w:cs="宋体"/>
                <w:color w:val="000000" w:themeColor="text1"/>
                <w:kern w:val="0"/>
                <w:sz w:val="24"/>
                <w:szCs w:val="24"/>
                <w14:textFill>
                  <w14:solidFill>
                    <w14:schemeClr w14:val="tx1"/>
                  </w14:solidFill>
                </w14:textFill>
              </w:rPr>
            </w:pPr>
            <w:r>
              <w:rPr>
                <w:rFonts w:hint="eastAsia" w:ascii="仿宋_GB2312" w:cs="宋体"/>
                <w:color w:val="000000" w:themeColor="text1"/>
                <w:kern w:val="0"/>
                <w:sz w:val="24"/>
                <w:szCs w:val="24"/>
                <w14:textFill>
                  <w14:solidFill>
                    <w14:schemeClr w14:val="tx1"/>
                  </w14:solidFill>
                </w14:textFill>
              </w:rPr>
              <w:t>以农林产品生产及加工、生态旅游为主导，发展包括农业生态观光、高端休闲度假、特色民宿、中药种植与生产、山水观光、文化体验、乡村旅游、工矿旅游等转型升级类产业。</w:t>
            </w:r>
          </w:p>
        </w:tc>
      </w:tr>
      <w:tr w14:paraId="044B9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 w:hRule="atLeast"/>
          <w:jc w:val="center"/>
        </w:trPr>
        <w:tc>
          <w:tcPr>
            <w:tcW w:w="545" w:type="pct"/>
            <w:vAlign w:val="center"/>
          </w:tcPr>
          <w:p w14:paraId="6A196C04">
            <w:pPr>
              <w:ind w:firstLine="0" w:firstLineChars="0"/>
              <w:jc w:val="center"/>
              <w:rPr>
                <w:rFonts w:ascii="仿宋_GB2312" w:cs="宋体"/>
                <w:color w:val="000000" w:themeColor="text1"/>
                <w:kern w:val="0"/>
                <w:sz w:val="24"/>
                <w:szCs w:val="24"/>
                <w14:textFill>
                  <w14:solidFill>
                    <w14:schemeClr w14:val="tx1"/>
                  </w14:solidFill>
                </w14:textFill>
              </w:rPr>
            </w:pPr>
            <w:r>
              <w:rPr>
                <w:rFonts w:hint="eastAsia" w:ascii="仿宋_GB2312" w:cs="宋体"/>
                <w:color w:val="000000" w:themeColor="text1"/>
                <w:kern w:val="0"/>
                <w:sz w:val="24"/>
                <w:szCs w:val="24"/>
                <w14:textFill>
                  <w14:solidFill>
                    <w14:schemeClr w14:val="tx1"/>
                  </w14:solidFill>
                </w14:textFill>
              </w:rPr>
              <w:t>城口镇</w:t>
            </w:r>
          </w:p>
        </w:tc>
        <w:tc>
          <w:tcPr>
            <w:tcW w:w="704" w:type="pct"/>
            <w:vAlign w:val="center"/>
          </w:tcPr>
          <w:p w14:paraId="009FCE81">
            <w:pPr>
              <w:ind w:firstLine="0" w:firstLineChars="0"/>
              <w:jc w:val="center"/>
              <w:rPr>
                <w:rFonts w:ascii="仿宋_GB2312" w:cs="宋体"/>
                <w:color w:val="000000" w:themeColor="text1"/>
                <w:kern w:val="0"/>
                <w:sz w:val="24"/>
                <w:szCs w:val="24"/>
                <w14:textFill>
                  <w14:solidFill>
                    <w14:schemeClr w14:val="tx1"/>
                  </w14:solidFill>
                </w14:textFill>
              </w:rPr>
            </w:pPr>
            <w:r>
              <w:rPr>
                <w:rFonts w:hint="eastAsia" w:ascii="仿宋_GB2312" w:cs="宋体"/>
                <w:color w:val="000000" w:themeColor="text1"/>
                <w:kern w:val="0"/>
                <w:sz w:val="24"/>
                <w:szCs w:val="24"/>
                <w14:textFill>
                  <w14:solidFill>
                    <w14:schemeClr w14:val="tx1"/>
                  </w14:solidFill>
                </w14:textFill>
              </w:rPr>
              <w:t>农业型、旅游型</w:t>
            </w:r>
          </w:p>
        </w:tc>
        <w:tc>
          <w:tcPr>
            <w:tcW w:w="3751" w:type="pct"/>
            <w:vAlign w:val="center"/>
          </w:tcPr>
          <w:p w14:paraId="1F98160E">
            <w:pPr>
              <w:spacing w:before="48" w:beforeLines="15" w:after="48" w:afterLines="15" w:line="280" w:lineRule="exact"/>
              <w:ind w:firstLine="0" w:firstLineChars="0"/>
              <w:jc w:val="both"/>
              <w:rPr>
                <w:rFonts w:ascii="仿宋_GB2312" w:cs="宋体"/>
                <w:color w:val="000000" w:themeColor="text1"/>
                <w:kern w:val="0"/>
                <w:sz w:val="24"/>
                <w:szCs w:val="24"/>
                <w14:textFill>
                  <w14:solidFill>
                    <w14:schemeClr w14:val="tx1"/>
                  </w14:solidFill>
                </w14:textFill>
              </w:rPr>
            </w:pPr>
            <w:r>
              <w:rPr>
                <w:rFonts w:hint="eastAsia" w:ascii="仿宋_GB2312" w:cs="宋体"/>
                <w:color w:val="000000" w:themeColor="text1"/>
                <w:kern w:val="0"/>
                <w:sz w:val="24"/>
                <w:szCs w:val="24"/>
                <w14:textFill>
                  <w14:solidFill>
                    <w14:schemeClr w14:val="tx1"/>
                  </w14:solidFill>
                </w14:textFill>
              </w:rPr>
              <w:t>以特色旅游为主导，发展包括农业生态观光、高端休闲度假、特色民宿、中药种植与生产、山水观光、文化体验、乡村旅游、工矿旅游等转型升级类产业。</w:t>
            </w:r>
          </w:p>
        </w:tc>
      </w:tr>
      <w:tr w14:paraId="0183A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 w:hRule="atLeast"/>
          <w:jc w:val="center"/>
        </w:trPr>
        <w:tc>
          <w:tcPr>
            <w:tcW w:w="545" w:type="pct"/>
            <w:vAlign w:val="center"/>
          </w:tcPr>
          <w:p w14:paraId="50668801">
            <w:pPr>
              <w:ind w:firstLine="0" w:firstLineChars="0"/>
              <w:jc w:val="center"/>
              <w:rPr>
                <w:rFonts w:ascii="仿宋_GB2312" w:cs="宋体"/>
                <w:color w:val="000000" w:themeColor="text1"/>
                <w:kern w:val="0"/>
                <w:sz w:val="24"/>
                <w:szCs w:val="24"/>
                <w14:textFill>
                  <w14:solidFill>
                    <w14:schemeClr w14:val="tx1"/>
                  </w14:solidFill>
                </w14:textFill>
              </w:rPr>
            </w:pPr>
            <w:r>
              <w:rPr>
                <w:rFonts w:hint="eastAsia" w:ascii="仿宋_GB2312" w:cs="宋体"/>
                <w:color w:val="000000" w:themeColor="text1"/>
                <w:kern w:val="0"/>
                <w:sz w:val="24"/>
                <w:szCs w:val="24"/>
                <w14:textFill>
                  <w14:solidFill>
                    <w14:schemeClr w14:val="tx1"/>
                  </w14:solidFill>
                </w14:textFill>
              </w:rPr>
              <w:t>黄坑镇</w:t>
            </w:r>
          </w:p>
        </w:tc>
        <w:tc>
          <w:tcPr>
            <w:tcW w:w="704" w:type="pct"/>
            <w:vAlign w:val="center"/>
          </w:tcPr>
          <w:p w14:paraId="7C8FDB1E">
            <w:pPr>
              <w:ind w:firstLine="0" w:firstLineChars="0"/>
              <w:jc w:val="center"/>
              <w:rPr>
                <w:rFonts w:ascii="仿宋_GB2312" w:cs="宋体"/>
                <w:color w:val="000000" w:themeColor="text1"/>
                <w:kern w:val="0"/>
                <w:sz w:val="24"/>
                <w:szCs w:val="24"/>
                <w14:textFill>
                  <w14:solidFill>
                    <w14:schemeClr w14:val="tx1"/>
                  </w14:solidFill>
                </w14:textFill>
              </w:rPr>
            </w:pPr>
            <w:r>
              <w:rPr>
                <w:rFonts w:hint="eastAsia" w:ascii="仿宋_GB2312" w:cs="宋体"/>
                <w:color w:val="000000" w:themeColor="text1"/>
                <w:kern w:val="0"/>
                <w:sz w:val="24"/>
                <w:szCs w:val="24"/>
                <w14:textFill>
                  <w14:solidFill>
                    <w14:schemeClr w14:val="tx1"/>
                  </w14:solidFill>
                </w14:textFill>
              </w:rPr>
              <w:t>农业型</w:t>
            </w:r>
          </w:p>
        </w:tc>
        <w:tc>
          <w:tcPr>
            <w:tcW w:w="3751" w:type="pct"/>
            <w:vAlign w:val="center"/>
          </w:tcPr>
          <w:p w14:paraId="75543CE8">
            <w:pPr>
              <w:spacing w:before="48" w:beforeLines="15" w:after="48" w:afterLines="15" w:line="280" w:lineRule="exact"/>
              <w:ind w:firstLine="0" w:firstLineChars="0"/>
              <w:jc w:val="both"/>
              <w:rPr>
                <w:rFonts w:ascii="仿宋_GB2312" w:cs="宋体"/>
                <w:color w:val="000000" w:themeColor="text1"/>
                <w:kern w:val="0"/>
                <w:sz w:val="24"/>
                <w:szCs w:val="24"/>
                <w14:textFill>
                  <w14:solidFill>
                    <w14:schemeClr w14:val="tx1"/>
                  </w14:solidFill>
                </w14:textFill>
              </w:rPr>
            </w:pPr>
            <w:r>
              <w:rPr>
                <w:rFonts w:hint="eastAsia" w:ascii="仿宋_GB2312" w:cs="宋体"/>
                <w:color w:val="000000" w:themeColor="text1"/>
                <w:kern w:val="0"/>
                <w:sz w:val="24"/>
                <w:szCs w:val="24"/>
                <w14:textFill>
                  <w14:solidFill>
                    <w14:schemeClr w14:val="tx1"/>
                  </w14:solidFill>
                </w14:textFill>
              </w:rPr>
              <w:t>以柑橘为主的名优水果现代农业产业基地，发展包括农业生态观光、高端休闲度假、特色民宿、中药种植与生产、山水观光、文化体验、乡村旅游、工矿旅游等转型升级类产业。</w:t>
            </w:r>
          </w:p>
        </w:tc>
      </w:tr>
      <w:tr w14:paraId="61B5A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 w:hRule="atLeast"/>
          <w:jc w:val="center"/>
        </w:trPr>
        <w:tc>
          <w:tcPr>
            <w:tcW w:w="545" w:type="pct"/>
            <w:vAlign w:val="center"/>
          </w:tcPr>
          <w:p w14:paraId="43AEEB4E">
            <w:pPr>
              <w:ind w:firstLine="0" w:firstLineChars="0"/>
              <w:jc w:val="center"/>
              <w:rPr>
                <w:rFonts w:ascii="仿宋_GB2312" w:cs="宋体"/>
                <w:color w:val="000000" w:themeColor="text1"/>
                <w:kern w:val="0"/>
                <w:sz w:val="24"/>
                <w:szCs w:val="24"/>
                <w14:textFill>
                  <w14:solidFill>
                    <w14:schemeClr w14:val="tx1"/>
                  </w14:solidFill>
                </w14:textFill>
              </w:rPr>
            </w:pPr>
            <w:r>
              <w:rPr>
                <w:rFonts w:hint="eastAsia" w:ascii="仿宋_GB2312" w:cs="宋体"/>
                <w:color w:val="000000" w:themeColor="text1"/>
                <w:kern w:val="0"/>
                <w:sz w:val="24"/>
                <w:szCs w:val="24"/>
                <w14:textFill>
                  <w14:solidFill>
                    <w14:schemeClr w14:val="tx1"/>
                  </w14:solidFill>
                </w14:textFill>
              </w:rPr>
              <w:t>红山镇</w:t>
            </w:r>
          </w:p>
        </w:tc>
        <w:tc>
          <w:tcPr>
            <w:tcW w:w="704" w:type="pct"/>
            <w:vAlign w:val="center"/>
          </w:tcPr>
          <w:p w14:paraId="464E384A">
            <w:pPr>
              <w:ind w:firstLine="0" w:firstLineChars="0"/>
              <w:jc w:val="center"/>
              <w:rPr>
                <w:rFonts w:ascii="仿宋_GB2312" w:cs="宋体"/>
                <w:color w:val="000000" w:themeColor="text1"/>
                <w:kern w:val="0"/>
                <w:sz w:val="24"/>
                <w:szCs w:val="24"/>
                <w14:textFill>
                  <w14:solidFill>
                    <w14:schemeClr w14:val="tx1"/>
                  </w14:solidFill>
                </w14:textFill>
              </w:rPr>
            </w:pPr>
            <w:r>
              <w:rPr>
                <w:rFonts w:hint="eastAsia" w:ascii="仿宋_GB2312" w:cs="宋体"/>
                <w:color w:val="000000" w:themeColor="text1"/>
                <w:kern w:val="0"/>
                <w:sz w:val="24"/>
                <w:szCs w:val="24"/>
                <w14:textFill>
                  <w14:solidFill>
                    <w14:schemeClr w14:val="tx1"/>
                  </w14:solidFill>
                </w14:textFill>
              </w:rPr>
              <w:t>农业型、旅游型</w:t>
            </w:r>
          </w:p>
        </w:tc>
        <w:tc>
          <w:tcPr>
            <w:tcW w:w="3751" w:type="pct"/>
            <w:vAlign w:val="center"/>
          </w:tcPr>
          <w:p w14:paraId="7C3C53CA">
            <w:pPr>
              <w:spacing w:before="48" w:beforeLines="15" w:after="48" w:afterLines="15" w:line="280" w:lineRule="exact"/>
              <w:ind w:firstLine="0" w:firstLineChars="0"/>
              <w:jc w:val="both"/>
              <w:rPr>
                <w:rFonts w:ascii="仿宋_GB2312" w:cs="宋体"/>
                <w:color w:val="000000" w:themeColor="text1"/>
                <w:kern w:val="0"/>
                <w:sz w:val="24"/>
                <w:szCs w:val="24"/>
                <w14:textFill>
                  <w14:solidFill>
                    <w14:schemeClr w14:val="tx1"/>
                  </w14:solidFill>
                </w14:textFill>
              </w:rPr>
            </w:pPr>
            <w:r>
              <w:rPr>
                <w:rFonts w:hint="eastAsia" w:ascii="仿宋_GB2312" w:cs="宋体"/>
                <w:color w:val="000000" w:themeColor="text1"/>
                <w:kern w:val="0"/>
                <w:sz w:val="24"/>
                <w:szCs w:val="24"/>
                <w14:textFill>
                  <w14:solidFill>
                    <w14:schemeClr w14:val="tx1"/>
                  </w14:solidFill>
                </w14:textFill>
              </w:rPr>
              <w:t>以种植白毛茶为主的名优农产品生产及加工，发展生态观光旅游业，发展包括农业生态观光、高端休闲度假、特色民宿、中药种植与生产、山水观光、文化体验、乡村旅游、工矿旅游等转型升级类产业。</w:t>
            </w:r>
          </w:p>
        </w:tc>
      </w:tr>
      <w:tr w14:paraId="4E3A4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 w:hRule="atLeast"/>
          <w:jc w:val="center"/>
        </w:trPr>
        <w:tc>
          <w:tcPr>
            <w:tcW w:w="545" w:type="pct"/>
            <w:vAlign w:val="center"/>
          </w:tcPr>
          <w:p w14:paraId="7D63A4D8">
            <w:pPr>
              <w:ind w:firstLine="0" w:firstLineChars="0"/>
              <w:jc w:val="center"/>
              <w:rPr>
                <w:rFonts w:ascii="仿宋_GB2312" w:cs="宋体"/>
                <w:color w:val="000000" w:themeColor="text1"/>
                <w:kern w:val="0"/>
                <w:sz w:val="24"/>
                <w:szCs w:val="24"/>
                <w14:textFill>
                  <w14:solidFill>
                    <w14:schemeClr w14:val="tx1"/>
                  </w14:solidFill>
                </w14:textFill>
              </w:rPr>
            </w:pPr>
            <w:r>
              <w:rPr>
                <w:rFonts w:hint="eastAsia" w:ascii="仿宋_GB2312" w:cs="宋体"/>
                <w:color w:val="000000" w:themeColor="text1"/>
                <w:kern w:val="0"/>
                <w:sz w:val="24"/>
                <w:szCs w:val="24"/>
                <w14:textFill>
                  <w14:solidFill>
                    <w14:schemeClr w14:val="tx1"/>
                  </w14:solidFill>
                </w14:textFill>
              </w:rPr>
              <w:t>扶溪镇</w:t>
            </w:r>
          </w:p>
        </w:tc>
        <w:tc>
          <w:tcPr>
            <w:tcW w:w="704" w:type="pct"/>
            <w:vAlign w:val="center"/>
          </w:tcPr>
          <w:p w14:paraId="356E8B41">
            <w:pPr>
              <w:ind w:firstLine="0" w:firstLineChars="0"/>
              <w:jc w:val="center"/>
              <w:rPr>
                <w:rFonts w:ascii="仿宋_GB2312" w:cs="宋体"/>
                <w:color w:val="000000" w:themeColor="text1"/>
                <w:kern w:val="0"/>
                <w:sz w:val="24"/>
                <w:szCs w:val="24"/>
                <w14:textFill>
                  <w14:solidFill>
                    <w14:schemeClr w14:val="tx1"/>
                  </w14:solidFill>
                </w14:textFill>
              </w:rPr>
            </w:pPr>
            <w:r>
              <w:rPr>
                <w:rFonts w:hint="eastAsia" w:ascii="仿宋_GB2312" w:cs="宋体"/>
                <w:color w:val="000000" w:themeColor="text1"/>
                <w:kern w:val="0"/>
                <w:sz w:val="24"/>
                <w:szCs w:val="24"/>
                <w14:textFill>
                  <w14:solidFill>
                    <w14:schemeClr w14:val="tx1"/>
                  </w14:solidFill>
                </w14:textFill>
              </w:rPr>
              <w:t>农业型</w:t>
            </w:r>
          </w:p>
        </w:tc>
        <w:tc>
          <w:tcPr>
            <w:tcW w:w="3751" w:type="pct"/>
            <w:vAlign w:val="center"/>
          </w:tcPr>
          <w:p w14:paraId="5F156825">
            <w:pPr>
              <w:spacing w:before="48" w:beforeLines="15" w:after="48" w:afterLines="15" w:line="280" w:lineRule="exact"/>
              <w:ind w:firstLine="0" w:firstLineChars="0"/>
              <w:jc w:val="both"/>
              <w:rPr>
                <w:rFonts w:ascii="仿宋_GB2312" w:cs="宋体"/>
                <w:color w:val="000000" w:themeColor="text1"/>
                <w:kern w:val="0"/>
                <w:sz w:val="24"/>
                <w:szCs w:val="24"/>
                <w14:textFill>
                  <w14:solidFill>
                    <w14:schemeClr w14:val="tx1"/>
                  </w14:solidFill>
                </w14:textFill>
              </w:rPr>
            </w:pPr>
            <w:r>
              <w:rPr>
                <w:rFonts w:hint="eastAsia" w:ascii="仿宋_GB2312" w:cs="宋体"/>
                <w:color w:val="000000" w:themeColor="text1"/>
                <w:kern w:val="0"/>
                <w:sz w:val="24"/>
                <w:szCs w:val="24"/>
                <w14:textFill>
                  <w14:solidFill>
                    <w14:schemeClr w14:val="tx1"/>
                  </w14:solidFill>
                </w14:textFill>
              </w:rPr>
              <w:t>以农业生产为主，大力发展休闲农业与乡村旅游，发展包括农业生态观光、高端休闲度假、特色民宿、中药种植与生产、山水观光、文化体验、乡村旅游、工矿旅游等转型升级类产业。</w:t>
            </w:r>
          </w:p>
        </w:tc>
      </w:tr>
      <w:tr w14:paraId="282F7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 w:hRule="atLeast"/>
          <w:jc w:val="center"/>
        </w:trPr>
        <w:tc>
          <w:tcPr>
            <w:tcW w:w="545" w:type="pct"/>
            <w:vAlign w:val="center"/>
          </w:tcPr>
          <w:p w14:paraId="7ED61A95">
            <w:pPr>
              <w:ind w:firstLine="0" w:firstLineChars="0"/>
              <w:jc w:val="center"/>
              <w:rPr>
                <w:rFonts w:ascii="仿宋_GB2312" w:cs="宋体"/>
                <w:color w:val="000000" w:themeColor="text1"/>
                <w:kern w:val="0"/>
                <w:sz w:val="24"/>
                <w:szCs w:val="24"/>
                <w14:textFill>
                  <w14:solidFill>
                    <w14:schemeClr w14:val="tx1"/>
                  </w14:solidFill>
                </w14:textFill>
              </w:rPr>
            </w:pPr>
            <w:r>
              <w:rPr>
                <w:rFonts w:hint="eastAsia" w:ascii="仿宋_GB2312" w:cs="宋体"/>
                <w:color w:val="000000" w:themeColor="text1"/>
                <w:kern w:val="0"/>
                <w:sz w:val="24"/>
                <w:szCs w:val="24"/>
                <w14:textFill>
                  <w14:solidFill>
                    <w14:schemeClr w14:val="tx1"/>
                  </w14:solidFill>
                </w14:textFill>
              </w:rPr>
              <w:t>石塘镇</w:t>
            </w:r>
          </w:p>
        </w:tc>
        <w:tc>
          <w:tcPr>
            <w:tcW w:w="704" w:type="pct"/>
            <w:vAlign w:val="center"/>
          </w:tcPr>
          <w:p w14:paraId="17B064F2">
            <w:pPr>
              <w:ind w:firstLine="0" w:firstLineChars="0"/>
              <w:jc w:val="center"/>
              <w:rPr>
                <w:rFonts w:ascii="仿宋_GB2312" w:cs="宋体"/>
                <w:color w:val="000000" w:themeColor="text1"/>
                <w:kern w:val="0"/>
                <w:sz w:val="24"/>
                <w:szCs w:val="24"/>
                <w14:textFill>
                  <w14:solidFill>
                    <w14:schemeClr w14:val="tx1"/>
                  </w14:solidFill>
                </w14:textFill>
              </w:rPr>
            </w:pPr>
            <w:r>
              <w:rPr>
                <w:rFonts w:hint="eastAsia" w:ascii="仿宋_GB2312" w:cs="宋体"/>
                <w:color w:val="000000" w:themeColor="text1"/>
                <w:kern w:val="0"/>
                <w:sz w:val="24"/>
                <w:szCs w:val="24"/>
                <w14:textFill>
                  <w14:solidFill>
                    <w14:schemeClr w14:val="tx1"/>
                  </w14:solidFill>
                </w14:textFill>
              </w:rPr>
              <w:t>农业型、旅游型</w:t>
            </w:r>
          </w:p>
        </w:tc>
        <w:tc>
          <w:tcPr>
            <w:tcW w:w="3751" w:type="pct"/>
            <w:vAlign w:val="center"/>
          </w:tcPr>
          <w:p w14:paraId="7F65D172">
            <w:pPr>
              <w:spacing w:before="48" w:beforeLines="15" w:after="48" w:afterLines="15" w:line="280" w:lineRule="exact"/>
              <w:ind w:firstLine="0" w:firstLineChars="0"/>
              <w:jc w:val="both"/>
              <w:rPr>
                <w:rFonts w:ascii="仿宋_GB2312" w:cs="宋体"/>
                <w:color w:val="000000" w:themeColor="text1"/>
                <w:kern w:val="0"/>
                <w:sz w:val="24"/>
                <w:szCs w:val="24"/>
                <w14:textFill>
                  <w14:solidFill>
                    <w14:schemeClr w14:val="tx1"/>
                  </w14:solidFill>
                </w14:textFill>
              </w:rPr>
            </w:pPr>
            <w:r>
              <w:rPr>
                <w:rFonts w:hint="eastAsia" w:ascii="仿宋_GB2312" w:cs="宋体"/>
                <w:color w:val="000000" w:themeColor="text1"/>
                <w:kern w:val="0"/>
                <w:sz w:val="24"/>
                <w:szCs w:val="24"/>
                <w14:textFill>
                  <w14:solidFill>
                    <w14:schemeClr w14:val="tx1"/>
                  </w14:solidFill>
                </w14:textFill>
              </w:rPr>
              <w:t>以水稻、花生、沙田柚为主的农产品种植业，积极发展观光旅游业，控制碳排放。</w:t>
            </w:r>
          </w:p>
        </w:tc>
      </w:tr>
      <w:tr w14:paraId="58287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 w:hRule="atLeast"/>
          <w:jc w:val="center"/>
        </w:trPr>
        <w:tc>
          <w:tcPr>
            <w:tcW w:w="545" w:type="pct"/>
            <w:vAlign w:val="center"/>
          </w:tcPr>
          <w:p w14:paraId="31CAE1E3">
            <w:pPr>
              <w:ind w:firstLine="0" w:firstLineChars="0"/>
              <w:jc w:val="center"/>
              <w:rPr>
                <w:rFonts w:ascii="仿宋_GB2312" w:cs="宋体"/>
                <w:color w:val="000000" w:themeColor="text1"/>
                <w:kern w:val="0"/>
                <w:sz w:val="24"/>
                <w:szCs w:val="24"/>
                <w14:textFill>
                  <w14:solidFill>
                    <w14:schemeClr w14:val="tx1"/>
                  </w14:solidFill>
                </w14:textFill>
              </w:rPr>
            </w:pPr>
            <w:r>
              <w:rPr>
                <w:rFonts w:hint="eastAsia" w:ascii="仿宋_GB2312" w:cs="宋体"/>
                <w:color w:val="000000" w:themeColor="text1"/>
                <w:kern w:val="0"/>
                <w:sz w:val="24"/>
                <w:szCs w:val="24"/>
                <w14:textFill>
                  <w14:solidFill>
                    <w14:schemeClr w14:val="tx1"/>
                  </w14:solidFill>
                </w14:textFill>
              </w:rPr>
              <w:t>大桥镇</w:t>
            </w:r>
          </w:p>
        </w:tc>
        <w:tc>
          <w:tcPr>
            <w:tcW w:w="704" w:type="pct"/>
            <w:vAlign w:val="center"/>
          </w:tcPr>
          <w:p w14:paraId="222837EC">
            <w:pPr>
              <w:ind w:firstLine="0" w:firstLineChars="0"/>
              <w:jc w:val="center"/>
              <w:rPr>
                <w:rFonts w:ascii="仿宋_GB2312" w:cs="宋体"/>
                <w:color w:val="000000" w:themeColor="text1"/>
                <w:kern w:val="0"/>
                <w:sz w:val="24"/>
                <w:szCs w:val="24"/>
                <w14:textFill>
                  <w14:solidFill>
                    <w14:schemeClr w14:val="tx1"/>
                  </w14:solidFill>
                </w14:textFill>
              </w:rPr>
            </w:pPr>
            <w:r>
              <w:rPr>
                <w:rFonts w:hint="eastAsia" w:ascii="仿宋_GB2312" w:cs="宋体"/>
                <w:color w:val="000000" w:themeColor="text1"/>
                <w:kern w:val="0"/>
                <w:sz w:val="24"/>
                <w:szCs w:val="24"/>
                <w14:textFill>
                  <w14:solidFill>
                    <w14:schemeClr w14:val="tx1"/>
                  </w14:solidFill>
                </w14:textFill>
              </w:rPr>
              <w:t>农业型</w:t>
            </w:r>
          </w:p>
        </w:tc>
        <w:tc>
          <w:tcPr>
            <w:tcW w:w="3751" w:type="pct"/>
            <w:vAlign w:val="center"/>
          </w:tcPr>
          <w:p w14:paraId="0E4F8076">
            <w:pPr>
              <w:spacing w:before="48" w:beforeLines="15" w:after="48" w:afterLines="15" w:line="280" w:lineRule="exact"/>
              <w:ind w:firstLine="0" w:firstLineChars="0"/>
              <w:jc w:val="both"/>
              <w:rPr>
                <w:rFonts w:ascii="仿宋_GB2312" w:cs="宋体"/>
                <w:color w:val="000000" w:themeColor="text1"/>
                <w:kern w:val="0"/>
                <w:sz w:val="24"/>
                <w:szCs w:val="24"/>
                <w14:textFill>
                  <w14:solidFill>
                    <w14:schemeClr w14:val="tx1"/>
                  </w14:solidFill>
                </w14:textFill>
              </w:rPr>
            </w:pPr>
            <w:r>
              <w:rPr>
                <w:rFonts w:hint="eastAsia" w:ascii="仿宋_GB2312" w:cs="宋体"/>
                <w:color w:val="000000" w:themeColor="text1"/>
                <w:kern w:val="0"/>
                <w:sz w:val="24"/>
                <w:szCs w:val="24"/>
                <w14:textFill>
                  <w14:solidFill>
                    <w14:schemeClr w14:val="tx1"/>
                  </w14:solidFill>
                </w14:textFill>
              </w:rPr>
              <w:t>以种植沙田柚、贡柑为主的现代农业产业园发展示范区、发展休闲农业与乡村旅游，发展包括农业生态观光、高端休闲度假、特色民宿、中药种植与生产、山水观光、文化体验、乡村旅游、工矿旅游等转型升级类产业。</w:t>
            </w:r>
          </w:p>
        </w:tc>
      </w:tr>
      <w:bookmarkEnd w:id="1292"/>
      <w:bookmarkEnd w:id="1293"/>
    </w:tbl>
    <w:p w14:paraId="716ECEB3">
      <w:pPr>
        <w:pStyle w:val="5"/>
        <w:spacing w:before="163" w:after="163"/>
        <w:rPr>
          <w:b/>
        </w:rPr>
      </w:pPr>
      <w:bookmarkStart w:id="1300" w:name="_Toc143358067"/>
      <w:bookmarkEnd w:id="1300"/>
      <w:bookmarkStart w:id="1301" w:name="_Toc143354867"/>
      <w:bookmarkEnd w:id="1301"/>
      <w:bookmarkStart w:id="1302" w:name="_Toc142858854"/>
      <w:bookmarkEnd w:id="1302"/>
      <w:bookmarkStart w:id="1303" w:name="_Toc143356311"/>
      <w:bookmarkEnd w:id="1303"/>
      <w:bookmarkStart w:id="1304" w:name="_Toc142495612"/>
      <w:bookmarkEnd w:id="1304"/>
      <w:bookmarkStart w:id="1305" w:name="_Toc143355731"/>
      <w:bookmarkEnd w:id="1305"/>
      <w:bookmarkStart w:id="1306" w:name="_Toc143354009"/>
      <w:bookmarkEnd w:id="1306"/>
      <w:bookmarkStart w:id="1307" w:name="_Toc142403134"/>
      <w:bookmarkEnd w:id="1307"/>
      <w:bookmarkStart w:id="1308" w:name="_Toc142402883"/>
      <w:bookmarkEnd w:id="1308"/>
      <w:bookmarkStart w:id="1309" w:name="_Toc143357195"/>
      <w:bookmarkEnd w:id="1309"/>
      <w:bookmarkStart w:id="1310" w:name="_Toc142466931"/>
      <w:bookmarkEnd w:id="1310"/>
      <w:bookmarkStart w:id="1311" w:name="_Toc142391011"/>
      <w:bookmarkEnd w:id="1311"/>
      <w:bookmarkStart w:id="1312" w:name="_Toc143353045"/>
      <w:bookmarkEnd w:id="1312"/>
      <w:bookmarkStart w:id="1313" w:name="_Toc143356601"/>
      <w:bookmarkEnd w:id="1313"/>
      <w:bookmarkStart w:id="1314" w:name="_Toc143260804"/>
      <w:bookmarkEnd w:id="1314"/>
      <w:bookmarkStart w:id="1315" w:name="_Toc143353723"/>
      <w:bookmarkEnd w:id="1315"/>
      <w:bookmarkStart w:id="1316" w:name="_Toc142381190"/>
      <w:bookmarkEnd w:id="1316"/>
      <w:bookmarkStart w:id="1317" w:name="_Toc143356021"/>
      <w:bookmarkEnd w:id="1317"/>
      <w:bookmarkStart w:id="1318" w:name="_Toc143357776"/>
      <w:bookmarkEnd w:id="1318"/>
      <w:bookmarkStart w:id="1319" w:name="_Toc143356905"/>
      <w:bookmarkEnd w:id="1319"/>
      <w:bookmarkStart w:id="1320" w:name="_Toc142391271"/>
      <w:bookmarkEnd w:id="1320"/>
      <w:bookmarkStart w:id="1321" w:name="_Toc143358648"/>
      <w:bookmarkEnd w:id="1321"/>
      <w:bookmarkStart w:id="1322" w:name="_Toc142390425"/>
      <w:bookmarkEnd w:id="1322"/>
      <w:bookmarkStart w:id="1323" w:name="_Toc143354583"/>
      <w:bookmarkEnd w:id="1323"/>
      <w:bookmarkStart w:id="1324" w:name="_Toc143352749"/>
      <w:bookmarkEnd w:id="1324"/>
      <w:bookmarkStart w:id="1325" w:name="_Toc143358357"/>
      <w:bookmarkEnd w:id="1325"/>
      <w:bookmarkStart w:id="1326" w:name="_Toc143355151"/>
      <w:bookmarkEnd w:id="1326"/>
      <w:bookmarkStart w:id="1327" w:name="_Toc143357485"/>
      <w:bookmarkEnd w:id="1327"/>
      <w:bookmarkStart w:id="1328" w:name="_Toc143099397"/>
      <w:bookmarkEnd w:id="1328"/>
      <w:bookmarkStart w:id="1329" w:name="_Toc143099112"/>
      <w:bookmarkEnd w:id="1329"/>
      <w:bookmarkStart w:id="1330" w:name="_Toc143355441"/>
      <w:bookmarkEnd w:id="1330"/>
      <w:bookmarkStart w:id="1331" w:name="_Toc142380925"/>
      <w:bookmarkEnd w:id="1331"/>
      <w:bookmarkStart w:id="1332" w:name="_Toc143354299"/>
      <w:bookmarkEnd w:id="1332"/>
      <w:bookmarkStart w:id="1333" w:name="_Toc142400669"/>
      <w:bookmarkEnd w:id="1333"/>
      <w:bookmarkStart w:id="1334" w:name="_Toc167271396"/>
      <w:r>
        <w:rPr>
          <w:rFonts w:hint="eastAsia"/>
        </w:rPr>
        <w:t>强化建设用地管控</w:t>
      </w:r>
      <w:bookmarkEnd w:id="1334"/>
    </w:p>
    <w:p w14:paraId="7ACAB13C">
      <w:pPr>
        <w:pStyle w:val="6"/>
        <w:spacing w:before="163" w:after="163"/>
      </w:pPr>
      <w:bookmarkStart w:id="1335" w:name="_Toc143355734"/>
      <w:bookmarkEnd w:id="1335"/>
      <w:bookmarkStart w:id="1336" w:name="_Toc143353726"/>
      <w:bookmarkEnd w:id="1336"/>
      <w:bookmarkStart w:id="1337" w:name="_Toc143352751"/>
      <w:bookmarkEnd w:id="1337"/>
      <w:bookmarkStart w:id="1338" w:name="_Toc143358069"/>
      <w:bookmarkEnd w:id="1338"/>
      <w:bookmarkStart w:id="1339" w:name="_Toc143099400"/>
      <w:bookmarkEnd w:id="1339"/>
      <w:bookmarkStart w:id="1340" w:name="_Toc143354302"/>
      <w:bookmarkEnd w:id="1340"/>
      <w:bookmarkStart w:id="1341" w:name="_Toc143260808"/>
      <w:bookmarkEnd w:id="1341"/>
      <w:bookmarkStart w:id="1342" w:name="_Toc142391013"/>
      <w:bookmarkEnd w:id="1342"/>
      <w:bookmarkStart w:id="1343" w:name="_Toc143354013"/>
      <w:bookmarkEnd w:id="1343"/>
      <w:bookmarkStart w:id="1344" w:name="_Toc143352753"/>
      <w:bookmarkEnd w:id="1344"/>
      <w:bookmarkStart w:id="1345" w:name="_Toc142403138"/>
      <w:bookmarkEnd w:id="1345"/>
      <w:bookmarkStart w:id="1346" w:name="_Toc143099114"/>
      <w:bookmarkEnd w:id="1346"/>
      <w:bookmarkStart w:id="1347" w:name="_Toc143099401"/>
      <w:bookmarkEnd w:id="1347"/>
      <w:bookmarkStart w:id="1348" w:name="_Toc143352752"/>
      <w:bookmarkEnd w:id="1348"/>
      <w:bookmarkStart w:id="1349" w:name="_Toc143355733"/>
      <w:bookmarkEnd w:id="1349"/>
      <w:bookmarkStart w:id="1350" w:name="_Toc142403136"/>
      <w:bookmarkEnd w:id="1350"/>
      <w:bookmarkStart w:id="1351" w:name="_Toc142391014"/>
      <w:bookmarkEnd w:id="1351"/>
      <w:bookmarkStart w:id="1352" w:name="_Toc143357199"/>
      <w:bookmarkEnd w:id="1352"/>
      <w:bookmarkStart w:id="1353" w:name="_Toc142466934"/>
      <w:bookmarkEnd w:id="1353"/>
      <w:bookmarkStart w:id="1354" w:name="_Toc142380927"/>
      <w:bookmarkEnd w:id="1354"/>
      <w:bookmarkStart w:id="1355" w:name="_Toc142858856"/>
      <w:bookmarkEnd w:id="1355"/>
      <w:bookmarkStart w:id="1356" w:name="_Toc143355153"/>
      <w:bookmarkEnd w:id="1356"/>
      <w:bookmarkStart w:id="1357" w:name="_Toc143353048"/>
      <w:bookmarkEnd w:id="1357"/>
      <w:bookmarkStart w:id="1358" w:name="_Toc142391273"/>
      <w:bookmarkEnd w:id="1358"/>
      <w:bookmarkStart w:id="1359" w:name="_Toc143354304"/>
      <w:bookmarkEnd w:id="1359"/>
      <w:bookmarkStart w:id="1360" w:name="_Toc143354869"/>
      <w:bookmarkEnd w:id="1360"/>
      <w:bookmarkStart w:id="1361" w:name="_Toc142381192"/>
      <w:bookmarkEnd w:id="1361"/>
      <w:bookmarkStart w:id="1362" w:name="_Toc142390428"/>
      <w:bookmarkEnd w:id="1362"/>
      <w:bookmarkStart w:id="1363" w:name="_Toc143353050"/>
      <w:bookmarkEnd w:id="1363"/>
      <w:bookmarkStart w:id="1364" w:name="_Toc143355154"/>
      <w:bookmarkEnd w:id="1364"/>
      <w:bookmarkStart w:id="1365" w:name="_Toc143355736"/>
      <w:bookmarkEnd w:id="1365"/>
      <w:bookmarkStart w:id="1366" w:name="_Toc143354586"/>
      <w:bookmarkEnd w:id="1366"/>
      <w:bookmarkStart w:id="1367" w:name="_Toc142495614"/>
      <w:bookmarkEnd w:id="1367"/>
      <w:bookmarkStart w:id="1368" w:name="_Toc143356606"/>
      <w:bookmarkEnd w:id="1368"/>
      <w:bookmarkStart w:id="1369" w:name="_Toc143356314"/>
      <w:bookmarkEnd w:id="1369"/>
      <w:bookmarkStart w:id="1370" w:name="_Toc143356909"/>
      <w:bookmarkEnd w:id="1370"/>
      <w:bookmarkStart w:id="1371" w:name="_Toc142400671"/>
      <w:bookmarkEnd w:id="1371"/>
      <w:bookmarkStart w:id="1372" w:name="_Toc143353727"/>
      <w:bookmarkEnd w:id="1372"/>
      <w:bookmarkStart w:id="1373" w:name="_Toc143352754"/>
      <w:bookmarkEnd w:id="1373"/>
      <w:bookmarkStart w:id="1374" w:name="_Toc143356315"/>
      <w:bookmarkEnd w:id="1374"/>
      <w:bookmarkStart w:id="1375" w:name="_Toc143357778"/>
      <w:bookmarkEnd w:id="1375"/>
      <w:bookmarkStart w:id="1376" w:name="_Toc142380928"/>
      <w:bookmarkEnd w:id="1376"/>
      <w:bookmarkStart w:id="1377" w:name="_Toc142402886"/>
      <w:bookmarkEnd w:id="1377"/>
      <w:bookmarkStart w:id="1378" w:name="_Toc142403139"/>
      <w:bookmarkEnd w:id="1378"/>
      <w:bookmarkStart w:id="1379" w:name="_Toc143260806"/>
      <w:bookmarkEnd w:id="1379"/>
      <w:bookmarkStart w:id="1380" w:name="_Toc143353047"/>
      <w:bookmarkEnd w:id="1380"/>
      <w:bookmarkStart w:id="1381" w:name="_Toc143358072"/>
      <w:bookmarkEnd w:id="1381"/>
      <w:bookmarkStart w:id="1382" w:name="_Toc143353049"/>
      <w:bookmarkEnd w:id="1382"/>
      <w:bookmarkStart w:id="1383" w:name="_Toc142391016"/>
      <w:bookmarkEnd w:id="1383"/>
      <w:bookmarkStart w:id="1384" w:name="_Toc143355155"/>
      <w:bookmarkEnd w:id="1384"/>
      <w:bookmarkStart w:id="1385" w:name="_Toc142466936"/>
      <w:bookmarkEnd w:id="1385"/>
      <w:bookmarkStart w:id="1386" w:name="_Toc143357489"/>
      <w:bookmarkEnd w:id="1386"/>
      <w:bookmarkStart w:id="1387" w:name="_Toc143356023"/>
      <w:bookmarkEnd w:id="1387"/>
      <w:bookmarkStart w:id="1388" w:name="_Toc143358653"/>
      <w:bookmarkEnd w:id="1388"/>
      <w:bookmarkStart w:id="1389" w:name="_Toc143356907"/>
      <w:bookmarkEnd w:id="1389"/>
      <w:bookmarkStart w:id="1390" w:name="_Toc142391276"/>
      <w:bookmarkEnd w:id="1390"/>
      <w:bookmarkStart w:id="1391" w:name="_Toc143354872"/>
      <w:bookmarkEnd w:id="1391"/>
      <w:bookmarkStart w:id="1392" w:name="_Toc143260809"/>
      <w:bookmarkEnd w:id="1392"/>
      <w:bookmarkStart w:id="1393" w:name="_Toc143357487"/>
      <w:bookmarkEnd w:id="1393"/>
      <w:bookmarkStart w:id="1394" w:name="_Toc143356025"/>
      <w:bookmarkEnd w:id="1394"/>
      <w:bookmarkStart w:id="1395" w:name="_Toc143354011"/>
      <w:bookmarkEnd w:id="1395"/>
      <w:bookmarkStart w:id="1396" w:name="_Toc142400674"/>
      <w:bookmarkEnd w:id="1396"/>
      <w:bookmarkStart w:id="1397" w:name="_Toc143354870"/>
      <w:bookmarkEnd w:id="1397"/>
      <w:bookmarkStart w:id="1398" w:name="_Toc143357780"/>
      <w:bookmarkEnd w:id="1398"/>
      <w:bookmarkStart w:id="1399" w:name="_Toc143358652"/>
      <w:bookmarkEnd w:id="1399"/>
      <w:bookmarkStart w:id="1400" w:name="_Toc142390427"/>
      <w:bookmarkEnd w:id="1400"/>
      <w:bookmarkStart w:id="1401" w:name="_Toc142495616"/>
      <w:bookmarkEnd w:id="1401"/>
      <w:bookmarkStart w:id="1402" w:name="_Toc142402887"/>
      <w:bookmarkEnd w:id="1402"/>
      <w:bookmarkStart w:id="1403" w:name="_Toc143358361"/>
      <w:bookmarkEnd w:id="1403"/>
      <w:bookmarkStart w:id="1404" w:name="_Toc142390430"/>
      <w:bookmarkEnd w:id="1404"/>
      <w:bookmarkStart w:id="1405" w:name="_Toc143356605"/>
      <w:bookmarkEnd w:id="1405"/>
      <w:bookmarkStart w:id="1406" w:name="_Toc143099402"/>
      <w:bookmarkEnd w:id="1406"/>
      <w:bookmarkStart w:id="1407" w:name="_Toc143358651"/>
      <w:bookmarkEnd w:id="1407"/>
      <w:bookmarkStart w:id="1408" w:name="_Toc143354014"/>
      <w:bookmarkEnd w:id="1408"/>
      <w:bookmarkStart w:id="1409" w:name="_Toc143356316"/>
      <w:bookmarkEnd w:id="1409"/>
      <w:bookmarkStart w:id="1410" w:name="_Toc143357490"/>
      <w:bookmarkEnd w:id="1410"/>
      <w:bookmarkStart w:id="1411" w:name="_Toc143358650"/>
      <w:bookmarkEnd w:id="1411"/>
      <w:bookmarkStart w:id="1412" w:name="_Toc143355446"/>
      <w:bookmarkEnd w:id="1412"/>
      <w:bookmarkStart w:id="1413" w:name="_Toc143357200"/>
      <w:bookmarkEnd w:id="1413"/>
      <w:bookmarkStart w:id="1414" w:name="_Toc142380930"/>
      <w:bookmarkEnd w:id="1414"/>
      <w:bookmarkStart w:id="1415" w:name="_Toc142495615"/>
      <w:bookmarkEnd w:id="1415"/>
      <w:bookmarkStart w:id="1416" w:name="_Toc143354301"/>
      <w:bookmarkEnd w:id="1416"/>
      <w:bookmarkStart w:id="1417" w:name="_Toc142381193"/>
      <w:bookmarkEnd w:id="1417"/>
      <w:bookmarkStart w:id="1418" w:name="_Toc143358359"/>
      <w:bookmarkEnd w:id="1418"/>
      <w:bookmarkStart w:id="1419" w:name="_Toc143099115"/>
      <w:bookmarkEnd w:id="1419"/>
      <w:bookmarkStart w:id="1420" w:name="_Toc143099399"/>
      <w:bookmarkEnd w:id="1420"/>
      <w:bookmarkStart w:id="1421" w:name="_Toc142391274"/>
      <w:bookmarkEnd w:id="1421"/>
      <w:bookmarkStart w:id="1422" w:name="_Toc142402888"/>
      <w:bookmarkEnd w:id="1422"/>
      <w:bookmarkStart w:id="1423" w:name="_Toc143356026"/>
      <w:bookmarkEnd w:id="1423"/>
      <w:bookmarkStart w:id="1424" w:name="_Toc143355735"/>
      <w:bookmarkEnd w:id="1424"/>
      <w:bookmarkStart w:id="1425" w:name="_Toc143356603"/>
      <w:bookmarkEnd w:id="1425"/>
      <w:bookmarkStart w:id="1426" w:name="_Toc143356313"/>
      <w:bookmarkEnd w:id="1426"/>
      <w:bookmarkStart w:id="1427" w:name="_Toc143354588"/>
      <w:bookmarkEnd w:id="1427"/>
      <w:bookmarkStart w:id="1428" w:name="_Toc143356024"/>
      <w:bookmarkEnd w:id="1428"/>
      <w:bookmarkStart w:id="1429" w:name="_Toc143358362"/>
      <w:bookmarkEnd w:id="1429"/>
      <w:bookmarkStart w:id="1430" w:name="_Toc143356910"/>
      <w:bookmarkEnd w:id="1430"/>
      <w:bookmarkStart w:id="1431" w:name="_Toc143357779"/>
      <w:bookmarkEnd w:id="1431"/>
      <w:bookmarkStart w:id="1432" w:name="_Toc142858859"/>
      <w:bookmarkEnd w:id="1432"/>
      <w:bookmarkStart w:id="1433" w:name="_Toc142400672"/>
      <w:bookmarkEnd w:id="1433"/>
      <w:bookmarkStart w:id="1434" w:name="_Toc142466933"/>
      <w:bookmarkEnd w:id="1434"/>
      <w:bookmarkStart w:id="1435" w:name="_Toc143354012"/>
      <w:bookmarkEnd w:id="1435"/>
      <w:bookmarkStart w:id="1436" w:name="_Toc143353728"/>
      <w:bookmarkEnd w:id="1436"/>
      <w:bookmarkStart w:id="1437" w:name="_Toc142858858"/>
      <w:bookmarkEnd w:id="1437"/>
      <w:bookmarkStart w:id="1438" w:name="_Toc143260807"/>
      <w:bookmarkEnd w:id="1438"/>
      <w:bookmarkStart w:id="1439" w:name="_Toc143355156"/>
      <w:bookmarkEnd w:id="1439"/>
      <w:bookmarkStart w:id="1440" w:name="_Toc142466935"/>
      <w:bookmarkEnd w:id="1440"/>
      <w:bookmarkStart w:id="1441" w:name="_Toc143357781"/>
      <w:bookmarkEnd w:id="1441"/>
      <w:bookmarkStart w:id="1442" w:name="_Toc142381195"/>
      <w:bookmarkEnd w:id="1442"/>
      <w:bookmarkStart w:id="1443" w:name="_Toc143353725"/>
      <w:bookmarkEnd w:id="1443"/>
      <w:bookmarkStart w:id="1444" w:name="_Toc143357197"/>
      <w:bookmarkEnd w:id="1444"/>
      <w:bookmarkStart w:id="1445" w:name="_Toc143355444"/>
      <w:bookmarkEnd w:id="1445"/>
      <w:bookmarkStart w:id="1446" w:name="_Toc143354303"/>
      <w:bookmarkEnd w:id="1446"/>
      <w:bookmarkStart w:id="1447" w:name="_Toc142380929"/>
      <w:bookmarkEnd w:id="1447"/>
      <w:bookmarkStart w:id="1448" w:name="_Toc143099116"/>
      <w:bookmarkEnd w:id="1448"/>
      <w:bookmarkStart w:id="1449" w:name="_Toc143354587"/>
      <w:bookmarkEnd w:id="1449"/>
      <w:bookmarkStart w:id="1450" w:name="_Toc143358070"/>
      <w:bookmarkEnd w:id="1450"/>
      <w:bookmarkStart w:id="1451" w:name="_Toc143356604"/>
      <w:bookmarkEnd w:id="1451"/>
      <w:bookmarkStart w:id="1452" w:name="_Toc142391015"/>
      <w:bookmarkEnd w:id="1452"/>
      <w:bookmarkStart w:id="1453" w:name="_Toc143099117"/>
      <w:bookmarkEnd w:id="1453"/>
      <w:bookmarkStart w:id="1454" w:name="_Toc142402885"/>
      <w:bookmarkEnd w:id="1454"/>
      <w:bookmarkStart w:id="1455" w:name="_Toc142858857"/>
      <w:bookmarkEnd w:id="1455"/>
      <w:bookmarkStart w:id="1456" w:name="_Toc142495617"/>
      <w:bookmarkEnd w:id="1456"/>
      <w:bookmarkStart w:id="1457" w:name="_Toc142403137"/>
      <w:bookmarkEnd w:id="1457"/>
      <w:bookmarkStart w:id="1458" w:name="_Toc143354585"/>
      <w:bookmarkEnd w:id="1458"/>
      <w:bookmarkStart w:id="1459" w:name="_Toc143358360"/>
      <w:bookmarkEnd w:id="1459"/>
      <w:bookmarkStart w:id="1460" w:name="_Toc142390429"/>
      <w:bookmarkEnd w:id="1460"/>
      <w:bookmarkStart w:id="1461" w:name="_Toc143355443"/>
      <w:bookmarkEnd w:id="1461"/>
      <w:bookmarkStart w:id="1462" w:name="_Toc143354871"/>
      <w:bookmarkEnd w:id="1462"/>
      <w:bookmarkStart w:id="1463" w:name="_Toc143358071"/>
      <w:bookmarkEnd w:id="1463"/>
      <w:bookmarkStart w:id="1464" w:name="_Toc143355445"/>
      <w:bookmarkEnd w:id="1464"/>
      <w:bookmarkStart w:id="1465" w:name="_Toc142381194"/>
      <w:bookmarkEnd w:id="1465"/>
      <w:bookmarkStart w:id="1466" w:name="_Toc143357488"/>
      <w:bookmarkEnd w:id="1466"/>
      <w:bookmarkStart w:id="1467" w:name="_Toc143356908"/>
      <w:bookmarkEnd w:id="1467"/>
      <w:bookmarkStart w:id="1468" w:name="_Toc142391275"/>
      <w:bookmarkEnd w:id="1468"/>
      <w:bookmarkStart w:id="1469" w:name="_Toc142400673"/>
      <w:bookmarkEnd w:id="1469"/>
      <w:bookmarkStart w:id="1470" w:name="_Toc143357198"/>
      <w:bookmarkEnd w:id="1470"/>
      <w:r>
        <w:rPr>
          <w:rFonts w:hint="eastAsia"/>
        </w:rPr>
        <w:t>严格管控建设用地</w:t>
      </w:r>
    </w:p>
    <w:p w14:paraId="13D7AC71">
      <w:pPr>
        <w:ind w:firstLine="6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城镇开发边界内严格实行建设用地总量与强度双控，实行“详细规划＋</w:t>
      </w:r>
      <w:r>
        <w:rPr>
          <w:color w:val="000000" w:themeColor="text1"/>
          <w14:textFill>
            <w14:solidFill>
              <w14:schemeClr w14:val="tx1"/>
            </w14:solidFill>
          </w14:textFill>
        </w:rPr>
        <w:t>规划许可</w:t>
      </w:r>
      <w:r>
        <w:rPr>
          <w:rFonts w:ascii="仿宋_GB2312"/>
          <w:color w:val="000000" w:themeColor="text1"/>
          <w14:textFill>
            <w14:solidFill>
              <w14:schemeClr w14:val="tx1"/>
            </w14:solidFill>
          </w14:textFill>
        </w:rPr>
        <w:t>”</w:t>
      </w:r>
      <w:r>
        <w:rPr>
          <w:color w:val="000000" w:themeColor="text1"/>
          <w14:textFill>
            <w14:solidFill>
              <w14:schemeClr w14:val="tx1"/>
            </w14:solidFill>
          </w14:textFill>
        </w:rPr>
        <w:t>的管制方式。</w:t>
      </w:r>
      <w:r>
        <w:rPr>
          <w:rFonts w:hint="eastAsia"/>
          <w:color w:val="000000" w:themeColor="text1"/>
          <w14:textFill>
            <w14:solidFill>
              <w14:schemeClr w14:val="tx1"/>
            </w14:solidFill>
          </w14:textFill>
        </w:rPr>
        <w:t>城镇开发边界外建设，按照主导用途分区，实行“详细规划＋规划许可”和“约束指标＋分区准入”的管制方式。对以国家公园为主体的自然保护地、重要水源地、文物等实行特殊保护制度。</w:t>
      </w:r>
    </w:p>
    <w:p w14:paraId="7AF5B881">
      <w:pPr>
        <w:pStyle w:val="5"/>
        <w:spacing w:before="163" w:after="163"/>
        <w:rPr>
          <w:b/>
        </w:rPr>
      </w:pPr>
      <w:bookmarkStart w:id="1471" w:name="_Toc145277605"/>
      <w:bookmarkEnd w:id="1471"/>
      <w:bookmarkStart w:id="1472" w:name="_Toc145499960"/>
      <w:bookmarkEnd w:id="1472"/>
      <w:bookmarkStart w:id="1473" w:name="_Toc145277606"/>
      <w:bookmarkEnd w:id="1473"/>
      <w:bookmarkStart w:id="1474" w:name="_Toc145499961"/>
      <w:bookmarkEnd w:id="1474"/>
      <w:bookmarkStart w:id="1475" w:name="_Toc167271397"/>
      <w:r>
        <w:rPr>
          <w:rFonts w:hint="eastAsia"/>
        </w:rPr>
        <w:t>产业空间布局与空间保障</w:t>
      </w:r>
      <w:bookmarkEnd w:id="1475"/>
    </w:p>
    <w:p w14:paraId="13D4A28C">
      <w:pPr>
        <w:pStyle w:val="6"/>
        <w:spacing w:before="163" w:after="163"/>
        <w:rPr>
          <w:b/>
        </w:rPr>
      </w:pPr>
      <w:r>
        <w:rPr>
          <w:rFonts w:hint="eastAsia"/>
        </w:rPr>
        <w:t>优化产业空间结构</w:t>
      </w:r>
    </w:p>
    <w:p w14:paraId="3D34C17C">
      <w:pPr>
        <w:pStyle w:val="20"/>
        <w:ind w:firstLine="600"/>
      </w:pPr>
      <w:r>
        <w:rPr>
          <w:rFonts w:hint="eastAsia"/>
          <w:color w:val="000000" w:themeColor="text1"/>
          <w14:textFill>
            <w14:solidFill>
              <w14:schemeClr w14:val="tx1"/>
            </w14:solidFill>
          </w14:textFill>
        </w:rPr>
        <w:t>衔接韶关</w:t>
      </w:r>
      <w:r>
        <w:rPr>
          <w:rFonts w:hint="eastAsia" w:ascii="仿宋_GB2312"/>
          <w:color w:val="000000" w:themeColor="text1"/>
          <w14:textFill>
            <w14:solidFill>
              <w14:schemeClr w14:val="tx1"/>
            </w14:solidFill>
          </w14:textFill>
        </w:rPr>
        <w:t>“</w:t>
      </w:r>
      <w:r>
        <w:rPr>
          <w:rFonts w:hint="eastAsia"/>
          <w:color w:val="000000" w:themeColor="text1"/>
          <w14:textFill>
            <w14:solidFill>
              <w14:schemeClr w14:val="tx1"/>
            </w14:solidFill>
          </w14:textFill>
        </w:rPr>
        <w:t>一核两带三区多节点</w:t>
      </w:r>
      <w:r>
        <w:rPr>
          <w:rFonts w:hint="eastAsia" w:ascii="仿宋_GB2312"/>
          <w:color w:val="000000" w:themeColor="text1"/>
          <w14:textFill>
            <w14:solidFill>
              <w14:schemeClr w14:val="tx1"/>
            </w14:solidFill>
          </w14:textFill>
        </w:rPr>
        <w:t>”</w:t>
      </w:r>
      <w:r>
        <w:rPr>
          <w:rFonts w:hint="eastAsia"/>
          <w:color w:val="000000" w:themeColor="text1"/>
          <w14:textFill>
            <w14:solidFill>
              <w14:schemeClr w14:val="tx1"/>
            </w14:solidFill>
          </w14:textFill>
        </w:rPr>
        <w:t>的新型工业空间格局，结合仁化产业基础及资源禀赋，构建</w:t>
      </w:r>
      <w:r>
        <w:rPr>
          <w:rFonts w:hint="eastAsia" w:ascii="仿宋_GB2312"/>
          <w:color w:val="000000" w:themeColor="text1"/>
          <w14:textFill>
            <w14:solidFill>
              <w14:schemeClr w14:val="tx1"/>
            </w14:solidFill>
          </w14:textFill>
        </w:rPr>
        <w:t>“</w:t>
      </w:r>
      <w:r>
        <w:rPr>
          <w:rFonts w:hint="eastAsia"/>
          <w:color w:val="000000" w:themeColor="text1"/>
          <w14:textFill>
            <w14:solidFill>
              <w14:schemeClr w14:val="tx1"/>
            </w14:solidFill>
          </w14:textFill>
        </w:rPr>
        <w:t>一环六园”的产业空间格局。</w:t>
      </w:r>
    </w:p>
    <w:p w14:paraId="29225806">
      <w:pPr>
        <w:ind w:firstLine="600"/>
        <w:jc w:val="both"/>
        <w:rPr>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“一环”</w:t>
      </w:r>
      <w:r>
        <w:rPr>
          <w:rFonts w:hint="eastAsia"/>
          <w:color w:val="000000" w:themeColor="text1"/>
          <w14:textFill>
            <w14:solidFill>
              <w14:schemeClr w14:val="tx1"/>
            </w14:solidFill>
          </w14:textFill>
        </w:rPr>
        <w:t>为环丹综合产业发展环。整合环丹区域资源要素，支持现代农业产业园、工业产业园区集聚发展，培育壮大新兴产业集群，促进优势产业升级，加快产业链强链补链。</w:t>
      </w:r>
    </w:p>
    <w:p w14:paraId="597B645F">
      <w:pPr>
        <w:pStyle w:val="20"/>
        <w:ind w:firstLine="600"/>
      </w:pPr>
      <w:r>
        <w:rPr>
          <w:rFonts w:hint="eastAsia" w:ascii="楷体_GB2312" w:hAnsi="宋体" w:eastAsia="楷体_GB2312"/>
          <w:color w:val="000000" w:themeColor="text1"/>
          <w14:textFill>
            <w14:solidFill>
              <w14:schemeClr w14:val="tx1"/>
            </w14:solidFill>
          </w14:textFill>
        </w:rPr>
        <w:t>“六园”</w:t>
      </w:r>
      <w:r>
        <w:rPr>
          <w:rFonts w:hint="eastAsia" w:hAnsi="宋体"/>
          <w:color w:val="000000" w:themeColor="text1"/>
          <w14:textFill>
            <w14:solidFill>
              <w14:schemeClr w14:val="tx1"/>
            </w14:solidFill>
          </w14:textFill>
        </w:rPr>
        <w:t>为仁化产业转移工业园（省级产业转移园区）、中金岭南有色金属绿色循环产业示范园、中金岭南凡口铅锌绿色矿业集聚区（凡口铅锌矿）、广东铝厂有色金属深加工工业园区、仁化县小企业创业园和仁化竹产业园。坚持制造业当家，重点保障董塘凡口绿色工业园区、仁化产业转移工业园等平台建设，推动仁化新型工业化高质量发展。</w:t>
      </w:r>
    </w:p>
    <w:p w14:paraId="5740969B">
      <w:pPr>
        <w:pStyle w:val="6"/>
        <w:spacing w:before="163" w:after="163"/>
        <w:rPr>
          <w:b/>
        </w:rPr>
      </w:pPr>
      <w:r>
        <w:rPr>
          <w:rFonts w:hint="eastAsia"/>
        </w:rPr>
        <w:t>加快发展现代服务业</w:t>
      </w:r>
    </w:p>
    <w:p w14:paraId="2631F38E">
      <w:pPr>
        <w:pStyle w:val="20"/>
        <w:ind w:firstLine="600"/>
        <w:jc w:val="both"/>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发挥国家全域旅游示范区品牌效应，推动生产性服务业专业化和价值链向高端延伸，推动生活性服务业高品质和精细化，积极拓展新兴服务业领域，构建与新型城镇化、新型工业化、农业现代化要求相匹配的现代服务业体系。</w:t>
      </w:r>
    </w:p>
    <w:p w14:paraId="2CCB6048">
      <w:pPr>
        <w:pStyle w:val="20"/>
        <w:ind w:firstLine="600"/>
        <w:jc w:val="both"/>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提升城乡物流发展，</w:t>
      </w:r>
      <w:r>
        <w:rPr>
          <w:rFonts w:hAnsi="宋体"/>
          <w:color w:val="000000" w:themeColor="text1"/>
          <w14:textFill>
            <w14:solidFill>
              <w14:schemeClr w14:val="tx1"/>
            </w14:solidFill>
          </w14:textFill>
        </w:rPr>
        <w:t>推动</w:t>
      </w:r>
      <w:r>
        <w:rPr>
          <w:rFonts w:hint="eastAsia" w:hAnsi="宋体"/>
          <w:color w:val="000000" w:themeColor="text1"/>
          <w14:textFill>
            <w14:solidFill>
              <w14:schemeClr w14:val="tx1"/>
            </w14:solidFill>
          </w14:textFill>
        </w:rPr>
        <w:t>中心城区、周田镇区</w:t>
      </w:r>
      <w:r>
        <w:rPr>
          <w:rFonts w:hAnsi="宋体"/>
          <w:color w:val="000000" w:themeColor="text1"/>
          <w14:textFill>
            <w14:solidFill>
              <w14:schemeClr w14:val="tx1"/>
            </w14:solidFill>
          </w14:textFill>
        </w:rPr>
        <w:t>重要商品物资储备、大型物流配送中心、农产品冷链物流等项目</w:t>
      </w:r>
      <w:r>
        <w:rPr>
          <w:rFonts w:hint="eastAsia" w:hAnsi="宋体"/>
          <w:color w:val="000000" w:themeColor="text1"/>
          <w14:textFill>
            <w14:solidFill>
              <w14:schemeClr w14:val="tx1"/>
            </w14:solidFill>
          </w14:textFill>
        </w:rPr>
        <w:t>建设，打造现代物流集聚服务平台，提升商贸物流服务能力。</w:t>
      </w:r>
    </w:p>
    <w:p w14:paraId="70A26EE1">
      <w:pPr>
        <w:pStyle w:val="20"/>
        <w:ind w:firstLine="600"/>
        <w:jc w:val="both"/>
        <w:rPr>
          <w:rFonts w:hAnsi="宋体"/>
          <w:color w:val="000000" w:themeColor="text1"/>
          <w14:textFill>
            <w14:solidFill>
              <w14:schemeClr w14:val="tx1"/>
            </w14:solidFill>
          </w14:textFill>
        </w:rPr>
      </w:pPr>
      <w:r>
        <w:rPr>
          <w:rFonts w:hAnsi="宋体"/>
          <w:color w:val="000000" w:themeColor="text1"/>
          <w14:textFill>
            <w14:solidFill>
              <w14:schemeClr w14:val="tx1"/>
            </w14:solidFill>
          </w14:textFill>
        </w:rPr>
        <w:t>积极推动电商发展，推动</w:t>
      </w:r>
      <w:r>
        <w:rPr>
          <w:rFonts w:hint="eastAsia" w:hAnsi="宋体"/>
          <w:color w:val="000000" w:themeColor="text1"/>
          <w14:textFill>
            <w14:solidFill>
              <w14:schemeClr w14:val="tx1"/>
            </w14:solidFill>
          </w14:textFill>
        </w:rPr>
        <w:t>与</w:t>
      </w:r>
      <w:r>
        <w:rPr>
          <w:rFonts w:hAnsi="宋体"/>
          <w:color w:val="000000" w:themeColor="text1"/>
          <w14:textFill>
            <w14:solidFill>
              <w14:schemeClr w14:val="tx1"/>
            </w14:solidFill>
          </w14:textFill>
        </w:rPr>
        <w:t>商贸领域企业开展电子商务应用，打造电子商务生态圈。</w:t>
      </w:r>
      <w:r>
        <w:rPr>
          <w:rFonts w:hint="eastAsia" w:hAnsi="宋体"/>
          <w:color w:val="000000" w:themeColor="text1"/>
          <w14:textFill>
            <w14:solidFill>
              <w14:schemeClr w14:val="tx1"/>
            </w14:solidFill>
          </w14:textFill>
        </w:rPr>
        <w:t>推动农产品营销渠道与电子商务深度融合，扩大贡柑、长坝沙田柚等名优特产品上行能力。</w:t>
      </w:r>
    </w:p>
    <w:p w14:paraId="598112A9">
      <w:pPr>
        <w:pStyle w:val="20"/>
        <w:ind w:firstLine="600"/>
        <w:jc w:val="both"/>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积极发展绿色金融业，整合现行节能环保等专项资金探索设立生态产业投资基金，鼓励银行业金融机构积极开展绿色信贷业务。推进</w:t>
      </w:r>
      <w:r>
        <w:rPr>
          <w:rFonts w:hint="eastAsia" w:ascii="仿宋_GB2312" w:hAnsi="宋体"/>
          <w:color w:val="000000" w:themeColor="text1"/>
          <w14:textFill>
            <w14:solidFill>
              <w14:schemeClr w14:val="tx1"/>
            </w14:solidFill>
          </w14:textFill>
        </w:rPr>
        <w:t>“互联网+金融”发展，探索“互联网+金融”</w:t>
      </w:r>
      <w:r>
        <w:rPr>
          <w:rFonts w:hAnsi="宋体"/>
          <w:color w:val="000000" w:themeColor="text1"/>
          <w14:textFill>
            <w14:solidFill>
              <w14:schemeClr w14:val="tx1"/>
            </w14:solidFill>
          </w14:textFill>
        </w:rPr>
        <w:t>创新模式。</w:t>
      </w:r>
    </w:p>
    <w:p w14:paraId="2E710C11">
      <w:pPr>
        <w:pStyle w:val="20"/>
        <w:ind w:firstLine="600"/>
        <w:jc w:val="both"/>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加快发展智慧服务业，深化大数据在服务业领域的应用。加快推进养老社会化、产业化发展，发展医疗保健、健康体检、健康保险等健康服务。鼓励医疗健康领域，积极开展“互联网</w:t>
      </w:r>
      <w:r>
        <w:rPr>
          <w:rFonts w:hint="eastAsia" w:ascii="仿宋_GB2312" w:hAnsi="宋体"/>
          <w:color w:val="000000" w:themeColor="text1"/>
          <w14:textFill>
            <w14:solidFill>
              <w14:schemeClr w14:val="tx1"/>
            </w14:solidFill>
          </w14:textFill>
        </w:rPr>
        <w:t>+</w:t>
      </w:r>
      <w:r>
        <w:rPr>
          <w:rFonts w:hAnsi="宋体"/>
          <w:color w:val="000000" w:themeColor="text1"/>
          <w14:textFill>
            <w14:solidFill>
              <w14:schemeClr w14:val="tx1"/>
            </w14:solidFill>
          </w14:textFill>
        </w:rPr>
        <w:t>医疗健康”</w:t>
      </w:r>
      <w:r>
        <w:rPr>
          <w:rFonts w:hint="eastAsia" w:hAnsi="宋体"/>
          <w:color w:val="000000" w:themeColor="text1"/>
          <w14:textFill>
            <w14:solidFill>
              <w14:schemeClr w14:val="tx1"/>
            </w14:solidFill>
          </w14:textFill>
        </w:rPr>
        <w:t>便民</w:t>
      </w:r>
      <w:r>
        <w:rPr>
          <w:rFonts w:hAnsi="宋体"/>
          <w:color w:val="000000" w:themeColor="text1"/>
          <w14:textFill>
            <w14:solidFill>
              <w14:schemeClr w14:val="tx1"/>
            </w14:solidFill>
          </w14:textFill>
        </w:rPr>
        <w:t>服务。加快社区服务业发展，满足家政、托幼等需求。</w:t>
      </w:r>
    </w:p>
    <w:p w14:paraId="69146690">
      <w:pPr>
        <w:pStyle w:val="20"/>
        <w:ind w:firstLine="600"/>
        <w:jc w:val="both"/>
        <w:rPr>
          <w:color w:val="000000" w:themeColor="text1"/>
          <w14:textFill>
            <w14:solidFill>
              <w14:schemeClr w14:val="tx1"/>
            </w14:solidFill>
          </w14:textFill>
        </w:rPr>
      </w:pPr>
      <w:r>
        <w:rPr>
          <w:rFonts w:hint="eastAsia" w:hAnsi="宋体"/>
          <w:color w:val="000000" w:themeColor="text1"/>
          <w14:textFill>
            <w14:solidFill>
              <w14:schemeClr w14:val="tx1"/>
            </w14:solidFill>
          </w14:textFill>
        </w:rPr>
        <w:t>丰富旅游服务业态，提高旅游服务品质，打造更多休闲公共空间，推进星级标准酒店和星级民宿建设，完善旅游厕所、停车场等配套设施，提升整体旅游接待能力</w:t>
      </w:r>
      <w:r>
        <w:rPr>
          <w:rFonts w:hint="eastAsia"/>
          <w:color w:val="000000" w:themeColor="text1"/>
          <w14:textFill>
            <w14:solidFill>
              <w14:schemeClr w14:val="tx1"/>
            </w14:solidFill>
          </w14:textFill>
        </w:rPr>
        <w:t>。</w:t>
      </w:r>
    </w:p>
    <w:p w14:paraId="662845AD">
      <w:pPr>
        <w:pStyle w:val="6"/>
        <w:spacing w:before="163" w:after="163"/>
        <w:rPr>
          <w:b/>
        </w:rPr>
      </w:pPr>
      <w:bookmarkStart w:id="1476" w:name="_Toc132036838"/>
      <w:bookmarkStart w:id="1477" w:name="_Toc132305820"/>
      <w:r>
        <w:rPr>
          <w:rFonts w:hint="eastAsia"/>
        </w:rPr>
        <w:t>划定工业用地控制线</w:t>
      </w:r>
    </w:p>
    <w:bookmarkEnd w:id="1476"/>
    <w:bookmarkEnd w:id="1477"/>
    <w:p w14:paraId="4DF9237E">
      <w:pPr>
        <w:ind w:firstLine="600"/>
        <w:rPr>
          <w:rFonts w:ascii="仿宋_GB2312"/>
        </w:rPr>
      </w:pPr>
      <w:r>
        <w:rPr>
          <w:rFonts w:hint="eastAsia"/>
          <w:color w:val="000000" w:themeColor="text1"/>
          <w14:textFill>
            <w14:solidFill>
              <w14:schemeClr w14:val="tx1"/>
            </w14:solidFill>
          </w14:textFill>
        </w:rPr>
        <w:t>优先将产业基础好、空间上集中连片的工业用地纳入工业用地控制线统筹管控，保障实体经济和生产性服务业用地需求。全县工业用地控制线按一级控制线和二级控制线分级管控。一级控制线是保障城市工业长远发展的工业用地，二级控制线是为稳定城市一定时期工业用地总规模、未来可根据城市发展需要适当调整用地性质的工业用地</w:t>
      </w:r>
      <w:r>
        <w:rPr>
          <w:rFonts w:hint="eastAsia" w:ascii="仿宋_GB2312"/>
        </w:rPr>
        <w:t>。</w:t>
      </w:r>
    </w:p>
    <w:p w14:paraId="0F5E727B">
      <w:pPr>
        <w:pStyle w:val="6"/>
        <w:spacing w:before="163" w:after="163"/>
      </w:pPr>
      <w:r>
        <w:t>差异化管理产业用地</w:t>
      </w:r>
    </w:p>
    <w:p w14:paraId="40F7F3BA">
      <w:pPr>
        <w:ind w:firstLine="600"/>
        <w:rPr>
          <w:rFonts w:ascii="仿宋_GB2312"/>
        </w:rPr>
      </w:pPr>
      <w:r>
        <w:rPr>
          <w:rFonts w:hint="eastAsia" w:ascii="楷体_GB2312" w:eastAsia="楷体_GB2312"/>
        </w:rPr>
        <w:t>工业用地管控：</w:t>
      </w:r>
      <w:r>
        <w:rPr>
          <w:rFonts w:ascii="仿宋_GB2312"/>
        </w:rPr>
        <w:t>认真落实国家《市场准入负面清单》，构建与生态发展区功能相适应的差别化土地供应政策，</w:t>
      </w:r>
      <w:r>
        <w:rPr>
          <w:rFonts w:hint="eastAsia" w:ascii="仿宋_GB2312"/>
        </w:rPr>
        <w:t>统筹好传统产业转型升级和新兴产业培育壮大，提升对资源的利用效率，</w:t>
      </w:r>
      <w:r>
        <w:rPr>
          <w:rFonts w:ascii="仿宋_GB2312"/>
        </w:rPr>
        <w:t>提高土地投入产出水平</w:t>
      </w:r>
      <w:r>
        <w:rPr>
          <w:rFonts w:hint="eastAsia" w:ascii="仿宋_GB2312"/>
        </w:rPr>
        <w:t>。</w:t>
      </w:r>
      <w:r>
        <w:rPr>
          <w:rFonts w:ascii="仿宋_GB2312"/>
        </w:rPr>
        <w:t>强化产业园区用地保障</w:t>
      </w:r>
      <w:r>
        <w:rPr>
          <w:rFonts w:hint="eastAsia" w:ascii="仿宋_GB2312"/>
        </w:rPr>
        <w:t>，</w:t>
      </w:r>
      <w:r>
        <w:rPr>
          <w:rFonts w:ascii="仿宋_GB2312"/>
        </w:rPr>
        <w:t>加强空间集约利用，</w:t>
      </w:r>
      <w:r>
        <w:rPr>
          <w:rFonts w:hint="eastAsia" w:ascii="仿宋_GB2312"/>
        </w:rPr>
        <w:t>支持园区建设多层标准厂房，</w:t>
      </w:r>
      <w:r>
        <w:rPr>
          <w:rFonts w:ascii="仿宋_GB2312"/>
        </w:rPr>
        <w:t>提高工业用地容积率</w:t>
      </w:r>
      <w:r>
        <w:rPr>
          <w:rFonts w:hint="eastAsia" w:ascii="仿宋_GB2312"/>
        </w:rPr>
        <w:t>。</w:t>
      </w:r>
      <w:r>
        <w:rPr>
          <w:rFonts w:ascii="仿宋_GB2312"/>
        </w:rPr>
        <w:t>全面梳理</w:t>
      </w:r>
      <w:r>
        <w:rPr>
          <w:rFonts w:hint="eastAsia" w:ascii="仿宋_GB2312"/>
        </w:rPr>
        <w:t>各</w:t>
      </w:r>
      <w:r>
        <w:rPr>
          <w:rFonts w:ascii="仿宋_GB2312"/>
        </w:rPr>
        <w:t>产业园区闲置用地和低效用地</w:t>
      </w:r>
      <w:r>
        <w:rPr>
          <w:rFonts w:hint="eastAsia" w:ascii="仿宋_GB2312"/>
        </w:rPr>
        <w:t>情况</w:t>
      </w:r>
      <w:r>
        <w:rPr>
          <w:rFonts w:ascii="仿宋_GB2312"/>
        </w:rPr>
        <w:t>，</w:t>
      </w:r>
      <w:r>
        <w:rPr>
          <w:rFonts w:hint="eastAsia" w:ascii="仿宋_GB2312"/>
        </w:rPr>
        <w:t>积极</w:t>
      </w:r>
      <w:r>
        <w:rPr>
          <w:rFonts w:ascii="仿宋_GB2312"/>
        </w:rPr>
        <w:t>盘活土地存量</w:t>
      </w:r>
      <w:r>
        <w:rPr>
          <w:rFonts w:hint="eastAsia" w:ascii="仿宋_GB2312"/>
        </w:rPr>
        <w:t>，促进工业用地的集约利用。</w:t>
      </w:r>
      <w:r>
        <w:rPr>
          <w:rFonts w:ascii="仿宋_GB2312"/>
        </w:rPr>
        <w:t>统筹工业用地指标，优</w:t>
      </w:r>
      <w:r>
        <w:rPr>
          <w:rFonts w:hint="eastAsia" w:ascii="仿宋_GB2312"/>
        </w:rPr>
        <w:t>先保障重大项目的建设用地需求。创新土地供应方式，鼓励园区根据产业类型和生产经营周期，</w:t>
      </w:r>
      <w:r>
        <w:rPr>
          <w:rFonts w:ascii="仿宋_GB2312"/>
        </w:rPr>
        <w:t>弹性确定工业用地出让年限</w:t>
      </w:r>
      <w:r>
        <w:rPr>
          <w:rFonts w:hint="eastAsia" w:ascii="仿宋_GB2312"/>
        </w:rPr>
        <w:t>，降低企业用地成本</w:t>
      </w:r>
      <w:r>
        <w:rPr>
          <w:rFonts w:ascii="仿宋_GB2312"/>
        </w:rPr>
        <w:t>。</w:t>
      </w:r>
    </w:p>
    <w:p w14:paraId="0122D3FD">
      <w:pPr>
        <w:ind w:firstLine="600"/>
      </w:pPr>
      <w:r>
        <w:rPr>
          <w:rFonts w:hint="eastAsia" w:ascii="楷体_GB2312" w:eastAsia="楷体_GB2312"/>
        </w:rPr>
        <w:t>服务业用地管控：</w:t>
      </w:r>
      <w:r>
        <w:t>统筹使用新增和存量建设用地，合理安排用地计划指标，</w:t>
      </w:r>
      <w:r>
        <w:rPr>
          <w:rFonts w:hint="eastAsia"/>
        </w:rPr>
        <w:t>优先支持符合产业政策的项目用地，</w:t>
      </w:r>
      <w:r>
        <w:t>服务民生设施建设</w:t>
      </w:r>
      <w:r>
        <w:rPr>
          <w:rFonts w:hint="eastAsia"/>
        </w:rPr>
        <w:t>，</w:t>
      </w:r>
      <w:r>
        <w:t>促进产业创新发展。</w:t>
      </w:r>
      <w:r>
        <w:rPr>
          <w:rFonts w:hint="eastAsia"/>
        </w:rPr>
        <w:t>缓解用地压力，推进文旅产业项目“点状用地”模式</w:t>
      </w:r>
      <w:r>
        <w:t>。</w:t>
      </w:r>
    </w:p>
    <w:p w14:paraId="2CE2AA07">
      <w:pPr>
        <w:pStyle w:val="5"/>
        <w:spacing w:before="163" w:after="163"/>
        <w:rPr>
          <w:b/>
        </w:rPr>
      </w:pPr>
      <w:bookmarkStart w:id="1478" w:name="_Toc143357784"/>
      <w:bookmarkEnd w:id="1478"/>
      <w:bookmarkStart w:id="1479" w:name="_Toc142400677"/>
      <w:bookmarkEnd w:id="1479"/>
      <w:bookmarkStart w:id="1480" w:name="_Toc143355739"/>
      <w:bookmarkEnd w:id="1480"/>
      <w:bookmarkStart w:id="1481" w:name="_Toc142495620"/>
      <w:bookmarkEnd w:id="1481"/>
      <w:bookmarkStart w:id="1482" w:name="_Toc142390433"/>
      <w:bookmarkEnd w:id="1482"/>
      <w:bookmarkStart w:id="1483" w:name="_Toc142391279"/>
      <w:bookmarkEnd w:id="1483"/>
      <w:bookmarkStart w:id="1484" w:name="_Toc143358075"/>
      <w:bookmarkEnd w:id="1484"/>
      <w:bookmarkStart w:id="1485" w:name="_Toc143358656"/>
      <w:bookmarkEnd w:id="1485"/>
      <w:bookmarkStart w:id="1486" w:name="_Toc142403142"/>
      <w:bookmarkEnd w:id="1486"/>
      <w:bookmarkStart w:id="1487" w:name="_Toc143355449"/>
      <w:bookmarkEnd w:id="1487"/>
      <w:bookmarkStart w:id="1488" w:name="_Toc143357493"/>
      <w:bookmarkEnd w:id="1488"/>
      <w:bookmarkStart w:id="1489" w:name="_Toc143354307"/>
      <w:bookmarkEnd w:id="1489"/>
      <w:bookmarkStart w:id="1490" w:name="_Toc144389966"/>
      <w:bookmarkEnd w:id="1490"/>
      <w:bookmarkStart w:id="1491" w:name="_Toc143099120"/>
      <w:bookmarkEnd w:id="1491"/>
      <w:bookmarkStart w:id="1492" w:name="_Toc142380933"/>
      <w:bookmarkEnd w:id="1492"/>
      <w:bookmarkStart w:id="1493" w:name="_Toc142466939"/>
      <w:bookmarkEnd w:id="1493"/>
      <w:bookmarkStart w:id="1494" w:name="_Toc143358365"/>
      <w:bookmarkEnd w:id="1494"/>
      <w:bookmarkStart w:id="1495" w:name="_Toc143099405"/>
      <w:bookmarkEnd w:id="1495"/>
      <w:bookmarkStart w:id="1496" w:name="_Toc143354017"/>
      <w:bookmarkEnd w:id="1496"/>
      <w:bookmarkStart w:id="1497" w:name="_Toc143353053"/>
      <w:bookmarkEnd w:id="1497"/>
      <w:bookmarkStart w:id="1498" w:name="_Toc143354875"/>
      <w:bookmarkEnd w:id="1498"/>
      <w:bookmarkStart w:id="1499" w:name="_Toc142391019"/>
      <w:bookmarkEnd w:id="1499"/>
      <w:bookmarkStart w:id="1500" w:name="_Toc144389965"/>
      <w:bookmarkEnd w:id="1500"/>
      <w:bookmarkStart w:id="1501" w:name="_Toc143357203"/>
      <w:bookmarkEnd w:id="1501"/>
      <w:bookmarkStart w:id="1502" w:name="_Toc143354591"/>
      <w:bookmarkEnd w:id="1502"/>
      <w:bookmarkStart w:id="1503" w:name="_Toc143352757"/>
      <w:bookmarkEnd w:id="1503"/>
      <w:bookmarkStart w:id="1504" w:name="_Toc143353731"/>
      <w:bookmarkEnd w:id="1504"/>
      <w:bookmarkStart w:id="1505" w:name="_Toc143356319"/>
      <w:bookmarkEnd w:id="1505"/>
      <w:bookmarkStart w:id="1506" w:name="_Toc143356029"/>
      <w:bookmarkEnd w:id="1506"/>
      <w:bookmarkStart w:id="1507" w:name="_Toc143356913"/>
      <w:bookmarkEnd w:id="1507"/>
      <w:bookmarkStart w:id="1508" w:name="_Toc142381198"/>
      <w:bookmarkEnd w:id="1508"/>
      <w:bookmarkStart w:id="1509" w:name="_Toc143260812"/>
      <w:bookmarkEnd w:id="1509"/>
      <w:bookmarkStart w:id="1510" w:name="_Toc143355159"/>
      <w:bookmarkEnd w:id="1510"/>
      <w:bookmarkStart w:id="1511" w:name="_Toc142858862"/>
      <w:bookmarkEnd w:id="1511"/>
      <w:bookmarkStart w:id="1512" w:name="_Toc143356609"/>
      <w:bookmarkEnd w:id="1512"/>
      <w:bookmarkStart w:id="1513" w:name="_Toc144721911"/>
      <w:bookmarkEnd w:id="1513"/>
      <w:bookmarkStart w:id="1514" w:name="_Toc142402891"/>
      <w:bookmarkEnd w:id="1514"/>
      <w:bookmarkStart w:id="1515" w:name="_Toc144721912"/>
      <w:bookmarkEnd w:id="1515"/>
      <w:bookmarkStart w:id="1516" w:name="_Toc88472387"/>
      <w:bookmarkStart w:id="1517" w:name="_Toc132305821"/>
      <w:bookmarkStart w:id="1518" w:name="_Toc141887913"/>
      <w:bookmarkStart w:id="1519" w:name="_Toc6629"/>
      <w:bookmarkStart w:id="1520" w:name="_Toc167271398"/>
      <w:r>
        <w:rPr>
          <w:rFonts w:hint="eastAsia"/>
        </w:rPr>
        <w:t>居住空间与公共服务</w:t>
      </w:r>
      <w:bookmarkEnd w:id="1516"/>
      <w:bookmarkEnd w:id="1517"/>
      <w:bookmarkEnd w:id="1518"/>
      <w:bookmarkEnd w:id="1519"/>
      <w:bookmarkEnd w:id="1520"/>
    </w:p>
    <w:p w14:paraId="2C6DE9FB">
      <w:pPr>
        <w:pStyle w:val="6"/>
        <w:spacing w:before="163" w:after="163"/>
        <w:rPr>
          <w:b/>
        </w:rPr>
      </w:pPr>
      <w:bookmarkStart w:id="1521" w:name="_Toc141887914"/>
      <w:bookmarkStart w:id="1522" w:name="_Toc132305822"/>
      <w:bookmarkStart w:id="1523" w:name="_Toc18720"/>
      <w:r>
        <w:rPr>
          <w:rFonts w:hint="eastAsia"/>
        </w:rPr>
        <w:t>优化居住空间布局与品质</w:t>
      </w:r>
      <w:bookmarkEnd w:id="1521"/>
      <w:bookmarkEnd w:id="1522"/>
      <w:bookmarkEnd w:id="1523"/>
    </w:p>
    <w:p w14:paraId="5C16B0D8">
      <w:pPr>
        <w:tabs>
          <w:tab w:val="left" w:pos="720"/>
        </w:tabs>
        <w:ind w:firstLine="6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不断提升居住品质，建设宜居家园。以完善居住社区配套设施为着力点，开展居住社区建设补短板行动。划定各级社区生活圈，加强消防应急、市政配套设施、公共服务设施等各类基础设施供给与品质升级。推广绿色建筑，推进工程建设可持续发展和人居环境改善。住宅建筑布局应疏密有度、错落有致，打造多样化居住景观环境，营造生活便捷、景城融合的生态人居空间。</w:t>
      </w:r>
    </w:p>
    <w:p w14:paraId="00FEEEA1">
      <w:pPr>
        <w:pStyle w:val="6"/>
        <w:spacing w:before="163" w:after="163"/>
        <w:rPr>
          <w:b/>
        </w:rPr>
      </w:pPr>
      <w:bookmarkStart w:id="1524" w:name="_Toc20734"/>
      <w:bookmarkStart w:id="1525" w:name="_Toc141887915"/>
      <w:bookmarkStart w:id="1526" w:name="_Toc132305823"/>
      <w:r>
        <w:rPr>
          <w:rFonts w:hint="eastAsia"/>
        </w:rPr>
        <w:t>完善住房供应体系</w:t>
      </w:r>
      <w:bookmarkEnd w:id="1524"/>
      <w:bookmarkEnd w:id="1525"/>
      <w:bookmarkEnd w:id="1526"/>
    </w:p>
    <w:p w14:paraId="5B995CAA">
      <w:pPr>
        <w:tabs>
          <w:tab w:val="left" w:pos="720"/>
        </w:tabs>
        <w:ind w:firstLine="600"/>
        <w:jc w:val="both"/>
        <w:rPr>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健全多主体供给、多渠道保障的住房制度。</w:t>
      </w:r>
      <w:r>
        <w:rPr>
          <w:rFonts w:hint="eastAsia"/>
          <w:color w:val="000000" w:themeColor="text1"/>
          <w14:textFill>
            <w14:solidFill>
              <w14:schemeClr w14:val="tx1"/>
            </w14:solidFill>
          </w14:textFill>
        </w:rPr>
        <w:t>整合盘活社会空置、存量房屋资源，优化住房资源配置，满足不同人群需求。开展多种形式人才住房的探索，完善人才住房供应体系。根据保障性住房需求，科学确定保障性住房发展目标，在规划中统筹落实用地规模、布局，合理把握建设规模和节奏，按照职住平衡原则，优先安排在交通便利、公共设施较为齐全的区域，防止因位置偏远、交通不便等造成房源长期空置。</w:t>
      </w:r>
    </w:p>
    <w:p w14:paraId="54745363">
      <w:pPr>
        <w:tabs>
          <w:tab w:val="left" w:pos="720"/>
        </w:tabs>
        <w:ind w:firstLine="600"/>
        <w:jc w:val="both"/>
      </w:pPr>
      <w:r>
        <w:rPr>
          <w:rFonts w:hint="eastAsia" w:ascii="楷体_GB2312" w:eastAsia="楷体_GB2312"/>
          <w:color w:val="000000" w:themeColor="text1"/>
          <w14:textFill>
            <w14:solidFill>
              <w14:schemeClr w14:val="tx1"/>
            </w14:solidFill>
          </w14:textFill>
        </w:rPr>
        <w:t>提高居住空间承载能力。</w:t>
      </w:r>
      <w:r>
        <w:rPr>
          <w:rFonts w:hint="eastAsia"/>
          <w:color w:val="000000" w:themeColor="text1"/>
          <w14:textFill>
            <w14:solidFill>
              <w14:schemeClr w14:val="tx1"/>
            </w14:solidFill>
          </w14:textFill>
        </w:rPr>
        <w:t>推进老旧小区综合整治，修缮老旧小区外立面，增加必要的公共空间与配套设施，提升空间环境品质。在保护具有历史文化价值的古村落、旧厂房的前提下，加快推进</w:t>
      </w:r>
      <w:r>
        <w:rPr>
          <w:rFonts w:hint="eastAsia" w:ascii="仿宋_GB2312"/>
          <w:color w:val="000000" w:themeColor="text1"/>
          <w14:textFill>
            <w14:solidFill>
              <w14:schemeClr w14:val="tx1"/>
            </w14:solidFill>
          </w14:textFill>
        </w:rPr>
        <w:t>“</w:t>
      </w:r>
      <w:r>
        <w:rPr>
          <w:rFonts w:hint="eastAsia"/>
          <w:color w:val="000000" w:themeColor="text1"/>
          <w14:textFill>
            <w14:solidFill>
              <w14:schemeClr w14:val="tx1"/>
            </w14:solidFill>
          </w14:textFill>
        </w:rPr>
        <w:t>三旧</w:t>
      </w:r>
      <w:r>
        <w:rPr>
          <w:rFonts w:hint="eastAsia" w:ascii="仿宋_GB2312"/>
          <w:color w:val="000000" w:themeColor="text1"/>
          <w14:textFill>
            <w14:solidFill>
              <w14:schemeClr w14:val="tx1"/>
            </w14:solidFill>
          </w14:textFill>
        </w:rPr>
        <w:t>”</w:t>
      </w:r>
      <w:r>
        <w:rPr>
          <w:rFonts w:hint="eastAsia"/>
          <w:color w:val="000000" w:themeColor="text1"/>
          <w14:textFill>
            <w14:solidFill>
              <w14:schemeClr w14:val="tx1"/>
            </w14:solidFill>
          </w14:textFill>
        </w:rPr>
        <w:t>改造，提高居住空间承载能力。</w:t>
      </w:r>
    </w:p>
    <w:p w14:paraId="7918FD34">
      <w:pPr>
        <w:pStyle w:val="6"/>
        <w:spacing w:before="163" w:after="163"/>
        <w:rPr>
          <w:b/>
        </w:rPr>
      </w:pPr>
      <w:bookmarkStart w:id="1527" w:name="_Toc141887916"/>
      <w:bookmarkStart w:id="1528" w:name="_Toc7143"/>
      <w:bookmarkStart w:id="1529" w:name="_Toc132305824"/>
      <w:r>
        <w:rPr>
          <w:rFonts w:hint="eastAsia"/>
        </w:rPr>
        <w:t>构建四级公共服务设施体系</w:t>
      </w:r>
      <w:bookmarkEnd w:id="1527"/>
      <w:bookmarkEnd w:id="1528"/>
      <w:bookmarkEnd w:id="1529"/>
    </w:p>
    <w:p w14:paraId="3147C277">
      <w:pPr>
        <w:tabs>
          <w:tab w:val="left" w:pos="720"/>
        </w:tabs>
        <w:ind w:firstLine="6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建立</w:t>
      </w:r>
      <w:r>
        <w:rPr>
          <w:rFonts w:hint="eastAsia" w:ascii="仿宋_GB2312"/>
          <w:color w:val="000000" w:themeColor="text1"/>
          <w14:textFill>
            <w14:solidFill>
              <w14:schemeClr w14:val="tx1"/>
            </w14:solidFill>
          </w14:textFill>
        </w:rPr>
        <w:t>“</w:t>
      </w:r>
      <w:r>
        <w:rPr>
          <w:rFonts w:hint="eastAsia"/>
          <w:color w:val="000000" w:themeColor="text1"/>
          <w14:textFill>
            <w14:solidFill>
              <w14:schemeClr w14:val="tx1"/>
            </w14:solidFill>
          </w14:textFill>
        </w:rPr>
        <w:t>县—街道</w:t>
      </w:r>
      <w:r>
        <w:rPr>
          <w:rFonts w:hint="eastAsia" w:ascii="仿宋_GB2312"/>
          <w:color w:val="000000" w:themeColor="text1"/>
          <w14:textFill>
            <w14:solidFill>
              <w14:schemeClr w14:val="tx1"/>
            </w14:solidFill>
          </w14:textFill>
        </w:rPr>
        <w:t>/</w:t>
      </w:r>
      <w:r>
        <w:rPr>
          <w:rFonts w:hint="eastAsia"/>
          <w:color w:val="000000" w:themeColor="text1"/>
          <w14:textFill>
            <w14:solidFill>
              <w14:schemeClr w14:val="tx1"/>
            </w14:solidFill>
          </w14:textFill>
        </w:rPr>
        <w:t>重点</w:t>
      </w:r>
      <w:r>
        <w:rPr>
          <w:color w:val="000000" w:themeColor="text1"/>
          <w14:textFill>
            <w14:solidFill>
              <w14:schemeClr w14:val="tx1"/>
            </w14:solidFill>
          </w14:textFill>
        </w:rPr>
        <w:t>镇—一般镇—</w:t>
      </w:r>
      <w:r>
        <w:rPr>
          <w:rFonts w:hint="eastAsia"/>
          <w:color w:val="000000" w:themeColor="text1"/>
          <w14:textFill>
            <w14:solidFill>
              <w14:schemeClr w14:val="tx1"/>
            </w14:solidFill>
          </w14:textFill>
        </w:rPr>
        <w:t>社区级/村级</w:t>
      </w:r>
      <w:r>
        <w:rPr>
          <w:rFonts w:ascii="仿宋_GB2312"/>
          <w:color w:val="000000" w:themeColor="text1"/>
          <w14:textFill>
            <w14:solidFill>
              <w14:schemeClr w14:val="tx1"/>
            </w14:solidFill>
          </w14:textFill>
        </w:rPr>
        <w:t>”</w:t>
      </w:r>
      <w:r>
        <w:rPr>
          <w:color w:val="000000" w:themeColor="text1"/>
          <w14:textFill>
            <w14:solidFill>
              <w14:schemeClr w14:val="tx1"/>
            </w14:solidFill>
          </w14:textFill>
        </w:rPr>
        <w:t>四级公共服务</w:t>
      </w:r>
      <w:r>
        <w:rPr>
          <w:rFonts w:hint="eastAsia"/>
          <w:color w:val="000000" w:themeColor="text1"/>
          <w14:textFill>
            <w14:solidFill>
              <w14:schemeClr w14:val="tx1"/>
            </w14:solidFill>
          </w14:textFill>
        </w:rPr>
        <w:t>设施</w:t>
      </w:r>
      <w:r>
        <w:rPr>
          <w:color w:val="000000" w:themeColor="text1"/>
          <w14:textFill>
            <w14:solidFill>
              <w14:schemeClr w14:val="tx1"/>
            </w14:solidFill>
          </w14:textFill>
        </w:rPr>
        <w:t>体系。</w:t>
      </w:r>
    </w:p>
    <w:p w14:paraId="0A3B1301">
      <w:pPr>
        <w:tabs>
          <w:tab w:val="left" w:pos="720"/>
        </w:tabs>
        <w:ind w:firstLine="600"/>
        <w:jc w:val="both"/>
        <w:rPr>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县级公共服务中心：配置</w:t>
      </w:r>
      <w:r>
        <w:rPr>
          <w:color w:val="000000" w:themeColor="text1"/>
          <w14:textFill>
            <w14:solidFill>
              <w14:schemeClr w14:val="tx1"/>
            </w14:solidFill>
          </w14:textFill>
        </w:rPr>
        <w:t>面向全域城乡居民</w:t>
      </w:r>
      <w:r>
        <w:rPr>
          <w:rFonts w:hint="eastAsia"/>
          <w:color w:val="000000" w:themeColor="text1"/>
          <w14:textFill>
            <w14:solidFill>
              <w14:schemeClr w14:val="tx1"/>
            </w14:solidFill>
          </w14:textFill>
        </w:rPr>
        <w:t>，确定相应</w:t>
      </w:r>
      <w:r>
        <w:rPr>
          <w:color w:val="000000" w:themeColor="text1"/>
          <w14:textFill>
            <w14:solidFill>
              <w14:schemeClr w14:val="tx1"/>
            </w14:solidFill>
          </w14:textFill>
        </w:rPr>
        <w:t>规模的文化、教育、体育、医疗等服务设施。</w:t>
      </w:r>
    </w:p>
    <w:p w14:paraId="20F327F5">
      <w:pPr>
        <w:tabs>
          <w:tab w:val="left" w:pos="720"/>
        </w:tabs>
        <w:ind w:firstLine="600"/>
        <w:jc w:val="both"/>
        <w:rPr>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街道/重点</w:t>
      </w:r>
      <w:r>
        <w:rPr>
          <w:rFonts w:ascii="楷体_GB2312" w:eastAsia="楷体_GB2312"/>
          <w:color w:val="000000" w:themeColor="text1"/>
          <w14:textFill>
            <w14:solidFill>
              <w14:schemeClr w14:val="tx1"/>
            </w14:solidFill>
          </w14:textFill>
        </w:rPr>
        <w:t>镇级公共服务中心：</w:t>
      </w:r>
      <w:r>
        <w:rPr>
          <w:rFonts w:hint="eastAsia" w:ascii="仿宋_GB2312" w:hAnsi="仿宋"/>
          <w:color w:val="000000" w:themeColor="text1"/>
          <w14:textFill>
            <w14:solidFill>
              <w14:schemeClr w14:val="tx1"/>
            </w14:solidFill>
          </w14:textFill>
        </w:rPr>
        <w:t>丹霞街道、董塘</w:t>
      </w:r>
      <w:r>
        <w:rPr>
          <w:rFonts w:ascii="仿宋_GB2312" w:hAnsi="仿宋"/>
          <w:color w:val="000000" w:themeColor="text1"/>
          <w14:textFill>
            <w14:solidFill>
              <w14:schemeClr w14:val="tx1"/>
            </w14:solidFill>
          </w14:textFill>
        </w:rPr>
        <w:t>、长江</w:t>
      </w:r>
      <w:r>
        <w:rPr>
          <w:rFonts w:hint="eastAsia" w:ascii="仿宋_GB2312" w:hAnsi="仿宋"/>
          <w:color w:val="000000" w:themeColor="text1"/>
          <w14:textFill>
            <w14:solidFill>
              <w14:schemeClr w14:val="tx1"/>
            </w14:solidFill>
          </w14:textFill>
        </w:rPr>
        <w:t>、</w:t>
      </w:r>
      <w:r>
        <w:rPr>
          <w:rFonts w:ascii="仿宋_GB2312" w:hAnsi="仿宋"/>
          <w:color w:val="000000" w:themeColor="text1"/>
          <w14:textFill>
            <w14:solidFill>
              <w14:schemeClr w14:val="tx1"/>
            </w14:solidFill>
          </w14:textFill>
        </w:rPr>
        <w:t>周田</w:t>
      </w:r>
      <w:r>
        <w:rPr>
          <w:rFonts w:hint="eastAsia" w:ascii="仿宋_GB2312" w:hAnsi="仿宋"/>
          <w:color w:val="000000" w:themeColor="text1"/>
          <w14:textFill>
            <w14:solidFill>
              <w14:schemeClr w14:val="tx1"/>
            </w14:solidFill>
          </w14:textFill>
        </w:rPr>
        <w:t>等</w:t>
      </w:r>
      <w:r>
        <w:rPr>
          <w:rFonts w:ascii="仿宋_GB2312" w:hAnsi="仿宋"/>
          <w:color w:val="000000" w:themeColor="text1"/>
          <w14:textFill>
            <w14:solidFill>
              <w14:schemeClr w14:val="tx1"/>
            </w14:solidFill>
          </w14:textFill>
        </w:rPr>
        <w:t>镇公共服务中心</w:t>
      </w:r>
      <w:r>
        <w:rPr>
          <w:rFonts w:hint="eastAsia"/>
          <w:color w:val="000000" w:themeColor="text1"/>
          <w14:textFill>
            <w14:solidFill>
              <w14:schemeClr w14:val="tx1"/>
            </w14:solidFill>
          </w14:textFill>
        </w:rPr>
        <w:t>，</w:t>
      </w:r>
      <w:r>
        <w:rPr>
          <w:rFonts w:hint="eastAsia" w:ascii="仿宋_GB2312" w:hAnsi="仿宋"/>
          <w:color w:val="000000" w:themeColor="text1"/>
          <w14:textFill>
            <w14:solidFill>
              <w14:schemeClr w14:val="tx1"/>
            </w14:solidFill>
          </w14:textFill>
        </w:rPr>
        <w:t>注重“一老一小”基本服务供给</w:t>
      </w:r>
      <w:r>
        <w:rPr>
          <w:rFonts w:ascii="仿宋_GB2312" w:hAnsi="仿宋"/>
          <w:color w:val="000000" w:themeColor="text1"/>
          <w14:textFill>
            <w14:solidFill>
              <w14:schemeClr w14:val="tx1"/>
            </w14:solidFill>
          </w14:textFill>
        </w:rPr>
        <w:t>，承担区域综合服务</w:t>
      </w:r>
      <w:r>
        <w:rPr>
          <w:rFonts w:hint="eastAsia" w:ascii="仿宋_GB2312" w:hAnsi="仿宋"/>
          <w:color w:val="000000" w:themeColor="text1"/>
          <w14:textFill>
            <w14:solidFill>
              <w14:schemeClr w14:val="tx1"/>
            </w14:solidFill>
          </w14:textFill>
        </w:rPr>
        <w:t>功能</w:t>
      </w:r>
      <w:r>
        <w:rPr>
          <w:color w:val="000000" w:themeColor="text1"/>
          <w14:textFill>
            <w14:solidFill>
              <w14:schemeClr w14:val="tx1"/>
            </w14:solidFill>
          </w14:textFill>
        </w:rPr>
        <w:t>。</w:t>
      </w:r>
    </w:p>
    <w:p w14:paraId="28ABD126">
      <w:pPr>
        <w:tabs>
          <w:tab w:val="left" w:pos="720"/>
        </w:tabs>
        <w:ind w:firstLine="600"/>
        <w:jc w:val="both"/>
        <w:rPr>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一般镇级公共服务中心：</w:t>
      </w:r>
      <w:r>
        <w:rPr>
          <w:rFonts w:hint="eastAsia"/>
          <w:color w:val="000000" w:themeColor="text1"/>
          <w14:textFill>
            <w14:solidFill>
              <w14:schemeClr w14:val="tx1"/>
            </w14:solidFill>
          </w14:textFill>
        </w:rPr>
        <w:t>城口、石塘、黄坑、扶溪、红山、大桥和闻韶等镇</w:t>
      </w:r>
      <w:r>
        <w:rPr>
          <w:color w:val="000000" w:themeColor="text1"/>
          <w14:textFill>
            <w14:solidFill>
              <w14:schemeClr w14:val="tx1"/>
            </w14:solidFill>
          </w14:textFill>
        </w:rPr>
        <w:t>公共服务中心。统筹布局满足</w:t>
      </w:r>
      <w:r>
        <w:rPr>
          <w:rFonts w:hint="eastAsia"/>
          <w:color w:val="000000" w:themeColor="text1"/>
          <w14:textFill>
            <w14:solidFill>
              <w14:schemeClr w14:val="tx1"/>
            </w14:solidFill>
          </w14:textFill>
        </w:rPr>
        <w:t>城镇</w:t>
      </w:r>
      <w:r>
        <w:rPr>
          <w:color w:val="000000" w:themeColor="text1"/>
          <w14:textFill>
            <w14:solidFill>
              <w14:schemeClr w14:val="tx1"/>
            </w14:solidFill>
          </w14:textFill>
        </w:rPr>
        <w:t>居民日常生活、生产需求的各类服务设施，形成社区生活圈的服务</w:t>
      </w:r>
      <w:r>
        <w:rPr>
          <w:rFonts w:hint="eastAsia"/>
          <w:color w:val="000000" w:themeColor="text1"/>
          <w14:textFill>
            <w14:solidFill>
              <w14:schemeClr w14:val="tx1"/>
            </w14:solidFill>
          </w14:textFill>
        </w:rPr>
        <w:t>中心</w:t>
      </w:r>
      <w:r>
        <w:rPr>
          <w:color w:val="000000" w:themeColor="text1"/>
          <w14:textFill>
            <w14:solidFill>
              <w14:schemeClr w14:val="tx1"/>
            </w14:solidFill>
          </w14:textFill>
        </w:rPr>
        <w:t>。</w:t>
      </w:r>
    </w:p>
    <w:p w14:paraId="28677C72">
      <w:pPr>
        <w:tabs>
          <w:tab w:val="left" w:pos="720"/>
        </w:tabs>
        <w:ind w:firstLine="600"/>
        <w:jc w:val="both"/>
        <w:rPr>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中心村级公共服务中心：</w:t>
      </w:r>
      <w:r>
        <w:rPr>
          <w:rFonts w:hint="eastAsia"/>
          <w:color w:val="000000" w:themeColor="text1"/>
          <w14:textFill>
            <w14:solidFill>
              <w14:schemeClr w14:val="tx1"/>
            </w14:solidFill>
          </w14:textFill>
        </w:rPr>
        <w:t>以社区生活圈、行政村为单元进行配置，在中心城区结合</w:t>
      </w:r>
      <w:r>
        <w:rPr>
          <w:color w:val="000000" w:themeColor="text1"/>
          <w14:textFill>
            <w14:solidFill>
              <w14:schemeClr w14:val="tx1"/>
            </w14:solidFill>
          </w14:textFill>
        </w:rPr>
        <w:t>5-10分钟生活圈布局</w:t>
      </w:r>
      <w:r>
        <w:rPr>
          <w:rFonts w:hint="eastAsia"/>
          <w:color w:val="000000" w:themeColor="text1"/>
          <w14:textFill>
            <w14:solidFill>
              <w14:schemeClr w14:val="tx1"/>
            </w14:solidFill>
          </w14:textFill>
        </w:rPr>
        <w:t>，行政村集中居民点或若干自然村组按照</w:t>
      </w:r>
      <w:r>
        <w:rPr>
          <w:color w:val="000000" w:themeColor="text1"/>
          <w14:textFill>
            <w14:solidFill>
              <w14:schemeClr w14:val="tx1"/>
            </w14:solidFill>
          </w14:textFill>
        </w:rPr>
        <w:t>15</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30分钟慢行可达的空间</w:t>
      </w:r>
      <w:r>
        <w:rPr>
          <w:rFonts w:hint="eastAsia"/>
          <w:color w:val="000000" w:themeColor="text1"/>
          <w14:textFill>
            <w14:solidFill>
              <w14:schemeClr w14:val="tx1"/>
            </w14:solidFill>
          </w14:textFill>
        </w:rPr>
        <w:t>布局</w:t>
      </w:r>
      <w:r>
        <w:rPr>
          <w:color w:val="000000" w:themeColor="text1"/>
          <w14:textFill>
            <w14:solidFill>
              <w14:schemeClr w14:val="tx1"/>
            </w14:solidFill>
          </w14:textFill>
        </w:rPr>
        <w:t>，重点保障社区居民、村民日常生产生活，配置满足就近使用需求的服务要素，并注重相邻村庄和社区之间服务要素的错位配置和共享</w:t>
      </w:r>
      <w:r>
        <w:rPr>
          <w:rFonts w:hint="eastAsia"/>
          <w:color w:val="000000" w:themeColor="text1"/>
          <w14:textFill>
            <w14:solidFill>
              <w14:schemeClr w14:val="tx1"/>
            </w14:solidFill>
          </w14:textFill>
        </w:rPr>
        <w:t>使用</w:t>
      </w:r>
      <w:r>
        <w:rPr>
          <w:color w:val="000000" w:themeColor="text1"/>
          <w14:textFill>
            <w14:solidFill>
              <w14:schemeClr w14:val="tx1"/>
            </w14:solidFill>
          </w14:textFill>
        </w:rPr>
        <w:t>。</w:t>
      </w:r>
    </w:p>
    <w:p w14:paraId="2DF84227">
      <w:pPr>
        <w:pStyle w:val="6"/>
        <w:spacing w:before="163" w:after="163"/>
        <w:rPr>
          <w:b/>
        </w:rPr>
      </w:pPr>
      <w:bookmarkStart w:id="1530" w:name="_Toc132305826"/>
      <w:bookmarkStart w:id="1531" w:name="_Toc12173"/>
      <w:bookmarkStart w:id="1532" w:name="_Toc141887918"/>
      <w:bookmarkStart w:id="1533" w:name="_Toc88034051"/>
      <w:bookmarkStart w:id="1534" w:name="_Toc141887917"/>
      <w:bookmarkStart w:id="1535" w:name="_Toc27153"/>
      <w:bookmarkStart w:id="1536" w:name="_Toc132305825"/>
      <w:r>
        <w:rPr>
          <w:rFonts w:hint="eastAsia"/>
        </w:rPr>
        <w:t>完善城乡社区生活圈</w:t>
      </w:r>
      <w:bookmarkEnd w:id="1530"/>
      <w:bookmarkEnd w:id="1531"/>
      <w:bookmarkEnd w:id="1532"/>
      <w:bookmarkEnd w:id="1533"/>
    </w:p>
    <w:p w14:paraId="4C8F03BB">
      <w:pPr>
        <w:ind w:firstLine="600"/>
        <w:jc w:val="both"/>
        <w:rPr>
          <w:rFonts w:ascii="Times New Roman" w:hAnsi="Times New Roman" w:cs="Times New Roman"/>
          <w:color w:val="000000" w:themeColor="text1"/>
          <w:szCs w:val="24"/>
          <w14:textFill>
            <w14:solidFill>
              <w14:schemeClr w14:val="tx1"/>
            </w14:solidFill>
          </w14:textFill>
        </w:rPr>
      </w:pPr>
      <w:r>
        <w:rPr>
          <w:rFonts w:hint="eastAsia" w:ascii="Times New Roman" w:hAnsi="Times New Roman" w:cs="Times New Roman"/>
          <w:color w:val="000000" w:themeColor="text1"/>
          <w:szCs w:val="24"/>
          <w14:textFill>
            <w14:solidFill>
              <w14:schemeClr w14:val="tx1"/>
            </w14:solidFill>
          </w14:textFill>
        </w:rPr>
        <w:t>以社区生活圈作为基本公共服务配置的基本单元。按地域强化社区生活圈空间规划指标传导作用，推进实现教育、医疗、文化、体育、社会福利等公共服务设施服务均等化。规划至</w:t>
      </w:r>
      <w:r>
        <w:rPr>
          <w:rFonts w:ascii="Times New Roman" w:hAnsi="Times New Roman" w:cs="Times New Roman"/>
          <w:color w:val="000000" w:themeColor="text1"/>
          <w:szCs w:val="24"/>
          <w14:textFill>
            <w14:solidFill>
              <w14:schemeClr w14:val="tx1"/>
            </w14:solidFill>
          </w14:textFill>
        </w:rPr>
        <w:t>2035年，全县15分钟社区生活圈覆盖率达到100%。</w:t>
      </w:r>
    </w:p>
    <w:p w14:paraId="5C9C588B">
      <w:pPr>
        <w:ind w:firstLine="600"/>
        <w:jc w:val="both"/>
        <w:rPr>
          <w:rFonts w:ascii="Times New Roman" w:hAnsi="Times New Roman" w:cs="Times New Roman"/>
          <w:color w:val="000000" w:themeColor="text1"/>
          <w:szCs w:val="24"/>
          <w14:textFill>
            <w14:solidFill>
              <w14:schemeClr w14:val="tx1"/>
            </w14:solidFill>
          </w14:textFill>
        </w:rPr>
      </w:pPr>
      <w:r>
        <w:rPr>
          <w:rFonts w:hint="eastAsia" w:ascii="Times New Roman" w:hAnsi="Times New Roman" w:cs="Times New Roman"/>
          <w:color w:val="000000" w:themeColor="text1"/>
          <w:szCs w:val="24"/>
          <w14:textFill>
            <w14:solidFill>
              <w14:schemeClr w14:val="tx1"/>
            </w14:solidFill>
          </w14:textFill>
        </w:rPr>
        <w:t>划分为城镇社区生活圈及乡村社区生活圈两类。城镇社区生活圈按照步行</w:t>
      </w:r>
      <w:r>
        <w:rPr>
          <w:rFonts w:ascii="Times New Roman" w:hAnsi="Times New Roman" w:cs="Times New Roman"/>
          <w:color w:val="000000" w:themeColor="text1"/>
          <w:szCs w:val="24"/>
          <w14:textFill>
            <w14:solidFill>
              <w14:schemeClr w14:val="tx1"/>
            </w14:solidFill>
          </w14:textFill>
        </w:rPr>
        <w:t>15分钟可达的空间尺度，结合居民生活出行特点和实际需要确定范围，配置面向全体城镇居民、内容丰富、规模适宜的各类服务设施，满足全年龄段不同人群需求的公共服务保障。在5</w:t>
      </w:r>
      <w:r>
        <w:rPr>
          <w:rFonts w:hint="eastAsia" w:ascii="仿宋_GB2312" w:hAnsi="Times New Roman" w:cs="Times New Roman"/>
          <w:color w:val="000000" w:themeColor="text1"/>
          <w:szCs w:val="24"/>
          <w14:textFill>
            <w14:solidFill>
              <w14:schemeClr w14:val="tx1"/>
            </w14:solidFill>
          </w14:textFill>
        </w:rPr>
        <w:t>-</w:t>
      </w:r>
      <w:r>
        <w:rPr>
          <w:rFonts w:ascii="Times New Roman" w:hAnsi="Times New Roman" w:cs="Times New Roman"/>
          <w:color w:val="000000" w:themeColor="text1"/>
          <w:szCs w:val="24"/>
          <w14:textFill>
            <w14:solidFill>
              <w14:schemeClr w14:val="tx1"/>
            </w14:solidFill>
          </w14:textFill>
        </w:rPr>
        <w:t>10分钟步行可达的空间尺度内，配置城镇居民日常使用，特别是社区适老型和儿童友好型的基本服务要素。乡村社区生活圈依托行政村集中居民点或自然村组，按照乡村居民常用交通方式的15分钟可达的空间尺度，保障乡村基本公共服务水平，集中配置与日常生活关系密切且便于就近使用需求的公共服务设施，注重</w:t>
      </w:r>
      <w:r>
        <w:rPr>
          <w:rFonts w:hint="eastAsia" w:ascii="Times New Roman" w:hAnsi="Times New Roman" w:cs="Times New Roman"/>
          <w:color w:val="000000" w:themeColor="text1"/>
          <w:szCs w:val="24"/>
          <w14:textFill>
            <w14:solidFill>
              <w14:schemeClr w14:val="tx1"/>
            </w14:solidFill>
          </w14:textFill>
        </w:rPr>
        <w:t>相邻村庄之间服务要素的错位配置与共建共享使用。</w:t>
      </w:r>
    </w:p>
    <w:p w14:paraId="3BA3CAFC">
      <w:pPr>
        <w:pStyle w:val="6"/>
        <w:spacing w:before="163" w:after="163"/>
        <w:rPr>
          <w:b/>
        </w:rPr>
      </w:pPr>
      <w:r>
        <w:rPr>
          <w:rFonts w:hint="eastAsia"/>
        </w:rPr>
        <w:t>推进县域重点公共服务设施布局</w:t>
      </w:r>
      <w:bookmarkEnd w:id="1534"/>
      <w:bookmarkEnd w:id="1535"/>
      <w:bookmarkEnd w:id="1536"/>
    </w:p>
    <w:p w14:paraId="32FCC352">
      <w:pPr>
        <w:ind w:firstLine="600"/>
        <w:jc w:val="both"/>
        <w:rPr>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教育设施。</w:t>
      </w:r>
      <w:bookmarkStart w:id="1537" w:name="_Hlk132309692"/>
      <w:r>
        <w:rPr>
          <w:rFonts w:hint="eastAsia"/>
          <w:color w:val="000000" w:themeColor="text1"/>
          <w14:textFill>
            <w14:solidFill>
              <w14:schemeClr w14:val="tx1"/>
            </w14:solidFill>
          </w14:textFill>
        </w:rPr>
        <w:t>适度加大教育用地统筹利用和储备保障，通过新建学校、扩容改造等方式，缓解紧缺区域学位供给情况，支持和保障技工院校新校区和校园扩建等重点项目建设。规划保留仁化县第一中学，改扩建县中等职业学校、丹霞学校、仁化中学，新建董塘高级中学。落实</w:t>
      </w:r>
      <w:r>
        <w:rPr>
          <w:rFonts w:hint="eastAsia" w:ascii="仿宋_GB2312"/>
          <w:color w:val="000000" w:themeColor="text1"/>
          <w14:textFill>
            <w14:solidFill>
              <w14:schemeClr w14:val="tx1"/>
            </w14:solidFill>
          </w14:textFill>
        </w:rPr>
        <w:t>“</w:t>
      </w:r>
      <w:r>
        <w:rPr>
          <w:rFonts w:hint="eastAsia"/>
          <w:color w:val="000000" w:themeColor="text1"/>
          <w14:textFill>
            <w14:solidFill>
              <w14:schemeClr w14:val="tx1"/>
            </w14:solidFill>
          </w14:textFill>
        </w:rPr>
        <w:t>促进教育公平与质量提升</w:t>
      </w:r>
      <w:r>
        <w:rPr>
          <w:rFonts w:hint="eastAsia" w:ascii="仿宋_GB2312"/>
          <w:color w:val="000000" w:themeColor="text1"/>
          <w14:textFill>
            <w14:solidFill>
              <w14:schemeClr w14:val="tx1"/>
            </w14:solidFill>
          </w14:textFill>
        </w:rPr>
        <w:t>”</w:t>
      </w:r>
      <w:r>
        <w:rPr>
          <w:rFonts w:hint="eastAsia"/>
          <w:color w:val="000000" w:themeColor="text1"/>
          <w14:textFill>
            <w14:solidFill>
              <w14:schemeClr w14:val="tx1"/>
            </w14:solidFill>
          </w14:textFill>
        </w:rPr>
        <w:t>要求，规划保留县启智特殊教育学校，各镇（街）按需设立初级中学和九年一贯制学校，推动义务教育资源均衡布局。</w:t>
      </w:r>
    </w:p>
    <w:bookmarkEnd w:id="1537"/>
    <w:p w14:paraId="08CDFD29">
      <w:pPr>
        <w:ind w:firstLine="600"/>
        <w:jc w:val="both"/>
        <w:rPr>
          <w:rFonts w:cs="Times New Roman"/>
          <w:color w:val="000000" w:themeColor="text1"/>
          <w:szCs w:val="24"/>
          <w14:textFill>
            <w14:solidFill>
              <w14:schemeClr w14:val="tx1"/>
            </w14:solidFill>
          </w14:textFill>
        </w:rPr>
      </w:pPr>
      <w:r>
        <w:rPr>
          <w:rFonts w:hint="eastAsia" w:ascii="楷体_GB2312" w:eastAsia="楷体_GB2312"/>
          <w:color w:val="000000" w:themeColor="text1"/>
          <w14:textFill>
            <w14:solidFill>
              <w14:schemeClr w14:val="tx1"/>
            </w14:solidFill>
          </w14:textFill>
        </w:rPr>
        <w:t>医疗卫生设施。</w:t>
      </w:r>
      <w:r>
        <w:rPr>
          <w:rFonts w:cs="Times New Roman"/>
          <w:color w:val="000000" w:themeColor="text1"/>
          <w:szCs w:val="24"/>
          <w14:textFill>
            <w14:solidFill>
              <w14:schemeClr w14:val="tx1"/>
            </w14:solidFill>
          </w14:textFill>
        </w:rPr>
        <w:t>推动优质医疗资源均衡布局</w:t>
      </w:r>
      <w:r>
        <w:rPr>
          <w:rFonts w:hint="eastAsia" w:cs="Times New Roman"/>
          <w:color w:val="000000" w:themeColor="text1"/>
          <w:szCs w:val="24"/>
          <w14:textFill>
            <w14:solidFill>
              <w14:schemeClr w14:val="tx1"/>
            </w14:solidFill>
          </w14:textFill>
        </w:rPr>
        <w:t>，</w:t>
      </w:r>
      <w:r>
        <w:rPr>
          <w:rFonts w:cs="Times New Roman"/>
          <w:color w:val="000000" w:themeColor="text1"/>
          <w:szCs w:val="24"/>
          <w14:textFill>
            <w14:solidFill>
              <w14:schemeClr w14:val="tx1"/>
            </w14:solidFill>
          </w14:textFill>
        </w:rPr>
        <w:t>提高社区医疗设施的服务能力</w:t>
      </w:r>
      <w:r>
        <w:rPr>
          <w:rFonts w:hint="eastAsia" w:cs="Times New Roman"/>
          <w:color w:val="000000" w:themeColor="text1"/>
          <w:szCs w:val="24"/>
          <w14:textFill>
            <w14:solidFill>
              <w14:schemeClr w14:val="tx1"/>
            </w14:solidFill>
          </w14:textFill>
        </w:rPr>
        <w:t>和</w:t>
      </w:r>
      <w:r>
        <w:rPr>
          <w:rFonts w:cs="Times New Roman"/>
          <w:color w:val="000000" w:themeColor="text1"/>
          <w:szCs w:val="24"/>
          <w14:textFill>
            <w14:solidFill>
              <w14:schemeClr w14:val="tx1"/>
            </w14:solidFill>
          </w14:textFill>
        </w:rPr>
        <w:t>突发公共卫生事件防范能力，建立县、镇、村</w:t>
      </w:r>
      <w:r>
        <w:rPr>
          <w:rFonts w:hint="eastAsia" w:cs="Times New Roman"/>
          <w:color w:val="000000" w:themeColor="text1"/>
          <w:szCs w:val="24"/>
          <w14:textFill>
            <w14:solidFill>
              <w14:schemeClr w14:val="tx1"/>
            </w14:solidFill>
          </w14:textFill>
        </w:rPr>
        <w:t>（社区）</w:t>
      </w:r>
      <w:r>
        <w:rPr>
          <w:rFonts w:cs="Times New Roman"/>
          <w:color w:val="000000" w:themeColor="text1"/>
          <w:szCs w:val="24"/>
          <w14:textFill>
            <w14:solidFill>
              <w14:schemeClr w14:val="tx1"/>
            </w14:solidFill>
          </w14:textFill>
        </w:rPr>
        <w:t>三级医疗设施体系</w:t>
      </w:r>
      <w:r>
        <w:rPr>
          <w:rFonts w:hint="eastAsia" w:cs="Times New Roman"/>
          <w:color w:val="000000" w:themeColor="text1"/>
          <w:szCs w:val="24"/>
          <w14:textFill>
            <w14:solidFill>
              <w14:schemeClr w14:val="tx1"/>
            </w14:solidFill>
          </w14:textFill>
        </w:rPr>
        <w:t>。新建县第二人民医院、中西医结合医院。改造专业公共卫生机构所，改扩建慢行病防治院，迁建现代疾病预防控制中心，推进社区卫生服务中心、卫生服务站配置，加强农村卫生站的配置布局与标准化建设。</w:t>
      </w:r>
    </w:p>
    <w:p w14:paraId="7494ABE3">
      <w:pPr>
        <w:ind w:firstLine="600"/>
        <w:jc w:val="both"/>
        <w:rPr>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文化设施。</w:t>
      </w:r>
      <w:r>
        <w:rPr>
          <w:rFonts w:hint="eastAsia"/>
          <w:color w:val="000000" w:themeColor="text1"/>
          <w14:textFill>
            <w14:solidFill>
              <w14:schemeClr w14:val="tx1"/>
            </w14:solidFill>
          </w14:textFill>
        </w:rPr>
        <w:t>有序推进长征国家文化公园（广东段）、县文化馆、县博物馆、县工人文化宫（分馆）等新建、改扩建工程。加快建设镇级多功能基层综合性文化服务中心。推进社区文化活动站、农村文化室配置。</w:t>
      </w:r>
    </w:p>
    <w:p w14:paraId="4C6E0E1F">
      <w:pPr>
        <w:ind w:firstLine="600"/>
        <w:jc w:val="both"/>
        <w:rPr>
          <w:rFonts w:cs="Times New Roman"/>
          <w:color w:val="000000" w:themeColor="text1"/>
          <w:szCs w:val="24"/>
          <w14:textFill>
            <w14:solidFill>
              <w14:schemeClr w14:val="tx1"/>
            </w14:solidFill>
          </w14:textFill>
        </w:rPr>
      </w:pPr>
      <w:r>
        <w:rPr>
          <w:rFonts w:hint="eastAsia" w:ascii="楷体_GB2312" w:eastAsia="楷体_GB2312"/>
          <w:color w:val="000000" w:themeColor="text1"/>
          <w14:textFill>
            <w14:solidFill>
              <w14:schemeClr w14:val="tx1"/>
            </w14:solidFill>
          </w14:textFill>
        </w:rPr>
        <w:t>体育设施。</w:t>
      </w:r>
      <w:r>
        <w:rPr>
          <w:rFonts w:hint="eastAsia" w:cs="Times New Roman"/>
          <w:color w:val="000000" w:themeColor="text1"/>
          <w:szCs w:val="24"/>
          <w14:textFill>
            <w14:solidFill>
              <w14:schemeClr w14:val="tx1"/>
            </w14:solidFill>
          </w14:textFill>
        </w:rPr>
        <w:t>完善县级—乡镇、街道（社区）级—村（基层社区）三级体育设施体系布局。加快县级体育设施建设，补充完善城乡现代化体育基础设施建设，构建开放活力的全民健身设施网络。规划保留县体育馆，新建县公共体育馆和县公共游泳馆；推进社区体育综合体、大型多功能运动场地等乡镇、街道（社区）级公共体育设施配套布局；推进小型多功能运动场地等村（基层社区）级公共体育设施建设。</w:t>
      </w:r>
    </w:p>
    <w:p w14:paraId="3D5885D3">
      <w:pPr>
        <w:ind w:firstLine="600"/>
        <w:jc w:val="both"/>
        <w:rPr>
          <w:rFonts w:ascii="Times New Roman" w:hAnsi="Times New Roman" w:cs="Times New Roman"/>
          <w:color w:val="000000" w:themeColor="text1"/>
          <w:szCs w:val="24"/>
          <w14:textFill>
            <w14:solidFill>
              <w14:schemeClr w14:val="tx1"/>
            </w14:solidFill>
          </w14:textFill>
        </w:rPr>
      </w:pPr>
      <w:r>
        <w:rPr>
          <w:rFonts w:hint="eastAsia" w:ascii="楷体_GB2312" w:eastAsia="楷体_GB2312"/>
          <w:color w:val="000000" w:themeColor="text1"/>
          <w14:textFill>
            <w14:solidFill>
              <w14:schemeClr w14:val="tx1"/>
            </w14:solidFill>
          </w14:textFill>
        </w:rPr>
        <w:t>社会福利设施。</w:t>
      </w:r>
      <w:r>
        <w:rPr>
          <w:rFonts w:hint="eastAsia" w:ascii="Times New Roman" w:hAnsi="Times New Roman" w:cs="Times New Roman"/>
          <w:color w:val="000000" w:themeColor="text1"/>
          <w:szCs w:val="24"/>
          <w14:textFill>
            <w14:solidFill>
              <w14:schemeClr w14:val="tx1"/>
            </w14:solidFill>
          </w14:textFill>
        </w:rPr>
        <w:t>加快</w:t>
      </w:r>
      <w:r>
        <w:rPr>
          <w:rFonts w:ascii="Times New Roman" w:hAnsi="Times New Roman" w:cs="Times New Roman"/>
          <w:color w:val="000000" w:themeColor="text1"/>
          <w:szCs w:val="24"/>
          <w14:textFill>
            <w14:solidFill>
              <w14:schemeClr w14:val="tx1"/>
            </w14:solidFill>
          </w14:textFill>
        </w:rPr>
        <w:t>实现社会关怀区域全覆盖，</w:t>
      </w:r>
      <w:r>
        <w:rPr>
          <w:rFonts w:hint="eastAsia" w:ascii="Times New Roman" w:hAnsi="Times New Roman" w:cs="Times New Roman"/>
          <w:color w:val="000000" w:themeColor="text1"/>
          <w:szCs w:val="24"/>
          <w14:textFill>
            <w14:solidFill>
              <w14:schemeClr w14:val="tx1"/>
            </w14:solidFill>
          </w14:textFill>
        </w:rPr>
        <w:t>加强</w:t>
      </w:r>
      <w:r>
        <w:rPr>
          <w:rFonts w:hint="eastAsia" w:ascii="仿宋_GB2312" w:hAnsi="Times New Roman" w:cs="Times New Roman"/>
          <w:color w:val="000000" w:themeColor="text1"/>
          <w:szCs w:val="24"/>
          <w14:textFill>
            <w14:solidFill>
              <w14:schemeClr w14:val="tx1"/>
            </w14:solidFill>
          </w14:textFill>
        </w:rPr>
        <w:t>“一老一小”</w:t>
      </w:r>
      <w:r>
        <w:rPr>
          <w:rFonts w:ascii="Times New Roman" w:hAnsi="Times New Roman" w:cs="Times New Roman"/>
          <w:color w:val="000000" w:themeColor="text1"/>
          <w:szCs w:val="24"/>
          <w14:textFill>
            <w14:solidFill>
              <w14:schemeClr w14:val="tx1"/>
            </w14:solidFill>
          </w14:textFill>
        </w:rPr>
        <w:t>托育照护服务体系建设。</w:t>
      </w:r>
      <w:r>
        <w:rPr>
          <w:rFonts w:hint="eastAsia" w:ascii="Times New Roman" w:hAnsi="Times New Roman" w:cs="Times New Roman"/>
          <w:color w:val="000000" w:themeColor="text1"/>
          <w:szCs w:val="24"/>
          <w14:textFill>
            <w14:solidFill>
              <w14:schemeClr w14:val="tx1"/>
            </w14:solidFill>
          </w14:textFill>
        </w:rPr>
        <w:t>规划保留县福利院、丹霞敬老院，新建县养老院、县老年养护院，配置养（敬）老院、居家养老服务中心、老年人日间照料中心等多类型设施。鼓励有条件的供养机构向县级养老服务设施转变。推动县级残疾人救助中心、儿童福利院、未成年人救助保护中心、妇女儿童庇护中心等福利设施建设；提升现有镇级老年人社会福利设施服务品质，构建以街（镇）、村（社区）为单元的托育服务网络。</w:t>
      </w:r>
    </w:p>
    <w:p w14:paraId="3DA4C3CA">
      <w:pPr>
        <w:ind w:firstLine="600"/>
        <w:jc w:val="both"/>
        <w:rPr>
          <w:rFonts w:ascii="Times New Roman" w:hAnsi="Times New Roman" w:cs="Times New Roman"/>
          <w:color w:val="000000" w:themeColor="text1"/>
          <w:szCs w:val="24"/>
          <w14:textFill>
            <w14:solidFill>
              <w14:schemeClr w14:val="tx1"/>
            </w14:solidFill>
          </w14:textFill>
        </w:rPr>
      </w:pPr>
      <w:r>
        <w:rPr>
          <w:rFonts w:hint="eastAsia" w:ascii="Times New Roman" w:hAnsi="Times New Roman" w:cs="Times New Roman"/>
          <w:color w:val="000000" w:themeColor="text1"/>
          <w:szCs w:val="24"/>
          <w14:textFill>
            <w14:solidFill>
              <w14:schemeClr w14:val="tx1"/>
            </w14:solidFill>
          </w14:textFill>
        </w:rPr>
        <w:t>推进殡葬设施建设，结合镇村实际需求，完善骨灰堂、殡仪服务站、农村公益性公墓等设施，实现遗体安葬集中化、公墓化、规范化。</w:t>
      </w:r>
    </w:p>
    <w:p w14:paraId="50966154">
      <w:pPr>
        <w:pStyle w:val="5"/>
        <w:spacing w:before="163" w:after="163"/>
      </w:pPr>
      <w:bookmarkStart w:id="1538" w:name="_Toc143779829"/>
      <w:bookmarkEnd w:id="1538"/>
      <w:bookmarkStart w:id="1539" w:name="_Toc167271399"/>
      <w:bookmarkStart w:id="1540" w:name="_Toc88472373"/>
      <w:r>
        <w:rPr>
          <w:rFonts w:hint="eastAsia"/>
        </w:rPr>
        <w:t>提升城镇空间品质</w:t>
      </w:r>
      <w:bookmarkEnd w:id="1539"/>
    </w:p>
    <w:p w14:paraId="48BD617B">
      <w:pPr>
        <w:pStyle w:val="6"/>
        <w:spacing w:before="163" w:after="163"/>
      </w:pPr>
      <w:r>
        <w:rPr>
          <w:rFonts w:hint="eastAsia"/>
        </w:rPr>
        <w:t>完善城市公园绿地体系</w:t>
      </w:r>
    </w:p>
    <w:p w14:paraId="0B277755">
      <w:pPr>
        <w:ind w:firstLine="600"/>
      </w:pPr>
      <w:r>
        <w:rPr>
          <w:rFonts w:hint="eastAsia"/>
        </w:rPr>
        <w:t>结合绿地、碧道系统构建由郊野生态公园—城市公园—社区公园—游园组成的城市公园网络体系。</w:t>
      </w:r>
    </w:p>
    <w:p w14:paraId="1F640DC6">
      <w:pPr>
        <w:ind w:firstLine="600"/>
      </w:pPr>
      <w:r>
        <w:rPr>
          <w:rFonts w:hint="eastAsia" w:ascii="楷体_GB2312" w:eastAsia="楷体_GB2312"/>
        </w:rPr>
        <w:t>郊野生态公园：</w:t>
      </w:r>
      <w:r>
        <w:rPr>
          <w:rFonts w:hint="eastAsia"/>
        </w:rPr>
        <w:t>将城镇周边的森林公园、地质公园、湿地公园纳入，以原生态或低人为干扰的自然环境为特色，侧重满足居民亲近大自然的需求，兼具科普生态教育功能的公园。</w:t>
      </w:r>
    </w:p>
    <w:p w14:paraId="60EE8385">
      <w:pPr>
        <w:ind w:firstLine="600"/>
      </w:pPr>
      <w:r>
        <w:rPr>
          <w:rFonts w:hint="eastAsia" w:ascii="楷体_GB2312" w:eastAsia="楷体_GB2312"/>
        </w:rPr>
        <w:t>城市公园：</w:t>
      </w:r>
      <w:r>
        <w:rPr>
          <w:rFonts w:hint="eastAsia"/>
        </w:rPr>
        <w:t>配套建设县级综合公园、区域性综合公园及各类专项公园。规划城市综合公园服务半径应大于</w:t>
      </w:r>
      <w:r>
        <w:rPr>
          <w:rFonts w:ascii="Times New Roman" w:hAnsi="Times New Roman" w:cs="Times New Roman"/>
        </w:rPr>
        <w:t>2</w:t>
      </w:r>
      <w:r>
        <w:t>公里，</w:t>
      </w:r>
      <w:r>
        <w:rPr>
          <w:rFonts w:hint="eastAsia"/>
        </w:rPr>
        <w:t>居</w:t>
      </w:r>
      <w:r>
        <w:t>民步行</w:t>
      </w:r>
      <w:r>
        <w:rPr>
          <w:rFonts w:ascii="Times New Roman" w:hAnsi="Times New Roman" w:cs="Times New Roman"/>
        </w:rPr>
        <w:t>30</w:t>
      </w:r>
      <w:r>
        <w:t>分钟可达，公园绿地规模不宜小于</w:t>
      </w:r>
      <w:r>
        <w:rPr>
          <w:rFonts w:ascii="Times New Roman" w:hAnsi="Times New Roman" w:cs="Times New Roman"/>
        </w:rPr>
        <w:t>3</w:t>
      </w:r>
      <w:r>
        <w:t>公顷。新建地区公园绿地、广场用地</w:t>
      </w:r>
      <w:r>
        <w:rPr>
          <w:rFonts w:ascii="Times New Roman" w:hAnsi="Times New Roman" w:cs="Times New Roman"/>
        </w:rPr>
        <w:t>500</w:t>
      </w:r>
      <w:r>
        <w:t>米服务半径覆盖居住用地的比例应达到</w:t>
      </w:r>
      <w:r>
        <w:rPr>
          <w:rFonts w:ascii="Times New Roman" w:hAnsi="Times New Roman" w:cs="Times New Roman"/>
        </w:rPr>
        <w:t>100%</w:t>
      </w:r>
      <w:r>
        <w:t>。</w:t>
      </w:r>
    </w:p>
    <w:p w14:paraId="42A30785">
      <w:pPr>
        <w:ind w:firstLine="600"/>
      </w:pPr>
      <w:r>
        <w:rPr>
          <w:rFonts w:hint="eastAsia" w:ascii="楷体_GB2312" w:eastAsia="楷体_GB2312"/>
        </w:rPr>
        <w:t>社区公园：</w:t>
      </w:r>
      <w:r>
        <w:rPr>
          <w:rFonts w:hint="eastAsia"/>
        </w:rPr>
        <w:t>配套建立公园、小游园等社区公园绿地。以</w:t>
      </w:r>
      <w:r>
        <w:rPr>
          <w:rFonts w:ascii="Times New Roman" w:hAnsi="Times New Roman" w:cs="Times New Roman"/>
        </w:rPr>
        <w:t>800</w:t>
      </w:r>
      <w:r>
        <w:t>-</w:t>
      </w:r>
      <w:r>
        <w:rPr>
          <w:rFonts w:ascii="Times New Roman" w:hAnsi="Times New Roman" w:cs="Times New Roman"/>
        </w:rPr>
        <w:t>1000</w:t>
      </w:r>
      <w:r>
        <w:t>米的服务半径设置社区公园，面积规模不宜小于</w:t>
      </w:r>
      <w:r>
        <w:rPr>
          <w:rFonts w:ascii="Times New Roman" w:hAnsi="Times New Roman" w:cs="Times New Roman"/>
        </w:rPr>
        <w:t>1</w:t>
      </w:r>
      <w:r>
        <w:t>公顷，绿化率应不低于</w:t>
      </w:r>
      <w:r>
        <w:rPr>
          <w:rFonts w:ascii="Times New Roman" w:hAnsi="Times New Roman" w:cs="Times New Roman"/>
        </w:rPr>
        <w:t>65%</w:t>
      </w:r>
      <w:r>
        <w:t>，满足居民日常活动要求。</w:t>
      </w:r>
    </w:p>
    <w:p w14:paraId="0E49523C">
      <w:pPr>
        <w:ind w:firstLine="600"/>
      </w:pPr>
      <w:r>
        <w:rPr>
          <w:rFonts w:hint="eastAsia" w:ascii="楷体_GB2312" w:eastAsia="楷体_GB2312"/>
        </w:rPr>
        <w:t>游园：</w:t>
      </w:r>
      <w:r>
        <w:rPr>
          <w:rFonts w:hint="eastAsia"/>
        </w:rPr>
        <w:t>在城市道路交叉口、广场、各大型公共建筑后退红线范围内，因地制宜建设小游园、街头绿地等装饰性观赏性绿地，改善城市街道景观。</w:t>
      </w:r>
    </w:p>
    <w:p w14:paraId="0F02A73B">
      <w:pPr>
        <w:pStyle w:val="6"/>
        <w:spacing w:before="163" w:after="163"/>
      </w:pPr>
      <w:r>
        <w:t>提升滨水空间品质</w:t>
      </w:r>
    </w:p>
    <w:p w14:paraId="4C00A74A">
      <w:pPr>
        <w:ind w:firstLine="600"/>
      </w:pPr>
      <w:r>
        <w:rPr>
          <w:rFonts w:hint="eastAsia"/>
        </w:rPr>
        <w:t>加强锦江风光带建设，强化锦江两岸的滨江特色风貌塑造。融合文峰塔等历史遗迹与滨水生态空间，拓展滨江碧道慢行空间打造；通过节点工程改造、标志指引优化等方式在有条件的滨水河道和绿道引入慢行系统。增加优质公共休闲空间，形成连续贯通、便利可达的公共岸线和功能复合的滨水活动空间。</w:t>
      </w:r>
    </w:p>
    <w:bookmarkEnd w:id="1540"/>
    <w:p w14:paraId="7E8079D7">
      <w:pPr>
        <w:pStyle w:val="4"/>
        <w:spacing w:before="326" w:after="326"/>
        <w:ind w:firstLine="726"/>
        <w:rPr>
          <w:b w:val="0"/>
          <w:bCs w:val="0"/>
          <w:color w:val="000000" w:themeColor="text1"/>
          <w14:textFill>
            <w14:solidFill>
              <w14:schemeClr w14:val="tx1"/>
            </w14:solidFill>
          </w14:textFill>
        </w:rPr>
      </w:pPr>
      <w:bookmarkStart w:id="1541" w:name="_Toc145499976"/>
      <w:bookmarkEnd w:id="1541"/>
      <w:bookmarkStart w:id="1542" w:name="_Toc145277621"/>
      <w:bookmarkEnd w:id="1542"/>
      <w:bookmarkStart w:id="1543" w:name="_Toc2254"/>
      <w:bookmarkStart w:id="1544" w:name="_Toc132305882"/>
      <w:bookmarkStart w:id="1545" w:name="_Toc141887987"/>
      <w:bookmarkStart w:id="1546" w:name="_Toc167271400"/>
      <w:bookmarkStart w:id="1547" w:name="_Toc141887919"/>
      <w:bookmarkStart w:id="1548" w:name="_Toc132305827"/>
      <w:bookmarkStart w:id="1549" w:name="_Toc22812"/>
      <w:bookmarkStart w:id="1550" w:name="_Toc68625528"/>
      <w:bookmarkStart w:id="1551" w:name="_Toc88472384"/>
      <w:bookmarkStart w:id="1552" w:name="_Toc88472378"/>
      <w:r>
        <w:rPr>
          <w:rFonts w:hint="eastAsia"/>
          <w:b w:val="0"/>
          <w:bCs w:val="0"/>
          <w:color w:val="000000" w:themeColor="text1"/>
          <w14:textFill>
            <w14:solidFill>
              <w14:schemeClr w14:val="tx1"/>
            </w14:solidFill>
          </w14:textFill>
        </w:rPr>
        <w:t>推动中心城区景城一体发展</w:t>
      </w:r>
      <w:bookmarkEnd w:id="1543"/>
      <w:bookmarkEnd w:id="1544"/>
      <w:bookmarkEnd w:id="1545"/>
      <w:bookmarkEnd w:id="1546"/>
    </w:p>
    <w:p w14:paraId="5BE921F9">
      <w:pPr>
        <w:pStyle w:val="5"/>
        <w:numPr>
          <w:ilvl w:val="1"/>
          <w:numId w:val="8"/>
        </w:numPr>
        <w:spacing w:before="163" w:after="163"/>
        <w:rPr>
          <w:b/>
        </w:rPr>
      </w:pPr>
      <w:bookmarkStart w:id="1553" w:name="_Toc132305885"/>
      <w:bookmarkStart w:id="1554" w:name="_Toc2950"/>
      <w:bookmarkStart w:id="1555" w:name="_Toc141887990"/>
      <w:bookmarkStart w:id="1556" w:name="_Toc68625543"/>
      <w:bookmarkStart w:id="1557" w:name="_Toc167271401"/>
      <w:bookmarkStart w:id="1558" w:name="_Toc88472399"/>
      <w:bookmarkStart w:id="1559" w:name="_Toc29731"/>
      <w:bookmarkStart w:id="1560" w:name="_Toc141887988"/>
      <w:bookmarkStart w:id="1561" w:name="_Toc132305883"/>
      <w:r>
        <w:rPr>
          <w:rFonts w:hint="eastAsia"/>
        </w:rPr>
        <w:t>优化功能分区与用地</w:t>
      </w:r>
      <w:bookmarkEnd w:id="1553"/>
      <w:bookmarkEnd w:id="1554"/>
      <w:bookmarkEnd w:id="1555"/>
      <w:r>
        <w:rPr>
          <w:rFonts w:hint="eastAsia"/>
        </w:rPr>
        <w:t>布局</w:t>
      </w:r>
      <w:bookmarkEnd w:id="1556"/>
      <w:bookmarkEnd w:id="1557"/>
      <w:bookmarkEnd w:id="1558"/>
      <w:bookmarkEnd w:id="1559"/>
      <w:bookmarkEnd w:id="1560"/>
      <w:bookmarkEnd w:id="1561"/>
    </w:p>
    <w:p w14:paraId="797921D7">
      <w:pPr>
        <w:pStyle w:val="6"/>
        <w:spacing w:before="163" w:after="163"/>
        <w:rPr>
          <w:b/>
        </w:rPr>
      </w:pPr>
      <w:bookmarkStart w:id="1562" w:name="_Toc145277707"/>
      <w:bookmarkEnd w:id="1562"/>
      <w:bookmarkStart w:id="1563" w:name="_Toc132048224"/>
      <w:bookmarkEnd w:id="1563"/>
      <w:bookmarkStart w:id="1564" w:name="_Toc132048999"/>
      <w:bookmarkEnd w:id="1564"/>
      <w:bookmarkStart w:id="1565" w:name="_Toc132119356"/>
      <w:bookmarkEnd w:id="1565"/>
      <w:bookmarkStart w:id="1566" w:name="_Toc145500062"/>
      <w:bookmarkEnd w:id="1566"/>
      <w:bookmarkStart w:id="1567" w:name="_Toc145277708"/>
      <w:bookmarkEnd w:id="1567"/>
      <w:bookmarkStart w:id="1568" w:name="_Toc145500063"/>
      <w:bookmarkEnd w:id="1568"/>
      <w:bookmarkStart w:id="1569" w:name="_Toc145500061"/>
      <w:bookmarkEnd w:id="1569"/>
      <w:bookmarkStart w:id="1570" w:name="_Toc145277709"/>
      <w:bookmarkEnd w:id="1570"/>
      <w:bookmarkStart w:id="1571" w:name="_Toc141887991"/>
      <w:bookmarkStart w:id="1572" w:name="_Toc132305886"/>
      <w:bookmarkStart w:id="1573" w:name="_Toc30398"/>
      <w:r>
        <w:rPr>
          <w:rFonts w:hint="eastAsia"/>
        </w:rPr>
        <w:t>优化中心城区空间格局</w:t>
      </w:r>
      <w:bookmarkEnd w:id="1571"/>
      <w:bookmarkEnd w:id="1572"/>
      <w:bookmarkEnd w:id="1573"/>
    </w:p>
    <w:p w14:paraId="7DC5CC69">
      <w:pPr>
        <w:ind w:firstLine="600"/>
        <w:jc w:val="both"/>
        <w:rPr>
          <w:color w:val="000000" w:themeColor="text1"/>
          <w14:textFill>
            <w14:solidFill>
              <w14:schemeClr w14:val="tx1"/>
            </w14:solidFill>
          </w14:textFill>
        </w:rPr>
      </w:pPr>
      <w:r>
        <w:rPr>
          <w:color w:val="000000" w:themeColor="text1"/>
          <w14:textFill>
            <w14:solidFill>
              <w14:schemeClr w14:val="tx1"/>
            </w14:solidFill>
          </w14:textFill>
        </w:rPr>
        <w:t>形成</w:t>
      </w:r>
      <w:r>
        <w:rPr>
          <w:rFonts w:hint="eastAsia" w:ascii="仿宋_GB2312"/>
          <w:color w:val="000000" w:themeColor="text1"/>
          <w14:textFill>
            <w14:solidFill>
              <w14:schemeClr w14:val="tx1"/>
            </w14:solidFill>
          </w14:textFill>
        </w:rPr>
        <w:t>“一轴一带、两心三片”</w:t>
      </w:r>
      <w:r>
        <w:rPr>
          <w:color w:val="000000" w:themeColor="text1"/>
          <w14:textFill>
            <w14:solidFill>
              <w14:schemeClr w14:val="tx1"/>
            </w14:solidFill>
          </w14:textFill>
        </w:rPr>
        <w:t>的空间格局</w:t>
      </w:r>
      <w:r>
        <w:rPr>
          <w:rFonts w:hint="eastAsia"/>
          <w:color w:val="000000" w:themeColor="text1"/>
          <w14:textFill>
            <w14:solidFill>
              <w14:schemeClr w14:val="tx1"/>
            </w14:solidFill>
          </w14:textFill>
        </w:rPr>
        <w:t>。</w:t>
      </w:r>
    </w:p>
    <w:p w14:paraId="66414D7A">
      <w:pPr>
        <w:ind w:firstLine="600"/>
        <w:jc w:val="both"/>
        <w:rPr>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“一轴”</w:t>
      </w:r>
      <w:r>
        <w:rPr>
          <w:rFonts w:hint="eastAsia"/>
          <w:color w:val="000000" w:themeColor="text1"/>
          <w14:textFill>
            <w14:solidFill>
              <w14:schemeClr w14:val="tx1"/>
            </w14:solidFill>
          </w14:textFill>
        </w:rPr>
        <w:t>即中心城区功能发展轴。以建设路和丹霞大道为主线，沿线统筹布局居住、服务设施、产业发展等用地空间，强化城区的功能整合与完善。</w:t>
      </w:r>
    </w:p>
    <w:p w14:paraId="1C7DB41A">
      <w:pPr>
        <w:ind w:firstLine="600"/>
        <w:jc w:val="both"/>
        <w:rPr>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“一带”</w:t>
      </w:r>
      <w:r>
        <w:rPr>
          <w:rFonts w:hint="eastAsia"/>
          <w:color w:val="000000" w:themeColor="text1"/>
          <w14:textFill>
            <w14:solidFill>
              <w14:schemeClr w14:val="tx1"/>
            </w14:solidFill>
          </w14:textFill>
        </w:rPr>
        <w:t>一河两岸城区空间拓展带。锦江自北向南穿城而过，串联旅游综合服务片区和老城片区，强化锦江两岸文化、休闲、娱乐、观光功能，带动滨江两岸用地功能提升，形成一河两岸城区空间拓展带。</w:t>
      </w:r>
    </w:p>
    <w:p w14:paraId="2A7C1280">
      <w:pPr>
        <w:ind w:firstLine="600"/>
        <w:jc w:val="both"/>
        <w:rPr>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“两心”</w:t>
      </w:r>
      <w:r>
        <w:rPr>
          <w:rFonts w:hint="eastAsia"/>
          <w:color w:val="000000" w:themeColor="text1"/>
          <w14:textFill>
            <w14:solidFill>
              <w14:schemeClr w14:val="tx1"/>
            </w14:solidFill>
          </w14:textFill>
        </w:rPr>
        <w:t>即老城片区综合服务中心、旅游综合服务片区旅游服务中心。老城片区综合服务中心以统筹县级公共服务设施布局为重点，以补齐社区级公共服务设施配置为辅助，强化城区综合服务能力水平；旅游综合服务片区以品质型公共服务设施布局为重点，以旅游服务功能的设施配套为辅助，提升丹霞山景区正门区域的整体旅游服务水平，强化城区旅游接待能力。</w:t>
      </w:r>
    </w:p>
    <w:p w14:paraId="1593C48E">
      <w:pPr>
        <w:ind w:firstLine="600"/>
        <w:jc w:val="both"/>
        <w:rPr>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“三片”</w:t>
      </w:r>
      <w:r>
        <w:rPr>
          <w:rFonts w:hint="eastAsia"/>
          <w:color w:val="000000" w:themeColor="text1"/>
          <w14:textFill>
            <w14:solidFill>
              <w14:schemeClr w14:val="tx1"/>
            </w14:solidFill>
          </w14:textFill>
        </w:rPr>
        <w:t>指西部产业园片区、老城片区和旅游综合服务片区三大片区。西部产业园片区是城区的工业发展集聚区，为中小企业工业发展提供载体；老城片区主要为居住及生活服务业集聚区，强化环境宜居与设施配套，注重居民日常生活环境空间的品质打造；旅游综合服务片区强化旅游商务、精品食宿、交通中转等功能集聚，发展为来访游客提供便捷的旅游服务功能。</w:t>
      </w:r>
    </w:p>
    <w:p w14:paraId="586E5CE3">
      <w:pPr>
        <w:pStyle w:val="6"/>
        <w:spacing w:before="163" w:after="163"/>
        <w:rPr>
          <w:b/>
        </w:rPr>
      </w:pPr>
      <w:bookmarkStart w:id="1574" w:name="_Toc31307"/>
      <w:bookmarkStart w:id="1575" w:name="_Toc141887992"/>
      <w:bookmarkStart w:id="1576" w:name="_Toc132305887"/>
      <w:r>
        <w:rPr>
          <w:rFonts w:hint="eastAsia"/>
        </w:rPr>
        <w:t>优化建设用地结构</w:t>
      </w:r>
      <w:bookmarkEnd w:id="1574"/>
      <w:bookmarkEnd w:id="1575"/>
      <w:bookmarkEnd w:id="1576"/>
    </w:p>
    <w:p w14:paraId="1AB53989">
      <w:pPr>
        <w:ind w:firstLine="600"/>
        <w:jc w:val="both"/>
        <w:rPr>
          <w:rFonts w:ascii="Times New Roman" w:hAnsi="Times New Roman" w:cs="Times New Roman"/>
          <w:color w:val="000000" w:themeColor="text1"/>
          <w14:textFill>
            <w14:solidFill>
              <w14:schemeClr w14:val="tx1"/>
            </w14:solidFill>
          </w14:textFill>
        </w:rPr>
      </w:pPr>
      <w:bookmarkStart w:id="1577" w:name="_Hlk129627933"/>
      <w:r>
        <w:rPr>
          <w:rFonts w:hint="eastAsia" w:ascii="Times New Roman" w:hAnsi="Times New Roman" w:cs="Times New Roman"/>
          <w:color w:val="000000" w:themeColor="text1"/>
          <w14:textFill>
            <w14:solidFill>
              <w14:schemeClr w14:val="tx1"/>
            </w14:solidFill>
          </w14:textFill>
        </w:rPr>
        <w:t>严控建设用地规模增长，有序推进城市更新、村级工业园改造，中心城区城镇建设用地具体地块用途、边界定位、开发建设强度、用地兼容等规划管控要求在详细规划中确定。</w:t>
      </w:r>
    </w:p>
    <w:p w14:paraId="5CD90A7C">
      <w:pPr>
        <w:ind w:firstLine="600"/>
        <w:jc w:val="both"/>
        <w:rPr>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引导居住用地布局。</w:t>
      </w:r>
      <w:r>
        <w:rPr>
          <w:rFonts w:hint="eastAsia"/>
          <w:color w:val="000000" w:themeColor="text1"/>
          <w14:textFill>
            <w14:solidFill>
              <w14:schemeClr w14:val="tx1"/>
            </w14:solidFill>
          </w14:textFill>
        </w:rPr>
        <w:t>根据人口分布导向，合理引导居住用地布局，中心城区合理确定居住用地供应规模，加强政策性住房用地保障。</w:t>
      </w:r>
    </w:p>
    <w:p w14:paraId="6B1EFFB6">
      <w:pPr>
        <w:ind w:firstLine="600"/>
        <w:jc w:val="both"/>
        <w:rPr>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提高公共服务设施水平和民生用地保障。</w:t>
      </w:r>
      <w:r>
        <w:rPr>
          <w:rFonts w:hint="eastAsia"/>
          <w:color w:val="000000" w:themeColor="text1"/>
          <w14:textFill>
            <w14:solidFill>
              <w14:schemeClr w14:val="tx1"/>
            </w14:solidFill>
          </w14:textFill>
        </w:rPr>
        <w:t>统筹县级公共服务设施配置，加大基本服务设施向现状服务水平较薄弱片区倾斜的力度，以</w:t>
      </w:r>
      <w:r>
        <w:rPr>
          <w:color w:val="000000" w:themeColor="text1"/>
          <w14:textFill>
            <w14:solidFill>
              <w14:schemeClr w14:val="tx1"/>
            </w14:solidFill>
          </w14:textFill>
        </w:rPr>
        <w:t>社区生活圈为载体</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完善公共服务设施和基础设施用地布局。</w:t>
      </w:r>
    </w:p>
    <w:p w14:paraId="1785E245">
      <w:pPr>
        <w:ind w:firstLine="600"/>
        <w:jc w:val="both"/>
        <w:rPr>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推动工业向产业平台及园区集中布局。</w:t>
      </w:r>
      <w:r>
        <w:rPr>
          <w:rFonts w:hint="eastAsia"/>
          <w:color w:val="000000" w:themeColor="text1"/>
          <w14:textFill>
            <w14:solidFill>
              <w14:schemeClr w14:val="tx1"/>
            </w14:solidFill>
          </w14:textFill>
        </w:rPr>
        <w:t>提升工业及仓储用地利用效率，盘活闲置厂房及用地，实现产业用地的集约发展。保障仁化小企业创业园建设，支撑优质项目落地。</w:t>
      </w:r>
    </w:p>
    <w:p w14:paraId="1760C2B6">
      <w:pPr>
        <w:ind w:firstLine="600"/>
        <w:jc w:val="both"/>
        <w:rPr>
          <w:b/>
          <w:bCs/>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促进公共交通系统空间提质。</w:t>
      </w:r>
      <w:r>
        <w:rPr>
          <w:rFonts w:hint="eastAsia"/>
          <w:color w:val="000000" w:themeColor="text1"/>
          <w14:textFill>
            <w14:solidFill>
              <w14:schemeClr w14:val="tx1"/>
            </w14:solidFill>
          </w14:textFill>
        </w:rPr>
        <w:t>落实公共交通设施布局及用地，进一步完善公共交通基础设施建设，提升公共交通服务范围及出行比例。</w:t>
      </w:r>
    </w:p>
    <w:p w14:paraId="2D911F11">
      <w:pPr>
        <w:ind w:firstLine="600"/>
        <w:jc w:val="both"/>
        <w:rPr>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加强公用基础设施建设。</w:t>
      </w:r>
      <w:r>
        <w:rPr>
          <w:rFonts w:hint="eastAsia"/>
          <w:color w:val="000000" w:themeColor="text1"/>
          <w14:textFill>
            <w14:solidFill>
              <w14:schemeClr w14:val="tx1"/>
            </w14:solidFill>
          </w14:textFill>
        </w:rPr>
        <w:t>因地制宜按需新建公用基础设施，鼓励按照“平急两用”理念探索公共基础设施建设，强化基础设施服务供给能力，推动城市高质量发展。</w:t>
      </w:r>
    </w:p>
    <w:p w14:paraId="6121102A">
      <w:pPr>
        <w:ind w:firstLine="600"/>
        <w:jc w:val="both"/>
        <w:rPr>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增加绿地与开敞空间供给。</w:t>
      </w:r>
      <w:r>
        <w:rPr>
          <w:rFonts w:hint="eastAsia"/>
          <w:color w:val="000000" w:themeColor="text1"/>
          <w14:textFill>
            <w14:solidFill>
              <w14:schemeClr w14:val="tx1"/>
            </w14:solidFill>
          </w14:textFill>
        </w:rPr>
        <w:t>完善中心城区蓝绿空间网络和公园体系建设，通过优化城市范围内绿地布局，完善公园景观与相关设施配套，改善大气环境和水环境，提升城市环境品质。</w:t>
      </w:r>
    </w:p>
    <w:p w14:paraId="3DB54D93">
      <w:pPr>
        <w:ind w:firstLine="600"/>
        <w:jc w:val="both"/>
        <w:rPr>
          <w:b/>
          <w:bCs/>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合理预留发展空间。</w:t>
      </w:r>
      <w:r>
        <w:rPr>
          <w:rFonts w:hint="eastAsia"/>
          <w:color w:val="000000" w:themeColor="text1"/>
          <w14:textFill>
            <w14:solidFill>
              <w14:schemeClr w14:val="tx1"/>
            </w14:solidFill>
          </w14:textFill>
        </w:rPr>
        <w:t>为城市长远发展预留部分弹性发展空间，提高规划弹性适应能力，对城市的发展建设需求提供一定的用地支撑保障。</w:t>
      </w:r>
    </w:p>
    <w:bookmarkEnd w:id="1577"/>
    <w:p w14:paraId="5FF28451">
      <w:pPr>
        <w:pStyle w:val="5"/>
        <w:numPr>
          <w:ilvl w:val="1"/>
          <w:numId w:val="9"/>
        </w:numPr>
        <w:spacing w:before="163" w:after="163"/>
        <w:rPr>
          <w:b/>
        </w:rPr>
      </w:pPr>
      <w:bookmarkStart w:id="1578" w:name="_Toc88472401"/>
      <w:bookmarkStart w:id="1579" w:name="_Toc132305888"/>
      <w:bookmarkStart w:id="1580" w:name="_Toc141887993"/>
      <w:bookmarkStart w:id="1581" w:name="_Toc167271402"/>
      <w:bookmarkStart w:id="1582" w:name="_Toc7286"/>
      <w:r>
        <w:rPr>
          <w:rFonts w:hint="eastAsia"/>
        </w:rPr>
        <w:t>居住与住房保障</w:t>
      </w:r>
      <w:bookmarkEnd w:id="1578"/>
      <w:bookmarkEnd w:id="1579"/>
      <w:bookmarkEnd w:id="1580"/>
      <w:bookmarkEnd w:id="1581"/>
      <w:bookmarkEnd w:id="1582"/>
    </w:p>
    <w:p w14:paraId="2171BA5C">
      <w:pPr>
        <w:pStyle w:val="6"/>
        <w:spacing w:before="163" w:after="163"/>
        <w:rPr>
          <w:b/>
        </w:rPr>
      </w:pPr>
      <w:bookmarkStart w:id="1583" w:name="_Toc31277"/>
      <w:bookmarkStart w:id="1584" w:name="_Toc141887994"/>
      <w:bookmarkStart w:id="1585" w:name="_Toc132305889"/>
      <w:bookmarkStart w:id="1586" w:name="_Toc88472403"/>
      <w:bookmarkStart w:id="1587" w:name="_Toc68625547"/>
      <w:r>
        <w:rPr>
          <w:rFonts w:hint="eastAsia"/>
        </w:rPr>
        <w:t>完善</w:t>
      </w:r>
      <w:r>
        <w:t>居住</w:t>
      </w:r>
      <w:r>
        <w:rPr>
          <w:rFonts w:hint="eastAsia"/>
        </w:rPr>
        <w:t>空间</w:t>
      </w:r>
      <w:r>
        <w:t>布局</w:t>
      </w:r>
      <w:bookmarkEnd w:id="1583"/>
      <w:bookmarkEnd w:id="1584"/>
      <w:bookmarkEnd w:id="1585"/>
    </w:p>
    <w:p w14:paraId="0DA027EE">
      <w:pPr>
        <w:ind w:firstLine="6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合理布置居住用地，促进城市结构调整。控制中心城区的老城住宅建设，改善人居环境；积极引导新城片区开发，推进社区建设，合理配套生活设施。平稳推进五处居住片区建设，引导城市高居住质量。</w:t>
      </w:r>
    </w:p>
    <w:p w14:paraId="198A8875">
      <w:pPr>
        <w:ind w:firstLine="600"/>
        <w:jc w:val="both"/>
        <w:rPr>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高坪居住片区：</w:t>
      </w:r>
      <w:r>
        <w:rPr>
          <w:rFonts w:hint="eastAsia"/>
          <w:color w:val="000000" w:themeColor="text1"/>
          <w14:textFill>
            <w14:solidFill>
              <w14:schemeClr w14:val="tx1"/>
            </w14:solidFill>
          </w14:textFill>
        </w:rPr>
        <w:t>在片区北侧和西侧新增住宅用地供应，根据公共服务、生态环境和交通设施条件，控制住宅用地供应节奏。积极推进城市更新，有序推进老旧社区改造，提高住房供给能力，改善人居环境质量。对中心地段老旧小区进行环境综合整治，着力加大教育、医疗等资源配置，改善居住环境，提高居住品质。</w:t>
      </w:r>
    </w:p>
    <w:p w14:paraId="6417D7D9">
      <w:pPr>
        <w:ind w:firstLine="600"/>
        <w:jc w:val="both"/>
        <w:rPr>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新城居住片区：</w:t>
      </w:r>
      <w:r>
        <w:rPr>
          <w:rFonts w:hint="eastAsia"/>
          <w:color w:val="000000" w:themeColor="text1"/>
          <w14:textFill>
            <w14:solidFill>
              <w14:schemeClr w14:val="tx1"/>
            </w14:solidFill>
          </w14:textFill>
        </w:rPr>
        <w:t>遵循社会服务设施建设引导、公共交通建设引导的发展模式，以建构完善的新城区为目标，有计划分步骤开展建设；结合重要产业服务中心加强保障性住房建设，引导人口转移；提高公共服务水平和综合吸引力，实现片区宜居宜业、职住平衡。</w:t>
      </w:r>
    </w:p>
    <w:p w14:paraId="47ECE350">
      <w:pPr>
        <w:ind w:firstLine="600"/>
        <w:jc w:val="both"/>
        <w:rPr>
          <w:color w:val="000000" w:themeColor="text1"/>
          <w14:textFill>
            <w14:solidFill>
              <w14:schemeClr w14:val="tx1"/>
            </w14:solidFill>
          </w14:textFill>
        </w:rPr>
      </w:pPr>
      <w:r>
        <w:rPr>
          <w:rFonts w:hint="eastAsia" w:ascii="楷体_GB2312" w:hAnsi="Times New Roman" w:eastAsia="楷体_GB2312" w:cs="Times New Roman"/>
        </w:rPr>
        <w:t>丹</w:t>
      </w:r>
      <w:r>
        <w:rPr>
          <w:rFonts w:hint="eastAsia" w:ascii="楷体_GB2312" w:eastAsia="楷体_GB2312"/>
          <w:color w:val="000000" w:themeColor="text1"/>
          <w14:textFill>
            <w14:solidFill>
              <w14:schemeClr w14:val="tx1"/>
            </w14:solidFill>
          </w14:textFill>
        </w:rPr>
        <w:t>霞居住片区：</w:t>
      </w:r>
      <w:r>
        <w:rPr>
          <w:rFonts w:hint="eastAsia"/>
          <w:color w:val="000000" w:themeColor="text1"/>
          <w14:textFill>
            <w14:solidFill>
              <w14:schemeClr w14:val="tx1"/>
            </w14:solidFill>
          </w14:textFill>
        </w:rPr>
        <w:t>“产业链</w:t>
      </w:r>
      <w:r>
        <w:rPr>
          <w:rFonts w:hint="eastAsia" w:ascii="仿宋_GB2312"/>
          <w:color w:val="000000" w:themeColor="text1"/>
          <w14:textFill>
            <w14:solidFill>
              <w14:schemeClr w14:val="tx1"/>
            </w14:solidFill>
          </w14:textFill>
        </w:rPr>
        <w:t>”</w:t>
      </w:r>
      <w:r>
        <w:rPr>
          <w:rFonts w:hint="eastAsia"/>
          <w:color w:val="000000" w:themeColor="text1"/>
          <w14:textFill>
            <w14:solidFill>
              <w14:schemeClr w14:val="tx1"/>
            </w14:solidFill>
          </w14:textFill>
        </w:rPr>
        <w:t>带动</w:t>
      </w:r>
      <w:r>
        <w:rPr>
          <w:rFonts w:hint="eastAsia" w:ascii="仿宋_GB2312"/>
          <w:color w:val="000000" w:themeColor="text1"/>
          <w14:textFill>
            <w14:solidFill>
              <w14:schemeClr w14:val="tx1"/>
            </w14:solidFill>
          </w14:textFill>
        </w:rPr>
        <w:t>“</w:t>
      </w:r>
      <w:r>
        <w:rPr>
          <w:rFonts w:hint="eastAsia"/>
          <w:color w:val="000000" w:themeColor="text1"/>
          <w14:textFill>
            <w14:solidFill>
              <w14:schemeClr w14:val="tx1"/>
            </w14:solidFill>
          </w14:textFill>
        </w:rPr>
        <w:t>人才链</w:t>
      </w:r>
      <w:r>
        <w:rPr>
          <w:rFonts w:hint="eastAsia" w:ascii="仿宋_GB2312"/>
          <w:color w:val="000000" w:themeColor="text1"/>
          <w14:textFill>
            <w14:solidFill>
              <w14:schemeClr w14:val="tx1"/>
            </w14:solidFill>
          </w14:textFill>
        </w:rPr>
        <w:t>”</w:t>
      </w:r>
      <w:r>
        <w:rPr>
          <w:rFonts w:hint="eastAsia"/>
          <w:color w:val="000000" w:themeColor="text1"/>
          <w14:textFill>
            <w14:solidFill>
              <w14:schemeClr w14:val="tx1"/>
            </w14:solidFill>
          </w14:textFill>
        </w:rPr>
        <w:t>发展，重点引进服务业人才，依托丹霞旅游产业，促进更多产业人口在丹霞片区安家置业。</w:t>
      </w:r>
    </w:p>
    <w:p w14:paraId="6B021C27">
      <w:pPr>
        <w:ind w:firstLine="600"/>
        <w:jc w:val="both"/>
        <w:rPr>
          <w:color w:val="000000" w:themeColor="text1"/>
          <w14:textFill>
            <w14:solidFill>
              <w14:schemeClr w14:val="tx1"/>
            </w14:solidFill>
          </w14:textFill>
        </w:rPr>
      </w:pPr>
      <w:r>
        <w:rPr>
          <w:rFonts w:hint="eastAsia" w:ascii="楷体_GB2312" w:hAnsi="Times New Roman" w:eastAsia="楷体_GB2312" w:cs="Times New Roman"/>
        </w:rPr>
        <w:t>老城居住</w:t>
      </w:r>
      <w:r>
        <w:rPr>
          <w:rFonts w:hint="eastAsia" w:ascii="楷体_GB2312" w:eastAsia="楷体_GB2312"/>
          <w:color w:val="000000" w:themeColor="text1"/>
          <w14:textFill>
            <w14:solidFill>
              <w14:schemeClr w14:val="tx1"/>
            </w14:solidFill>
          </w14:textFill>
        </w:rPr>
        <w:t>片区：</w:t>
      </w:r>
      <w:r>
        <w:rPr>
          <w:rFonts w:hint="eastAsia"/>
          <w:color w:val="000000" w:themeColor="text1"/>
          <w14:textFill>
            <w14:solidFill>
              <w14:schemeClr w14:val="tx1"/>
            </w14:solidFill>
          </w14:textFill>
        </w:rPr>
        <w:t>通过城中村改造、工业搬迁用地置换等方式适度发展住宅房地产；加大老旧小区居住环境整治力度。针对城区老旧住宅区进行综合整治，结合局部抽疏补绿、设施更新、节能改造、环境与停车整治、建筑外观改善等方面优化居住环境。</w:t>
      </w:r>
    </w:p>
    <w:p w14:paraId="7428D306">
      <w:pPr>
        <w:ind w:firstLine="600"/>
        <w:jc w:val="both"/>
        <w:rPr>
          <w:color w:val="000000" w:themeColor="text1"/>
          <w:highlight w:val="cyan"/>
          <w14:textFill>
            <w14:solidFill>
              <w14:schemeClr w14:val="tx1"/>
            </w14:solidFill>
          </w14:textFill>
        </w:rPr>
      </w:pPr>
      <w:r>
        <w:rPr>
          <w:rFonts w:hint="eastAsia" w:ascii="楷体_GB2312" w:hAnsi="Times New Roman" w:eastAsia="楷体_GB2312" w:cs="Times New Roman"/>
        </w:rPr>
        <w:t>水南居住</w:t>
      </w:r>
      <w:r>
        <w:rPr>
          <w:rFonts w:hint="eastAsia" w:ascii="楷体_GB2312" w:eastAsia="楷体_GB2312"/>
          <w:color w:val="000000" w:themeColor="text1"/>
          <w14:textFill>
            <w14:solidFill>
              <w14:schemeClr w14:val="tx1"/>
            </w14:solidFill>
          </w14:textFill>
        </w:rPr>
        <w:t>片区：</w:t>
      </w:r>
      <w:r>
        <w:rPr>
          <w:rFonts w:hint="eastAsia"/>
          <w:color w:val="000000" w:themeColor="text1"/>
          <w14:textFill>
            <w14:solidFill>
              <w14:schemeClr w14:val="tx1"/>
            </w14:solidFill>
          </w14:textFill>
        </w:rPr>
        <w:t>对现有居住用地逐步进行改造，配套建设社区公共服务设施，改善公共交通条件，增加公共绿地和景观设施，提升居住区整体环境质量。依托锦江及临江休闲碧道，为居民创造丰富的滨水景观绿地系统，整体提升片区人居环境和城市形象。</w:t>
      </w:r>
    </w:p>
    <w:p w14:paraId="6E95829E">
      <w:pPr>
        <w:pStyle w:val="6"/>
        <w:spacing w:before="163" w:after="163"/>
        <w:rPr>
          <w:b/>
        </w:rPr>
      </w:pPr>
      <w:bookmarkStart w:id="1588" w:name="_Toc29779"/>
      <w:bookmarkStart w:id="1589" w:name="_Toc141887995"/>
      <w:bookmarkStart w:id="1590" w:name="_Toc132305890"/>
      <w:r>
        <w:rPr>
          <w:rFonts w:hint="eastAsia"/>
        </w:rPr>
        <w:t>强化</w:t>
      </w:r>
      <w:r>
        <w:t>城区保障性住房供给</w:t>
      </w:r>
      <w:bookmarkEnd w:id="1588"/>
      <w:bookmarkEnd w:id="1589"/>
      <w:bookmarkEnd w:id="1590"/>
    </w:p>
    <w:p w14:paraId="36B3BF22">
      <w:pPr>
        <w:ind w:firstLine="6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进一步扩大保障性住房覆盖面，提升基本居住需求保障水平。制定针对性政策消化现有棚户区改造住房存量，提高保障性住房建设标准和建设质量。到</w:t>
      </w:r>
      <w:r>
        <w:rPr>
          <w:rFonts w:ascii="Times New Roman" w:hAnsi="Times New Roman" w:cs="Times New Roman"/>
          <w:color w:val="000000" w:themeColor="text1"/>
          <w:szCs w:val="24"/>
          <w14:textFill>
            <w14:solidFill>
              <w14:schemeClr w14:val="tx1"/>
            </w14:solidFill>
          </w14:textFill>
        </w:rPr>
        <w:t>2035</w:t>
      </w:r>
      <w:r>
        <w:rPr>
          <w:color w:val="000000" w:themeColor="text1"/>
          <w14:textFill>
            <w14:solidFill>
              <w14:schemeClr w14:val="tx1"/>
            </w14:solidFill>
          </w14:textFill>
        </w:rPr>
        <w:t>年</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基本</w:t>
      </w:r>
      <w:r>
        <w:rPr>
          <w:rFonts w:hint="eastAsia"/>
          <w:color w:val="000000" w:themeColor="text1"/>
          <w14:textFill>
            <w14:solidFill>
              <w14:schemeClr w14:val="tx1"/>
            </w14:solidFill>
          </w14:textFill>
        </w:rPr>
        <w:t>建立</w:t>
      </w:r>
      <w:r>
        <w:rPr>
          <w:color w:val="000000" w:themeColor="text1"/>
          <w14:textFill>
            <w14:solidFill>
              <w14:schemeClr w14:val="tx1"/>
            </w14:solidFill>
          </w14:textFill>
        </w:rPr>
        <w:t>以公共租赁住房</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共有产权住房</w:t>
      </w:r>
      <w:r>
        <w:rPr>
          <w:rFonts w:hint="eastAsia"/>
          <w:color w:val="000000" w:themeColor="text1"/>
          <w14:textFill>
            <w14:solidFill>
              <w14:schemeClr w14:val="tx1"/>
            </w14:solidFill>
          </w14:textFill>
        </w:rPr>
        <w:t>、政策性租赁住房为主体</w:t>
      </w:r>
      <w:r>
        <w:rPr>
          <w:color w:val="000000" w:themeColor="text1"/>
          <w14:textFill>
            <w14:solidFill>
              <w14:schemeClr w14:val="tx1"/>
            </w14:solidFill>
          </w14:textFill>
        </w:rPr>
        <w:t>的住房保障体系</w:t>
      </w:r>
      <w:r>
        <w:rPr>
          <w:rFonts w:hint="eastAsia"/>
          <w:color w:val="000000" w:themeColor="text1"/>
          <w14:textFill>
            <w14:solidFill>
              <w14:schemeClr w14:val="tx1"/>
            </w14:solidFill>
          </w14:textFill>
        </w:rPr>
        <w:t>，推进人才住房建设，扩大住房保障覆盖面。</w:t>
      </w:r>
      <w:r>
        <w:rPr>
          <w:color w:val="000000" w:themeColor="text1"/>
          <w14:textFill>
            <w14:solidFill>
              <w14:schemeClr w14:val="tx1"/>
            </w14:solidFill>
          </w14:textFill>
        </w:rPr>
        <w:t>住房保障基本覆盖城镇中低收入住房困难家庭、新就业无房职工、落户城镇的农业转移人口以及稳定就业的外来务工人员。</w:t>
      </w:r>
      <w:r>
        <w:rPr>
          <w:rFonts w:hint="eastAsia"/>
          <w:color w:val="000000" w:themeColor="text1"/>
          <w14:textFill>
            <w14:solidFill>
              <w14:schemeClr w14:val="tx1"/>
            </w14:solidFill>
          </w14:textFill>
        </w:rPr>
        <w:t>统筹落实用地规模、布局，合理把握建设规模和节奏，按照职住平衡原则，优先安排在中心城区中北部交通便利、公共设施较为齐全的区域。近期保障性住房以消化现有存量为主，远期结合实际需求情况增加保障性住房供给。</w:t>
      </w:r>
    </w:p>
    <w:p w14:paraId="7074EEA0">
      <w:pPr>
        <w:pStyle w:val="5"/>
        <w:numPr>
          <w:ilvl w:val="1"/>
          <w:numId w:val="9"/>
        </w:numPr>
        <w:spacing w:before="163" w:after="163"/>
        <w:rPr>
          <w:b/>
        </w:rPr>
      </w:pPr>
      <w:bookmarkStart w:id="1591" w:name="_Toc88472402"/>
      <w:bookmarkStart w:id="1592" w:name="_Toc132305891"/>
      <w:bookmarkStart w:id="1593" w:name="_Toc141887996"/>
      <w:bookmarkStart w:id="1594" w:name="_Toc167271403"/>
      <w:bookmarkStart w:id="1595" w:name="_Toc27698"/>
      <w:r>
        <w:rPr>
          <w:rFonts w:hint="eastAsia"/>
        </w:rPr>
        <w:t>公共服务设施与社区生活圈</w:t>
      </w:r>
      <w:bookmarkEnd w:id="1591"/>
      <w:bookmarkEnd w:id="1592"/>
      <w:bookmarkEnd w:id="1593"/>
      <w:bookmarkEnd w:id="1594"/>
      <w:bookmarkEnd w:id="1595"/>
    </w:p>
    <w:p w14:paraId="6DD99562">
      <w:pPr>
        <w:pStyle w:val="6"/>
        <w:spacing w:before="163" w:after="163"/>
        <w:rPr>
          <w:b/>
        </w:rPr>
      </w:pPr>
      <w:bookmarkStart w:id="1596" w:name="_Toc12560"/>
      <w:bookmarkStart w:id="1597" w:name="_Toc141887997"/>
      <w:bookmarkStart w:id="1598" w:name="_Toc132305892"/>
      <w:r>
        <w:rPr>
          <w:rFonts w:hint="eastAsia"/>
        </w:rPr>
        <w:t>建立公共服务中心体系</w:t>
      </w:r>
      <w:bookmarkEnd w:id="1596"/>
      <w:bookmarkEnd w:id="1597"/>
      <w:bookmarkEnd w:id="1598"/>
    </w:p>
    <w:p w14:paraId="461092F4">
      <w:pPr>
        <w:ind w:firstLine="6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建立</w:t>
      </w:r>
      <w:r>
        <w:rPr>
          <w:rFonts w:hint="eastAsia" w:ascii="仿宋_GB2312"/>
          <w:color w:val="000000" w:themeColor="text1"/>
          <w14:textFill>
            <w14:solidFill>
              <w14:schemeClr w14:val="tx1"/>
            </w14:solidFill>
          </w14:textFill>
        </w:rPr>
        <w:t>“县—街道—社区”三</w:t>
      </w:r>
      <w:r>
        <w:rPr>
          <w:color w:val="000000" w:themeColor="text1"/>
          <w14:textFill>
            <w14:solidFill>
              <w14:schemeClr w14:val="tx1"/>
            </w14:solidFill>
          </w14:textFill>
        </w:rPr>
        <w:t>级公共服务中心体系。</w:t>
      </w:r>
    </w:p>
    <w:p w14:paraId="1E904ABB">
      <w:pPr>
        <w:ind w:firstLine="600"/>
        <w:jc w:val="both"/>
        <w:rPr>
          <w:color w:val="000000" w:themeColor="text1"/>
          <w14:textFill>
            <w14:solidFill>
              <w14:schemeClr w14:val="tx1"/>
            </w14:solidFill>
          </w14:textFill>
        </w:rPr>
      </w:pPr>
      <w:r>
        <w:rPr>
          <w:rFonts w:ascii="Times New Roman" w:hAnsi="Times New Roman" w:eastAsia="楷体_GB2312" w:cs="Times New Roman"/>
          <w:color w:val="000000" w:themeColor="text1"/>
          <w14:textFill>
            <w14:solidFill>
              <w14:schemeClr w14:val="tx1"/>
            </w14:solidFill>
          </w14:textFill>
        </w:rPr>
        <w:t>1</w:t>
      </w:r>
      <w:r>
        <w:rPr>
          <w:rFonts w:hint="eastAsia" w:ascii="楷体_GB2312" w:eastAsia="楷体_GB2312"/>
          <w:color w:val="000000" w:themeColor="text1"/>
          <w14:textFill>
            <w14:solidFill>
              <w14:schemeClr w14:val="tx1"/>
            </w14:solidFill>
          </w14:textFill>
        </w:rPr>
        <w:t>个县级公共服务中心：</w:t>
      </w:r>
      <w:r>
        <w:rPr>
          <w:color w:val="000000" w:themeColor="text1"/>
          <w14:textFill>
            <w14:solidFill>
              <w14:schemeClr w14:val="tx1"/>
            </w14:solidFill>
          </w14:textFill>
        </w:rPr>
        <w:t>县级公共服务中心。</w:t>
      </w:r>
      <w:r>
        <w:rPr>
          <w:rFonts w:hint="eastAsia"/>
          <w:color w:val="000000" w:themeColor="text1"/>
          <w14:textFill>
            <w14:solidFill>
              <w14:schemeClr w14:val="tx1"/>
            </w14:solidFill>
          </w14:textFill>
        </w:rPr>
        <w:t>重点承载全县核心公共服务功能，配置内容丰富、规模适宜的各类高级别服务设施，进一步提升总体公共服务设施水平与服务能力，建设成为辐射全县的县级公共服务中心。</w:t>
      </w:r>
    </w:p>
    <w:p w14:paraId="5F7C7CEB">
      <w:pPr>
        <w:ind w:firstLine="600"/>
        <w:jc w:val="both"/>
        <w:rPr>
          <w:color w:val="000000" w:themeColor="text1"/>
          <w14:textFill>
            <w14:solidFill>
              <w14:schemeClr w14:val="tx1"/>
            </w14:solidFill>
          </w14:textFill>
        </w:rPr>
      </w:pPr>
      <w:r>
        <w:rPr>
          <w:rFonts w:ascii="Times New Roman" w:hAnsi="Times New Roman" w:eastAsia="楷体_GB2312" w:cs="Times New Roman"/>
          <w:color w:val="000000" w:themeColor="text1"/>
          <w14:textFill>
            <w14:solidFill>
              <w14:schemeClr w14:val="tx1"/>
            </w14:solidFill>
          </w14:textFill>
        </w:rPr>
        <w:t>2</w:t>
      </w:r>
      <w:r>
        <w:rPr>
          <w:rFonts w:hint="eastAsia" w:ascii="楷体_GB2312" w:eastAsia="楷体_GB2312"/>
          <w:color w:val="000000" w:themeColor="text1"/>
          <w14:textFill>
            <w14:solidFill>
              <w14:schemeClr w14:val="tx1"/>
            </w14:solidFill>
          </w14:textFill>
        </w:rPr>
        <w:t>个街道级公共服务中心：</w:t>
      </w:r>
      <w:r>
        <w:rPr>
          <w:color w:val="000000" w:themeColor="text1"/>
          <w14:textFill>
            <w14:solidFill>
              <w14:schemeClr w14:val="tx1"/>
            </w14:solidFill>
          </w14:textFill>
        </w:rPr>
        <w:t>结合中心城区人口密度相对较低的特征，按照</w:t>
      </w:r>
      <w:r>
        <w:rPr>
          <w:rFonts w:ascii="Times New Roman" w:hAnsi="Times New Roman" w:cs="Times New Roman"/>
          <w:color w:val="000000" w:themeColor="text1"/>
          <w:szCs w:val="24"/>
          <w14:textFill>
            <w14:solidFill>
              <w14:schemeClr w14:val="tx1"/>
            </w14:solidFill>
          </w14:textFill>
        </w:rPr>
        <w:t>15</w:t>
      </w:r>
      <w:r>
        <w:rPr>
          <w:color w:val="000000" w:themeColor="text1"/>
          <w14:textFill>
            <w14:solidFill>
              <w14:schemeClr w14:val="tx1"/>
            </w14:solidFill>
          </w14:textFill>
        </w:rPr>
        <w:t>分钟慢行可达空间范围布局街道级公共服务中心，配置城镇居民日常使用，特别是面向老人、儿童的基本服务设施，承担区域综合服务和部分专业服务。</w:t>
      </w:r>
    </w:p>
    <w:p w14:paraId="62C22C2B">
      <w:pPr>
        <w:ind w:firstLine="600"/>
        <w:jc w:val="both"/>
        <w:rPr>
          <w:color w:val="000000" w:themeColor="text1"/>
          <w14:textFill>
            <w14:solidFill>
              <w14:schemeClr w14:val="tx1"/>
            </w14:solidFill>
          </w14:textFill>
        </w:rPr>
      </w:pPr>
      <w:r>
        <w:rPr>
          <w:rFonts w:ascii="Times New Roman" w:hAnsi="Times New Roman" w:eastAsia="楷体_GB2312" w:cs="Times New Roman"/>
          <w:color w:val="000000" w:themeColor="text1"/>
          <w14:textFill>
            <w14:solidFill>
              <w14:schemeClr w14:val="tx1"/>
            </w14:solidFill>
          </w14:textFill>
        </w:rPr>
        <w:t>6</w:t>
      </w:r>
      <w:r>
        <w:rPr>
          <w:rFonts w:ascii="楷体_GB2312" w:eastAsia="楷体_GB2312"/>
          <w:color w:val="000000" w:themeColor="text1"/>
          <w14:textFill>
            <w14:solidFill>
              <w14:schemeClr w14:val="tx1"/>
            </w14:solidFill>
          </w14:textFill>
        </w:rPr>
        <w:t>个社区级公共服务中心：</w:t>
      </w:r>
      <w:r>
        <w:rPr>
          <w:color w:val="000000" w:themeColor="text1"/>
          <w14:textFill>
            <w14:solidFill>
              <w14:schemeClr w14:val="tx1"/>
            </w14:solidFill>
          </w14:textFill>
        </w:rPr>
        <w:t>按照</w:t>
      </w:r>
      <w:r>
        <w:rPr>
          <w:rFonts w:ascii="Times New Roman" w:hAnsi="Times New Roman" w:cs="Times New Roman"/>
          <w:color w:val="000000" w:themeColor="text1"/>
          <w:szCs w:val="24"/>
          <w14:textFill>
            <w14:solidFill>
              <w14:schemeClr w14:val="tx1"/>
            </w14:solidFill>
          </w14:textFill>
        </w:rPr>
        <w:t>5</w:t>
      </w:r>
      <w:r>
        <w:rPr>
          <w:rFonts w:hint="eastAsia" w:ascii="仿宋_GB2312" w:hAnsi="Times New Roman" w:cs="Times New Roman"/>
          <w:color w:val="000000" w:themeColor="text1"/>
          <w:szCs w:val="24"/>
          <w14:textFill>
            <w14:solidFill>
              <w14:schemeClr w14:val="tx1"/>
            </w14:solidFill>
          </w14:textFill>
        </w:rPr>
        <w:t>-</w:t>
      </w:r>
      <w:r>
        <w:rPr>
          <w:rFonts w:ascii="Times New Roman" w:hAnsi="Times New Roman" w:cs="Times New Roman"/>
          <w:color w:val="000000" w:themeColor="text1"/>
          <w:szCs w:val="24"/>
          <w14:textFill>
            <w14:solidFill>
              <w14:schemeClr w14:val="tx1"/>
            </w14:solidFill>
          </w14:textFill>
        </w:rPr>
        <w:t>10</w:t>
      </w:r>
      <w:r>
        <w:rPr>
          <w:color w:val="000000" w:themeColor="text1"/>
          <w14:textFill>
            <w14:solidFill>
              <w14:schemeClr w14:val="tx1"/>
            </w14:solidFill>
          </w14:textFill>
        </w:rPr>
        <w:t>分钟慢行可达空间范围布局社区级生活圈，构建覆盖</w:t>
      </w:r>
      <w:r>
        <w:rPr>
          <w:rFonts w:hint="eastAsia"/>
          <w:color w:val="000000" w:themeColor="text1"/>
          <w14:textFill>
            <w14:solidFill>
              <w14:schemeClr w14:val="tx1"/>
            </w14:solidFill>
          </w14:textFill>
        </w:rPr>
        <w:t>范围广、设施配套丰富</w:t>
      </w:r>
      <w:r>
        <w:rPr>
          <w:color w:val="000000" w:themeColor="text1"/>
          <w14:textFill>
            <w14:solidFill>
              <w14:schemeClr w14:val="tx1"/>
            </w14:solidFill>
          </w14:textFill>
        </w:rPr>
        <w:t>的社区基本公共服务设施体系。</w:t>
      </w:r>
    </w:p>
    <w:p w14:paraId="273A370F">
      <w:pPr>
        <w:pStyle w:val="6"/>
        <w:spacing w:before="163" w:after="163"/>
        <w:rPr>
          <w:b/>
        </w:rPr>
      </w:pPr>
      <w:bookmarkStart w:id="1599" w:name="_Toc32434"/>
      <w:bookmarkStart w:id="1600" w:name="_Toc141887998"/>
      <w:bookmarkStart w:id="1601" w:name="_Toc132305893"/>
      <w:r>
        <w:rPr>
          <w:rFonts w:hint="eastAsia"/>
        </w:rPr>
        <w:t>公共服务设施规划</w:t>
      </w:r>
      <w:bookmarkEnd w:id="1599"/>
      <w:bookmarkEnd w:id="1600"/>
      <w:bookmarkEnd w:id="1601"/>
    </w:p>
    <w:p w14:paraId="0F3942E3">
      <w:pPr>
        <w:ind w:firstLine="600"/>
        <w:jc w:val="both"/>
        <w:rPr>
          <w:b/>
          <w:color w:val="000000" w:themeColor="text1"/>
          <w14:textFill>
            <w14:solidFill>
              <w14:schemeClr w14:val="tx1"/>
            </w14:solidFill>
          </w14:textFill>
        </w:rPr>
      </w:pPr>
      <w:r>
        <w:rPr>
          <w:rFonts w:ascii="楷体_GB2312" w:eastAsia="楷体_GB2312"/>
          <w:color w:val="000000" w:themeColor="text1"/>
          <w14:textFill>
            <w14:solidFill>
              <w14:schemeClr w14:val="tx1"/>
            </w14:solidFill>
          </w14:textFill>
        </w:rPr>
        <w:t>文化用地</w:t>
      </w:r>
      <w:r>
        <w:rPr>
          <w:rFonts w:hint="eastAsia" w:ascii="楷体_GB2312" w:eastAsia="楷体_GB2312"/>
          <w:color w:val="000000" w:themeColor="text1"/>
          <w14:textFill>
            <w14:solidFill>
              <w14:schemeClr w14:val="tx1"/>
            </w14:solidFill>
          </w14:textFill>
        </w:rPr>
        <w:t>。</w:t>
      </w:r>
      <w:r>
        <w:rPr>
          <w:rFonts w:hint="eastAsia" w:ascii="Times New Roman" w:hAnsi="Times New Roman" w:cs="Times New Roman"/>
          <w:color w:val="000000" w:themeColor="text1"/>
          <w:szCs w:val="24"/>
          <w14:textFill>
            <w14:solidFill>
              <w14:schemeClr w14:val="tx1"/>
            </w14:solidFill>
          </w14:textFill>
        </w:rPr>
        <w:t>规划提升现状县文化馆、博物馆等县级设施服务品质，推动县级文化设施建设。规划新增县级国家公园博物馆、县科技馆等县级文化设施。合理布局各级文化设施，原则上在社区级</w:t>
      </w:r>
      <w:r>
        <w:rPr>
          <w:rFonts w:ascii="Times New Roman" w:hAnsi="Times New Roman" w:cs="Times New Roman"/>
          <w:color w:val="000000" w:themeColor="text1"/>
          <w:szCs w:val="24"/>
          <w14:textFill>
            <w14:solidFill>
              <w14:schemeClr w14:val="tx1"/>
            </w14:solidFill>
          </w14:textFill>
        </w:rPr>
        <w:t>15分钟生活圈内需配置1处社区级15分钟文化设施；在5</w:t>
      </w:r>
      <w:r>
        <w:rPr>
          <w:rFonts w:hint="eastAsia" w:ascii="仿宋_GB2312" w:hAnsi="Times New Roman" w:cs="Times New Roman"/>
          <w:color w:val="000000" w:themeColor="text1"/>
          <w:szCs w:val="24"/>
          <w14:textFill>
            <w14:solidFill>
              <w14:schemeClr w14:val="tx1"/>
            </w14:solidFill>
          </w14:textFill>
        </w:rPr>
        <w:t>-</w:t>
      </w:r>
      <w:r>
        <w:rPr>
          <w:rFonts w:ascii="Times New Roman" w:hAnsi="Times New Roman" w:cs="Times New Roman"/>
          <w:color w:val="000000" w:themeColor="text1"/>
          <w:szCs w:val="24"/>
          <w14:textFill>
            <w14:solidFill>
              <w14:schemeClr w14:val="tx1"/>
            </w14:solidFill>
          </w14:textFill>
        </w:rPr>
        <w:t>10分钟生活圈内需设置1处社区级5</w:t>
      </w:r>
      <w:r>
        <w:rPr>
          <w:rFonts w:hint="eastAsia" w:ascii="仿宋_GB2312" w:hAnsi="Times New Roman" w:cs="Times New Roman"/>
          <w:color w:val="000000" w:themeColor="text1"/>
          <w:szCs w:val="24"/>
          <w14:textFill>
            <w14:solidFill>
              <w14:schemeClr w14:val="tx1"/>
            </w14:solidFill>
          </w14:textFill>
        </w:rPr>
        <w:t>-</w:t>
      </w:r>
      <w:r>
        <w:rPr>
          <w:rFonts w:ascii="Times New Roman" w:hAnsi="Times New Roman" w:cs="Times New Roman"/>
          <w:color w:val="000000" w:themeColor="text1"/>
          <w:szCs w:val="24"/>
          <w14:textFill>
            <w14:solidFill>
              <w14:schemeClr w14:val="tx1"/>
            </w14:solidFill>
          </w14:textFill>
        </w:rPr>
        <w:t>10分钟文化设施。</w:t>
      </w:r>
    </w:p>
    <w:p w14:paraId="18198D50">
      <w:pPr>
        <w:ind w:firstLine="600"/>
        <w:jc w:val="both"/>
        <w:rPr>
          <w:rFonts w:ascii="Times New Roman" w:hAnsi="Times New Roman" w:cs="Times New Roman"/>
          <w:color w:val="000000" w:themeColor="text1"/>
          <w:szCs w:val="24"/>
          <w14:textFill>
            <w14:solidFill>
              <w14:schemeClr w14:val="tx1"/>
            </w14:solidFill>
          </w14:textFill>
        </w:rPr>
      </w:pPr>
      <w:r>
        <w:rPr>
          <w:rFonts w:ascii="楷体_GB2312" w:eastAsia="楷体_GB2312"/>
          <w:color w:val="000000" w:themeColor="text1"/>
          <w14:textFill>
            <w14:solidFill>
              <w14:schemeClr w14:val="tx1"/>
            </w14:solidFill>
          </w14:textFill>
        </w:rPr>
        <w:t>教育用地</w:t>
      </w:r>
      <w:r>
        <w:rPr>
          <w:rFonts w:hint="eastAsia" w:ascii="楷体_GB2312" w:eastAsia="楷体_GB2312"/>
          <w:color w:val="000000" w:themeColor="text1"/>
          <w14:textFill>
            <w14:solidFill>
              <w14:schemeClr w14:val="tx1"/>
            </w14:solidFill>
          </w14:textFill>
        </w:rPr>
        <w:t>。</w:t>
      </w:r>
      <w:r>
        <w:rPr>
          <w:rFonts w:ascii="Times New Roman" w:hAnsi="Times New Roman" w:cs="Times New Roman"/>
          <w:color w:val="000000" w:themeColor="text1"/>
          <w:szCs w:val="24"/>
          <w14:textFill>
            <w14:solidFill>
              <w14:schemeClr w14:val="tx1"/>
            </w14:solidFill>
          </w14:textFill>
        </w:rPr>
        <w:t>结合实际情况统筹学位供给，加强空间资源保障，完善校区配套设施建设。按15分钟生活圈及适龄人口规模配置小学、初中，促进义务教育资源均衡优质分布。新建丹霞山学校和新城学校，以促进教育资源均等化。</w:t>
      </w:r>
    </w:p>
    <w:p w14:paraId="285FF3B4">
      <w:pPr>
        <w:ind w:firstLine="600"/>
        <w:jc w:val="both"/>
        <w:rPr>
          <w:rFonts w:ascii="Times New Roman" w:hAnsi="Times New Roman" w:cs="Times New Roman"/>
          <w:color w:val="000000" w:themeColor="text1"/>
          <w:szCs w:val="24"/>
          <w14:textFill>
            <w14:solidFill>
              <w14:schemeClr w14:val="tx1"/>
            </w14:solidFill>
          </w14:textFill>
        </w:rPr>
      </w:pPr>
      <w:r>
        <w:rPr>
          <w:rFonts w:ascii="楷体_GB2312" w:eastAsia="楷体_GB2312"/>
          <w:color w:val="000000" w:themeColor="text1"/>
          <w14:textFill>
            <w14:solidFill>
              <w14:schemeClr w14:val="tx1"/>
            </w14:solidFill>
          </w14:textFill>
        </w:rPr>
        <w:t>医疗用地</w:t>
      </w:r>
      <w:r>
        <w:rPr>
          <w:rFonts w:hint="eastAsia" w:ascii="楷体_GB2312" w:eastAsia="楷体_GB2312"/>
          <w:color w:val="000000" w:themeColor="text1"/>
          <w14:textFill>
            <w14:solidFill>
              <w14:schemeClr w14:val="tx1"/>
            </w14:solidFill>
          </w14:textFill>
        </w:rPr>
        <w:t>。</w:t>
      </w:r>
      <w:r>
        <w:rPr>
          <w:rFonts w:ascii="Times New Roman" w:hAnsi="Times New Roman" w:cs="Times New Roman"/>
          <w:color w:val="000000" w:themeColor="text1"/>
          <w:szCs w:val="24"/>
          <w14:textFill>
            <w14:solidFill>
              <w14:schemeClr w14:val="tx1"/>
            </w14:solidFill>
          </w14:textFill>
        </w:rPr>
        <w:t>统筹规划不同区域、类型、层级的医疗机构布局，明确各级医疗卫生服务设施配置要求，推进中西医结合医院、迁建现代疾病预防控制中心等县级医疗卫生设施建设。完善基层医疗卫生机构布局，原则上在社区级15分钟生活圈内需配置1处社区卫生服务中心；在5</w:t>
      </w:r>
      <w:r>
        <w:rPr>
          <w:rFonts w:hint="eastAsia" w:ascii="仿宋_GB2312" w:hAnsi="Times New Roman" w:cs="Times New Roman"/>
          <w:color w:val="000000" w:themeColor="text1"/>
          <w:szCs w:val="24"/>
          <w14:textFill>
            <w14:solidFill>
              <w14:schemeClr w14:val="tx1"/>
            </w14:solidFill>
          </w14:textFill>
        </w:rPr>
        <w:t>-</w:t>
      </w:r>
      <w:r>
        <w:rPr>
          <w:rFonts w:ascii="Times New Roman" w:hAnsi="Times New Roman" w:cs="Times New Roman"/>
          <w:color w:val="000000" w:themeColor="text1"/>
          <w:szCs w:val="24"/>
          <w14:textFill>
            <w14:solidFill>
              <w14:schemeClr w14:val="tx1"/>
            </w14:solidFill>
          </w14:textFill>
        </w:rPr>
        <w:t>10分钟生活圈内需设置1处社区卫生服务站，优化提升各层级医疗卫生服务能力。</w:t>
      </w:r>
    </w:p>
    <w:p w14:paraId="08BFA7E5">
      <w:pPr>
        <w:ind w:firstLine="600"/>
        <w:jc w:val="both"/>
        <w:rPr>
          <w:rFonts w:ascii="Times New Roman" w:hAnsi="Times New Roman" w:cs="Times New Roman"/>
          <w:color w:val="000000" w:themeColor="text1"/>
          <w:szCs w:val="24"/>
          <w14:textFill>
            <w14:solidFill>
              <w14:schemeClr w14:val="tx1"/>
            </w14:solidFill>
          </w14:textFill>
        </w:rPr>
      </w:pPr>
      <w:r>
        <w:rPr>
          <w:rFonts w:ascii="楷体_GB2312" w:eastAsia="楷体_GB2312"/>
          <w:color w:val="000000" w:themeColor="text1"/>
          <w14:textFill>
            <w14:solidFill>
              <w14:schemeClr w14:val="tx1"/>
            </w14:solidFill>
          </w14:textFill>
        </w:rPr>
        <w:t>体育用地</w:t>
      </w:r>
      <w:r>
        <w:rPr>
          <w:rFonts w:hint="eastAsia" w:ascii="楷体_GB2312" w:eastAsia="楷体_GB2312"/>
          <w:color w:val="000000" w:themeColor="text1"/>
          <w14:textFill>
            <w14:solidFill>
              <w14:schemeClr w14:val="tx1"/>
            </w14:solidFill>
          </w14:textFill>
        </w:rPr>
        <w:t>。</w:t>
      </w:r>
      <w:r>
        <w:rPr>
          <w:rFonts w:ascii="Times New Roman" w:hAnsi="Times New Roman" w:cs="Times New Roman"/>
          <w:color w:val="000000" w:themeColor="text1"/>
          <w:szCs w:val="24"/>
          <w14:textFill>
            <w14:solidFill>
              <w14:schemeClr w14:val="tx1"/>
            </w14:solidFill>
          </w14:textFill>
        </w:rPr>
        <w:t>保障县级体育设施用地空间，促进县公共体育馆、公共游泳馆等场馆建设，新建1个以上体育公园、全民健身中心等健身场地设施，结合15分钟社区生活圈，统筹布局</w:t>
      </w:r>
      <w:r>
        <w:rPr>
          <w:rFonts w:hint="eastAsia" w:ascii="Times New Roman" w:hAnsi="Times New Roman" w:cs="Times New Roman"/>
          <w:color w:val="000000" w:themeColor="text1"/>
          <w:szCs w:val="24"/>
          <w14:textFill>
            <w14:solidFill>
              <w14:schemeClr w14:val="tx1"/>
            </w14:solidFill>
          </w14:textFill>
        </w:rPr>
        <w:t>社区体育综合体、社区体育公园、大型多功能运动场地、中型多功能运动场地等体育设施。结合</w:t>
      </w:r>
      <w:r>
        <w:rPr>
          <w:rFonts w:ascii="Times New Roman" w:hAnsi="Times New Roman" w:cs="Times New Roman"/>
          <w:color w:val="000000" w:themeColor="text1"/>
          <w:szCs w:val="24"/>
          <w14:textFill>
            <w14:solidFill>
              <w14:schemeClr w14:val="tx1"/>
            </w14:solidFill>
          </w14:textFill>
        </w:rPr>
        <w:t>5</w:t>
      </w:r>
      <w:r>
        <w:rPr>
          <w:rFonts w:hint="eastAsia" w:ascii="仿宋_GB2312" w:hAnsi="Times New Roman" w:cs="Times New Roman"/>
          <w:color w:val="000000" w:themeColor="text1"/>
          <w:szCs w:val="24"/>
          <w14:textFill>
            <w14:solidFill>
              <w14:schemeClr w14:val="tx1"/>
            </w14:solidFill>
          </w14:textFill>
        </w:rPr>
        <w:t>-</w:t>
      </w:r>
      <w:r>
        <w:rPr>
          <w:rFonts w:ascii="Times New Roman" w:hAnsi="Times New Roman" w:cs="Times New Roman"/>
          <w:color w:val="000000" w:themeColor="text1"/>
          <w:szCs w:val="24"/>
          <w14:textFill>
            <w14:solidFill>
              <w14:schemeClr w14:val="tx1"/>
            </w14:solidFill>
          </w14:textFill>
        </w:rPr>
        <w:t>10分</w:t>
      </w:r>
      <w:r>
        <w:rPr>
          <w:rFonts w:hint="eastAsia" w:ascii="Times New Roman" w:hAnsi="Times New Roman" w:cs="Times New Roman"/>
          <w:color w:val="000000" w:themeColor="text1"/>
          <w:szCs w:val="24"/>
          <w14:textFill>
            <w14:solidFill>
              <w14:schemeClr w14:val="tx1"/>
            </w14:solidFill>
          </w14:textFill>
        </w:rPr>
        <w:t>钟社区生活圈，灵活布局小型多功能运动场地、室外综合健身场地、室内综合健身康体场地等体育设施。</w:t>
      </w:r>
      <w:r>
        <w:rPr>
          <w:rFonts w:ascii="Times New Roman" w:hAnsi="Times New Roman" w:cs="Times New Roman"/>
          <w:color w:val="000000" w:themeColor="text1"/>
          <w:szCs w:val="24"/>
          <w14:textFill>
            <w14:solidFill>
              <w14:schemeClr w14:val="tx1"/>
            </w14:solidFill>
          </w14:textFill>
        </w:rPr>
        <w:t>持续完善各级生活圈全民健身设施网络。弥补多类型体育设施空白，推动全县体育事业标准化发展。</w:t>
      </w:r>
    </w:p>
    <w:p w14:paraId="21ABAF2A">
      <w:pPr>
        <w:ind w:firstLine="600"/>
        <w:jc w:val="both"/>
        <w:rPr>
          <w:rFonts w:ascii="Times New Roman" w:hAnsi="Times New Roman" w:cs="Times New Roman"/>
          <w:color w:val="000000" w:themeColor="text1"/>
          <w:szCs w:val="24"/>
          <w14:textFill>
            <w14:solidFill>
              <w14:schemeClr w14:val="tx1"/>
            </w14:solidFill>
          </w14:textFill>
        </w:rPr>
      </w:pPr>
      <w:r>
        <w:rPr>
          <w:rFonts w:ascii="楷体_GB2312" w:eastAsia="楷体_GB2312"/>
          <w:color w:val="000000" w:themeColor="text1"/>
          <w14:textFill>
            <w14:solidFill>
              <w14:schemeClr w14:val="tx1"/>
            </w14:solidFill>
          </w14:textFill>
        </w:rPr>
        <w:t>社会福利用地</w:t>
      </w:r>
      <w:r>
        <w:rPr>
          <w:rFonts w:hint="eastAsia" w:ascii="楷体_GB2312" w:eastAsia="楷体_GB2312"/>
          <w:color w:val="000000" w:themeColor="text1"/>
          <w14:textFill>
            <w14:solidFill>
              <w14:schemeClr w14:val="tx1"/>
            </w14:solidFill>
          </w14:textFill>
        </w:rPr>
        <w:t>。</w:t>
      </w:r>
      <w:r>
        <w:rPr>
          <w:rFonts w:ascii="Times New Roman" w:hAnsi="Times New Roman" w:cs="Times New Roman"/>
          <w:color w:val="000000" w:themeColor="text1"/>
          <w:szCs w:val="24"/>
          <w14:textFill>
            <w14:solidFill>
              <w14:schemeClr w14:val="tx1"/>
            </w14:solidFill>
          </w14:textFill>
        </w:rPr>
        <w:t>顺应人口老龄化趋势和需求，发展以养老服务设施为主线，推动各类福利设施共建共享、服务融合。加强县级社会福利设施布局，</w:t>
      </w:r>
      <w:r>
        <w:rPr>
          <w:rFonts w:hint="eastAsia" w:ascii="Times New Roman" w:hAnsi="Times New Roman" w:cs="Times New Roman"/>
          <w:color w:val="000000" w:themeColor="text1"/>
          <w:szCs w:val="24"/>
          <w14:textFill>
            <w14:solidFill>
              <w14:schemeClr w14:val="tx1"/>
            </w14:solidFill>
          </w14:textFill>
        </w:rPr>
        <w:t>支撑</w:t>
      </w:r>
      <w:r>
        <w:rPr>
          <w:rFonts w:ascii="Times New Roman" w:hAnsi="Times New Roman" w:cs="Times New Roman"/>
          <w:color w:val="000000" w:themeColor="text1"/>
          <w:szCs w:val="24"/>
          <w14:textFill>
            <w14:solidFill>
              <w14:schemeClr w14:val="tx1"/>
            </w14:solidFill>
          </w14:textFill>
        </w:rPr>
        <w:t>县养老院、县老年养护院建设。对介助和介护老年人给予生活护理、餐饮服务、医疗保健、康复娱乐、心理疏导、临终关怀等综合服务。推动养老服务设施、残疾人服务设施与医疗设施临近设置、功能共享，结合15分钟生活圈合理布置综合为老服务中心；结合5</w:t>
      </w:r>
      <w:r>
        <w:rPr>
          <w:rFonts w:hint="eastAsia" w:ascii="仿宋_GB2312" w:hAnsi="Times New Roman" w:cs="Times New Roman"/>
          <w:color w:val="000000" w:themeColor="text1"/>
          <w:szCs w:val="24"/>
          <w14:textFill>
            <w14:solidFill>
              <w14:schemeClr w14:val="tx1"/>
            </w14:solidFill>
          </w14:textFill>
        </w:rPr>
        <w:t>-</w:t>
      </w:r>
      <w:r>
        <w:rPr>
          <w:rFonts w:ascii="Times New Roman" w:hAnsi="Times New Roman" w:cs="Times New Roman"/>
          <w:color w:val="000000" w:themeColor="text1"/>
          <w:szCs w:val="24"/>
          <w14:textFill>
            <w14:solidFill>
              <w14:schemeClr w14:val="tx1"/>
            </w14:solidFill>
          </w14:textFill>
        </w:rPr>
        <w:t>10分钟生活圈合理布设老年人日间照料中心、托老所。逐步建立起以居家养老为基础、社区养老为辅的</w:t>
      </w:r>
      <w:r>
        <w:rPr>
          <w:rFonts w:hint="eastAsia" w:ascii="Times New Roman" w:hAnsi="Times New Roman" w:cs="Times New Roman"/>
          <w:color w:val="000000" w:themeColor="text1"/>
          <w:szCs w:val="24"/>
          <w14:textFill>
            <w14:solidFill>
              <w14:schemeClr w14:val="tx1"/>
            </w14:solidFill>
          </w14:textFill>
        </w:rPr>
        <w:t>养老方式。</w:t>
      </w:r>
    </w:p>
    <w:p w14:paraId="5DE60A26">
      <w:pPr>
        <w:pStyle w:val="6"/>
        <w:spacing w:before="163" w:after="163"/>
        <w:rPr>
          <w:b/>
        </w:rPr>
      </w:pPr>
      <w:bookmarkStart w:id="1602" w:name="_Toc132305894"/>
      <w:bookmarkStart w:id="1603" w:name="_Toc141887999"/>
      <w:bookmarkStart w:id="1604" w:name="_Toc7183"/>
      <w:r>
        <w:rPr>
          <w:rFonts w:hint="eastAsia"/>
        </w:rPr>
        <w:t>划定社区生活圈</w:t>
      </w:r>
      <w:bookmarkEnd w:id="1602"/>
      <w:bookmarkEnd w:id="1603"/>
      <w:bookmarkEnd w:id="1604"/>
    </w:p>
    <w:p w14:paraId="154A773E">
      <w:pPr>
        <w:ind w:firstLine="600"/>
        <w:jc w:val="both"/>
        <w:rPr>
          <w:rFonts w:ascii="Times New Roman" w:hAnsi="Times New Roman" w:cs="Times New Roman"/>
          <w:color w:val="000000" w:themeColor="text1"/>
          <w:szCs w:val="24"/>
          <w14:textFill>
            <w14:solidFill>
              <w14:schemeClr w14:val="tx1"/>
            </w14:solidFill>
          </w14:textFill>
        </w:rPr>
      </w:pPr>
      <w:r>
        <w:rPr>
          <w:rFonts w:ascii="楷体_GB2312" w:eastAsia="楷体_GB2312"/>
          <w:color w:val="000000" w:themeColor="text1"/>
          <w14:textFill>
            <w14:solidFill>
              <w14:schemeClr w14:val="tx1"/>
            </w14:solidFill>
          </w14:textFill>
        </w:rPr>
        <w:t>划分两级社区生活圈</w:t>
      </w:r>
      <w:r>
        <w:rPr>
          <w:rFonts w:hint="eastAsia" w:ascii="楷体_GB2312" w:eastAsia="楷体_GB2312"/>
          <w:color w:val="000000" w:themeColor="text1"/>
          <w14:textFill>
            <w14:solidFill>
              <w14:schemeClr w14:val="tx1"/>
            </w14:solidFill>
          </w14:textFill>
        </w:rPr>
        <w:t>。</w:t>
      </w:r>
      <w:r>
        <w:rPr>
          <w:rFonts w:hint="eastAsia" w:ascii="Times New Roman" w:hAnsi="Times New Roman" w:cs="Times New Roman"/>
          <w:color w:val="000000" w:themeColor="text1"/>
          <w:szCs w:val="24"/>
          <w14:textFill>
            <w14:solidFill>
              <w14:schemeClr w14:val="tx1"/>
            </w14:solidFill>
          </w14:textFill>
        </w:rPr>
        <w:t>按</w:t>
      </w:r>
      <w:r>
        <w:rPr>
          <w:rFonts w:hint="eastAsia" w:ascii="仿宋_GB2312" w:hAnsi="Times New Roman" w:cs="Times New Roman"/>
          <w:color w:val="000000" w:themeColor="text1"/>
          <w:szCs w:val="24"/>
          <w14:textFill>
            <w14:solidFill>
              <w14:schemeClr w14:val="tx1"/>
            </w14:solidFill>
          </w14:textFill>
        </w:rPr>
        <w:t>“</w:t>
      </w:r>
      <w:r>
        <w:rPr>
          <w:rFonts w:ascii="Times New Roman" w:hAnsi="Times New Roman" w:cs="Times New Roman"/>
          <w:color w:val="000000" w:themeColor="text1"/>
          <w:szCs w:val="24"/>
          <w14:textFill>
            <w14:solidFill>
              <w14:schemeClr w14:val="tx1"/>
            </w14:solidFill>
          </w14:textFill>
        </w:rPr>
        <w:t>15分钟、5</w:t>
      </w:r>
      <w:r>
        <w:rPr>
          <w:rFonts w:hint="eastAsia" w:ascii="仿宋_GB2312" w:hAnsi="Times New Roman" w:cs="Times New Roman"/>
          <w:color w:val="000000" w:themeColor="text1"/>
          <w:szCs w:val="24"/>
          <w14:textFill>
            <w14:solidFill>
              <w14:schemeClr w14:val="tx1"/>
            </w14:solidFill>
          </w14:textFill>
        </w:rPr>
        <w:t>-</w:t>
      </w:r>
      <w:r>
        <w:rPr>
          <w:rFonts w:ascii="Times New Roman" w:hAnsi="Times New Roman" w:cs="Times New Roman"/>
          <w:color w:val="000000" w:themeColor="text1"/>
          <w:szCs w:val="24"/>
          <w14:textFill>
            <w14:solidFill>
              <w14:schemeClr w14:val="tx1"/>
            </w14:solidFill>
          </w14:textFill>
        </w:rPr>
        <w:t>10分钟</w:t>
      </w:r>
      <w:r>
        <w:rPr>
          <w:rFonts w:ascii="仿宋_GB2312" w:hAnsi="Times New Roman" w:cs="Times New Roman"/>
          <w:color w:val="000000" w:themeColor="text1"/>
          <w:szCs w:val="24"/>
          <w14:textFill>
            <w14:solidFill>
              <w14:schemeClr w14:val="tx1"/>
            </w14:solidFill>
          </w14:textFill>
        </w:rPr>
        <w:t>”</w:t>
      </w:r>
      <w:r>
        <w:rPr>
          <w:rFonts w:ascii="Times New Roman" w:hAnsi="Times New Roman" w:cs="Times New Roman"/>
          <w:color w:val="000000" w:themeColor="text1"/>
          <w:szCs w:val="24"/>
          <w14:textFill>
            <w14:solidFill>
              <w14:schemeClr w14:val="tx1"/>
            </w14:solidFill>
          </w14:textFill>
        </w:rPr>
        <w:t>两个社区生活圈层级，结合居民生活出行特点和实际需要，按照单处服务常住人口约5万</w:t>
      </w:r>
      <w:r>
        <w:rPr>
          <w:rFonts w:hint="eastAsia" w:ascii="仿宋_GB2312" w:hAnsi="Times New Roman" w:cs="Times New Roman"/>
          <w:color w:val="000000" w:themeColor="text1"/>
          <w:szCs w:val="24"/>
          <w14:textFill>
            <w14:solidFill>
              <w14:schemeClr w14:val="tx1"/>
            </w14:solidFill>
          </w14:textFill>
        </w:rPr>
        <w:t>-</w:t>
      </w:r>
      <w:r>
        <w:rPr>
          <w:rFonts w:ascii="Times New Roman" w:hAnsi="Times New Roman" w:cs="Times New Roman"/>
          <w:color w:val="000000" w:themeColor="text1"/>
          <w:szCs w:val="24"/>
          <w14:textFill>
            <w14:solidFill>
              <w14:schemeClr w14:val="tx1"/>
            </w14:solidFill>
          </w14:textFill>
        </w:rPr>
        <w:t>10万人的需求，划分2个15分钟社区生活圈。按照单处服务常住人口约0.5万</w:t>
      </w:r>
      <w:r>
        <w:rPr>
          <w:rFonts w:hint="eastAsia" w:ascii="仿宋_GB2312" w:hAnsi="Times New Roman" w:cs="Times New Roman"/>
          <w:color w:val="000000" w:themeColor="text1"/>
          <w:szCs w:val="24"/>
          <w14:textFill>
            <w14:solidFill>
              <w14:schemeClr w14:val="tx1"/>
            </w14:solidFill>
          </w14:textFill>
        </w:rPr>
        <w:t>-</w:t>
      </w:r>
      <w:r>
        <w:rPr>
          <w:rFonts w:ascii="Times New Roman" w:hAnsi="Times New Roman" w:cs="Times New Roman"/>
          <w:color w:val="000000" w:themeColor="text1"/>
          <w:szCs w:val="24"/>
          <w14:textFill>
            <w14:solidFill>
              <w14:schemeClr w14:val="tx1"/>
            </w14:solidFill>
          </w14:textFill>
        </w:rPr>
        <w:t>2.5万人的需求，划分8个5</w:t>
      </w:r>
      <w:r>
        <w:rPr>
          <w:rFonts w:hint="eastAsia" w:ascii="仿宋_GB2312" w:hAnsi="Times New Roman" w:cs="Times New Roman"/>
          <w:color w:val="000000" w:themeColor="text1"/>
          <w:szCs w:val="24"/>
          <w14:textFill>
            <w14:solidFill>
              <w14:schemeClr w14:val="tx1"/>
            </w14:solidFill>
          </w14:textFill>
        </w:rPr>
        <w:t>-</w:t>
      </w:r>
      <w:r>
        <w:rPr>
          <w:rFonts w:ascii="Times New Roman" w:hAnsi="Times New Roman" w:cs="Times New Roman"/>
          <w:color w:val="000000" w:themeColor="text1"/>
          <w:szCs w:val="24"/>
          <w14:textFill>
            <w14:solidFill>
              <w14:schemeClr w14:val="tx1"/>
            </w14:solidFill>
          </w14:textFill>
        </w:rPr>
        <w:t>10分钟社区生活圈。</w:t>
      </w:r>
    </w:p>
    <w:p w14:paraId="1F63E67E">
      <w:pPr>
        <w:pStyle w:val="20"/>
        <w:ind w:firstLine="600"/>
        <w:jc w:val="both"/>
        <w:rPr>
          <w:rFonts w:ascii="Times New Roman" w:hAnsi="Times New Roman" w:cs="Times New Roman"/>
          <w:color w:val="000000" w:themeColor="text1"/>
          <w:szCs w:val="24"/>
          <w14:textFill>
            <w14:solidFill>
              <w14:schemeClr w14:val="tx1"/>
            </w14:solidFill>
          </w14:textFill>
        </w:rPr>
      </w:pPr>
      <w:r>
        <w:rPr>
          <w:rFonts w:ascii="楷体_GB2312" w:eastAsia="楷体_GB2312"/>
          <w:color w:val="000000" w:themeColor="text1"/>
          <w14:textFill>
            <w14:solidFill>
              <w14:schemeClr w14:val="tx1"/>
            </w14:solidFill>
          </w14:textFill>
        </w:rPr>
        <w:t>差异化引导社区生活圈配套</w:t>
      </w:r>
      <w:r>
        <w:rPr>
          <w:rFonts w:hint="eastAsia" w:ascii="楷体_GB2312" w:eastAsia="楷体_GB2312"/>
          <w:color w:val="000000" w:themeColor="text1"/>
          <w14:textFill>
            <w14:solidFill>
              <w14:schemeClr w14:val="tx1"/>
            </w14:solidFill>
          </w14:textFill>
        </w:rPr>
        <w:t>。</w:t>
      </w:r>
      <w:r>
        <w:rPr>
          <w:rFonts w:hint="eastAsia" w:ascii="Times New Roman" w:hAnsi="Times New Roman" w:cs="Times New Roman"/>
          <w:color w:val="000000" w:themeColor="text1"/>
          <w:szCs w:val="24"/>
          <w14:textFill>
            <w14:solidFill>
              <w14:schemeClr w14:val="tx1"/>
            </w14:solidFill>
          </w14:textFill>
        </w:rPr>
        <w:t>综合考虑片区功能、人口密度、管理单元三个维度，划分</w:t>
      </w:r>
      <w:r>
        <w:rPr>
          <w:rFonts w:hint="eastAsia" w:ascii="仿宋_GB2312" w:hAnsi="Times New Roman" w:cs="Times New Roman"/>
          <w:color w:val="000000" w:themeColor="text1"/>
          <w:szCs w:val="24"/>
          <w14:textFill>
            <w14:solidFill>
              <w14:schemeClr w14:val="tx1"/>
            </w14:solidFill>
          </w14:textFill>
        </w:rPr>
        <w:t>“</w:t>
      </w:r>
      <w:r>
        <w:rPr>
          <w:rFonts w:hint="eastAsia" w:ascii="Times New Roman" w:hAnsi="Times New Roman" w:cs="Times New Roman"/>
          <w:color w:val="000000" w:themeColor="text1"/>
          <w:szCs w:val="24"/>
          <w14:textFill>
            <w14:solidFill>
              <w14:schemeClr w14:val="tx1"/>
            </w14:solidFill>
          </w14:textFill>
        </w:rPr>
        <w:t>老城完善型、新城新建型、旅游服务型</w:t>
      </w:r>
      <w:r>
        <w:rPr>
          <w:rFonts w:hint="eastAsia" w:ascii="仿宋_GB2312" w:hAnsi="Times New Roman" w:cs="Times New Roman"/>
          <w:color w:val="000000" w:themeColor="text1"/>
          <w:szCs w:val="24"/>
          <w14:textFill>
            <w14:solidFill>
              <w14:schemeClr w14:val="tx1"/>
            </w14:solidFill>
          </w14:textFill>
        </w:rPr>
        <w:t>”</w:t>
      </w:r>
      <w:r>
        <w:rPr>
          <w:rFonts w:hint="eastAsia" w:ascii="Times New Roman" w:hAnsi="Times New Roman" w:cs="Times New Roman"/>
          <w:color w:val="000000" w:themeColor="text1"/>
          <w:szCs w:val="24"/>
          <w14:textFill>
            <w14:solidFill>
              <w14:schemeClr w14:val="tx1"/>
            </w14:solidFill>
          </w14:textFill>
        </w:rPr>
        <w:t>三类社区生活圈空间。对各类生活圈差异化配套设施。</w:t>
      </w:r>
    </w:p>
    <w:p w14:paraId="6F8878F0">
      <w:pPr>
        <w:pStyle w:val="5"/>
        <w:numPr>
          <w:ilvl w:val="1"/>
          <w:numId w:val="9"/>
        </w:numPr>
        <w:spacing w:before="163" w:after="163"/>
        <w:rPr>
          <w:b/>
        </w:rPr>
      </w:pPr>
      <w:bookmarkStart w:id="1605" w:name="_Toc167271404"/>
      <w:bookmarkStart w:id="1606" w:name="_Toc141888000"/>
      <w:bookmarkStart w:id="1607" w:name="_Toc24674"/>
      <w:bookmarkStart w:id="1608" w:name="_Toc132305895"/>
      <w:r>
        <w:rPr>
          <w:rFonts w:hint="eastAsia"/>
        </w:rPr>
        <w:t>城市绿地系统与开敞空间</w:t>
      </w:r>
      <w:bookmarkEnd w:id="1586"/>
      <w:bookmarkEnd w:id="1587"/>
      <w:bookmarkEnd w:id="1605"/>
      <w:bookmarkEnd w:id="1606"/>
      <w:bookmarkEnd w:id="1607"/>
      <w:bookmarkEnd w:id="1608"/>
    </w:p>
    <w:p w14:paraId="1A6EC837">
      <w:pPr>
        <w:pStyle w:val="6"/>
        <w:spacing w:before="163" w:after="163"/>
        <w:rPr>
          <w:b/>
        </w:rPr>
      </w:pPr>
      <w:bookmarkStart w:id="1609" w:name="_Toc132305897"/>
      <w:bookmarkStart w:id="1610" w:name="_Toc141888002"/>
      <w:bookmarkStart w:id="1611" w:name="_Toc20743"/>
      <w:bookmarkStart w:id="1612" w:name="_Hlk80622404"/>
      <w:bookmarkStart w:id="1613" w:name="_Toc88472406"/>
      <w:bookmarkStart w:id="1614" w:name="_Toc68625550"/>
      <w:bookmarkStart w:id="1615" w:name="_Toc68625549"/>
      <w:bookmarkStart w:id="1616" w:name="_Toc88472405"/>
      <w:r>
        <w:rPr>
          <w:rFonts w:hint="eastAsia"/>
        </w:rPr>
        <w:t>城市绿地系统结构</w:t>
      </w:r>
      <w:bookmarkEnd w:id="1609"/>
      <w:bookmarkEnd w:id="1610"/>
      <w:bookmarkEnd w:id="1611"/>
    </w:p>
    <w:p w14:paraId="1815DDC9">
      <w:pPr>
        <w:ind w:firstLine="6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构建</w:t>
      </w:r>
      <w:r>
        <w:rPr>
          <w:rFonts w:hint="eastAsia" w:ascii="仿宋_GB2312"/>
          <w:color w:val="000000" w:themeColor="text1"/>
          <w14:textFill>
            <w14:solidFill>
              <w14:schemeClr w14:val="tx1"/>
            </w14:solidFill>
          </w14:textFill>
        </w:rPr>
        <w:t>“</w:t>
      </w:r>
      <w:r>
        <w:rPr>
          <w:rFonts w:hint="eastAsia"/>
          <w:color w:val="000000" w:themeColor="text1"/>
          <w14:textFill>
            <w14:solidFill>
              <w14:schemeClr w14:val="tx1"/>
            </w14:solidFill>
          </w14:textFill>
        </w:rPr>
        <w:t>一廊四核多节点</w:t>
      </w:r>
      <w:r>
        <w:rPr>
          <w:rFonts w:hint="eastAsia" w:ascii="仿宋_GB2312"/>
          <w:color w:val="000000" w:themeColor="text1"/>
          <w14:textFill>
            <w14:solidFill>
              <w14:schemeClr w14:val="tx1"/>
            </w14:solidFill>
          </w14:textFill>
        </w:rPr>
        <w:t>”</w:t>
      </w:r>
      <w:r>
        <w:rPr>
          <w:rFonts w:hint="eastAsia"/>
          <w:color w:val="000000" w:themeColor="text1"/>
          <w14:textFill>
            <w14:solidFill>
              <w14:schemeClr w14:val="tx1"/>
            </w14:solidFill>
          </w14:textFill>
        </w:rPr>
        <w:t>的绿地系统结构，形成多层次、网络化的绿地系统，为生态系统提供良好的生态基底，为市民提供优质的活动休憩空间。</w:t>
      </w:r>
    </w:p>
    <w:p w14:paraId="4F45C1F0">
      <w:pPr>
        <w:ind w:firstLine="600"/>
        <w:jc w:val="both"/>
        <w:rPr>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“一廊”</w:t>
      </w:r>
      <w:r>
        <w:rPr>
          <w:rFonts w:hint="eastAsia"/>
          <w:color w:val="000000" w:themeColor="text1"/>
          <w14:textFill>
            <w14:solidFill>
              <w14:schemeClr w14:val="tx1"/>
            </w14:solidFill>
          </w14:textFill>
        </w:rPr>
        <w:t>指依托锦江及沿岸绿地的重要生态廊道，串联城区到郊区的绿地空间与活力空间；</w:t>
      </w:r>
    </w:p>
    <w:p w14:paraId="4F88200D">
      <w:pPr>
        <w:ind w:firstLine="600"/>
        <w:jc w:val="both"/>
        <w:rPr>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“四核”</w:t>
      </w:r>
      <w:r>
        <w:rPr>
          <w:rFonts w:hint="eastAsia"/>
          <w:color w:val="000000" w:themeColor="text1"/>
          <w14:textFill>
            <w14:solidFill>
              <w14:schemeClr w14:val="tx1"/>
            </w14:solidFill>
          </w14:textFill>
        </w:rPr>
        <w:t>指以城北公园、樟林公园、锦山公园、锦城公园为重要基质的生态景观核心；</w:t>
      </w:r>
    </w:p>
    <w:p w14:paraId="5C9732D9">
      <w:pPr>
        <w:ind w:firstLine="600"/>
        <w:jc w:val="both"/>
        <w:rPr>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“多节点”</w:t>
      </w:r>
      <w:r>
        <w:rPr>
          <w:rFonts w:hint="eastAsia"/>
          <w:color w:val="000000" w:themeColor="text1"/>
          <w14:textFill>
            <w14:solidFill>
              <w14:schemeClr w14:val="tx1"/>
            </w14:solidFill>
          </w14:textFill>
        </w:rPr>
        <w:t>指其他各类公园形成的生态景观节点，通过增加相关配套设施，</w:t>
      </w:r>
      <w:r>
        <w:rPr>
          <w:rFonts w:hint="eastAsia"/>
        </w:rPr>
        <w:t>完善公园绿地功能与品质</w:t>
      </w:r>
      <w:r>
        <w:rPr>
          <w:rFonts w:hint="eastAsia"/>
          <w:color w:val="000000" w:themeColor="text1"/>
          <w14:textFill>
            <w14:solidFill>
              <w14:schemeClr w14:val="tx1"/>
            </w14:solidFill>
          </w14:textFill>
        </w:rPr>
        <w:t>。</w:t>
      </w:r>
    </w:p>
    <w:p w14:paraId="08DBF682">
      <w:pPr>
        <w:ind w:firstLine="6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通过点状、环状、楔状、带状等绿化系统的规划空间布局，将滨江碧道、城市绿地、景观节点等要素有机结合，并与周边山林地、水域等联系起来，使之渗透到城区内。</w:t>
      </w:r>
    </w:p>
    <w:p w14:paraId="259D60B7">
      <w:pPr>
        <w:pStyle w:val="6"/>
        <w:spacing w:before="163" w:after="163"/>
      </w:pPr>
      <w:r>
        <w:t>城市绿地系统布局</w:t>
      </w:r>
    </w:p>
    <w:p w14:paraId="340A0712">
      <w:pPr>
        <w:ind w:firstLine="600"/>
      </w:pPr>
      <w:r>
        <w:rPr>
          <w:rFonts w:ascii="楷体_GB2312" w:eastAsia="楷体_GB2312" w:cs="仿宋_GB2312"/>
          <w:color w:val="000000"/>
          <w:kern w:val="0"/>
          <w:szCs w:val="30"/>
          <w:lang w:bidi="ar"/>
        </w:rPr>
        <w:t>公园绿地</w:t>
      </w:r>
      <w:r>
        <w:rPr>
          <w:rFonts w:hint="eastAsia" w:ascii="楷体_GB2312" w:eastAsia="楷体_GB2312" w:cs="仿宋_GB2312"/>
          <w:color w:val="000000"/>
          <w:kern w:val="0"/>
          <w:szCs w:val="30"/>
          <w:lang w:bidi="ar"/>
        </w:rPr>
        <w:t>。</w:t>
      </w:r>
      <w:r>
        <w:rPr>
          <w:rFonts w:hint="eastAsia"/>
          <w:color w:val="000000" w:themeColor="text1"/>
          <w14:textFill>
            <w14:solidFill>
              <w14:schemeClr w14:val="tx1"/>
            </w14:solidFill>
          </w14:textFill>
        </w:rPr>
        <w:t>构建</w:t>
      </w:r>
      <w:r>
        <w:rPr>
          <w:rFonts w:hint="eastAsia" w:ascii="仿宋_GB2312"/>
          <w:color w:val="000000" w:themeColor="text1"/>
          <w14:textFill>
            <w14:solidFill>
              <w14:schemeClr w14:val="tx1"/>
            </w14:solidFill>
          </w14:textFill>
        </w:rPr>
        <w:t>“</w:t>
      </w:r>
      <w:r>
        <w:rPr>
          <w:rFonts w:hint="eastAsia"/>
          <w:color w:val="000000" w:themeColor="text1"/>
          <w14:textFill>
            <w14:solidFill>
              <w14:schemeClr w14:val="tx1"/>
            </w14:solidFill>
          </w14:textFill>
        </w:rPr>
        <w:t>综合公园—社区公园—游园</w:t>
      </w:r>
      <w:r>
        <w:rPr>
          <w:rFonts w:hint="eastAsia" w:ascii="仿宋_GB2312"/>
          <w:color w:val="000000" w:themeColor="text1"/>
          <w14:textFill>
            <w14:solidFill>
              <w14:schemeClr w14:val="tx1"/>
            </w14:solidFill>
          </w14:textFill>
        </w:rPr>
        <w:t>”</w:t>
      </w:r>
      <w:r>
        <w:rPr>
          <w:rFonts w:hint="eastAsia"/>
          <w:color w:val="000000" w:themeColor="text1"/>
          <w14:textFill>
            <w14:solidFill>
              <w14:schemeClr w14:val="tx1"/>
            </w14:solidFill>
          </w14:textFill>
        </w:rPr>
        <w:t>三级公园体系。优化城市公园布局，结合现有绿地资源，综合考虑人口分布和生态资源情况，因地制宜布局综合公园</w:t>
      </w:r>
      <w:r>
        <w:rPr>
          <w:rFonts w:hint="eastAsia"/>
        </w:rPr>
        <w:t>。结合宜居社区布局，通过边角地整理、见缝插绿等方式，</w:t>
      </w:r>
      <w:r>
        <w:rPr>
          <w:rFonts w:hint="eastAsia"/>
          <w:color w:val="000000" w:themeColor="text1"/>
          <w14:textFill>
            <w14:solidFill>
              <w14:schemeClr w14:val="tx1"/>
            </w14:solidFill>
          </w14:textFill>
        </w:rPr>
        <w:t>布局</w:t>
      </w:r>
      <w:r>
        <w:rPr>
          <w:rFonts w:hint="eastAsia"/>
        </w:rPr>
        <w:t>社区公园。挖潜街头空闲地强化小游园建设，满足市民日常休闲、娱乐、健身需求。</w:t>
      </w:r>
    </w:p>
    <w:p w14:paraId="4DBF3B69">
      <w:pPr>
        <w:widowControl/>
        <w:ind w:firstLine="600"/>
        <w:rPr>
          <w:rFonts w:ascii="仿宋_GB2312" w:cs="仿宋_GB2312"/>
          <w:color w:val="000000"/>
          <w:kern w:val="0"/>
          <w:szCs w:val="30"/>
          <w:lang w:bidi="ar"/>
        </w:rPr>
      </w:pPr>
      <w:r>
        <w:rPr>
          <w:rFonts w:hint="eastAsia" w:ascii="楷体_GB2312" w:eastAsia="楷体_GB2312" w:cs="仿宋_GB2312"/>
          <w:color w:val="000000"/>
          <w:kern w:val="0"/>
          <w:szCs w:val="30"/>
          <w:lang w:bidi="ar"/>
        </w:rPr>
        <w:t>防护</w:t>
      </w:r>
      <w:r>
        <w:rPr>
          <w:rFonts w:ascii="楷体_GB2312" w:eastAsia="楷体_GB2312" w:cs="仿宋_GB2312"/>
          <w:color w:val="000000"/>
          <w:kern w:val="0"/>
          <w:szCs w:val="30"/>
          <w:lang w:bidi="ar"/>
        </w:rPr>
        <w:t>绿地</w:t>
      </w:r>
      <w:r>
        <w:rPr>
          <w:rFonts w:hint="eastAsia" w:ascii="楷体_GB2312" w:eastAsia="楷体_GB2312" w:cs="仿宋_GB2312"/>
          <w:color w:val="000000"/>
          <w:kern w:val="0"/>
          <w:szCs w:val="30"/>
          <w:lang w:bidi="ar"/>
        </w:rPr>
        <w:t>。</w:t>
      </w:r>
      <w:r>
        <w:rPr>
          <w:rFonts w:ascii="仿宋_GB2312" w:cs="仿宋_GB2312"/>
          <w:color w:val="000000"/>
          <w:kern w:val="0"/>
          <w:szCs w:val="30"/>
          <w:lang w:bidi="ar"/>
        </w:rPr>
        <w:t>工业区与居住区之间应根据地形</w:t>
      </w:r>
      <w:r>
        <w:rPr>
          <w:rFonts w:hint="eastAsia" w:ascii="仿宋_GB2312" w:cs="仿宋_GB2312"/>
          <w:color w:val="000000"/>
          <w:kern w:val="0"/>
          <w:szCs w:val="30"/>
          <w:lang w:bidi="ar"/>
        </w:rPr>
        <w:t>设置组团隔离绿带，绿带内除园林路、广场、园林建筑小品及管理建筑外，不得建设其他性质的建筑物和构筑物。规划工业用地及污水厂、变电站等邻避设施周围应根据相关规范要求设置防护隔离绿带。</w:t>
      </w:r>
    </w:p>
    <w:p w14:paraId="016DB341">
      <w:pPr>
        <w:widowControl/>
        <w:ind w:firstLine="600"/>
      </w:pPr>
      <w:r>
        <w:rPr>
          <w:rFonts w:hint="eastAsia" w:ascii="楷体_GB2312" w:eastAsia="楷体_GB2312" w:cs="仿宋_GB2312"/>
          <w:color w:val="000000"/>
          <w:kern w:val="0"/>
          <w:szCs w:val="30"/>
          <w:lang w:bidi="ar"/>
        </w:rPr>
        <w:t>广场用地。</w:t>
      </w:r>
      <w:r>
        <w:rPr>
          <w:rFonts w:hint="eastAsia" w:ascii="仿宋_GB2312" w:cs="仿宋_GB2312"/>
          <w:color w:val="000000"/>
          <w:kern w:val="0"/>
          <w:szCs w:val="30"/>
          <w:lang w:bidi="ar"/>
        </w:rPr>
        <w:t>规划广场</w:t>
      </w:r>
      <w:r>
        <w:rPr>
          <w:rFonts w:ascii="仿宋_GB2312" w:cs="仿宋_GB2312"/>
          <w:color w:val="000000"/>
          <w:kern w:val="0"/>
          <w:szCs w:val="30"/>
          <w:lang w:bidi="ar"/>
        </w:rPr>
        <w:t>主要位于</w:t>
      </w:r>
      <w:r>
        <w:rPr>
          <w:rFonts w:hint="eastAsia" w:ascii="仿宋_GB2312" w:cs="仿宋_GB2312"/>
          <w:color w:val="000000"/>
          <w:kern w:val="0"/>
          <w:szCs w:val="30"/>
          <w:lang w:bidi="ar"/>
        </w:rPr>
        <w:t>锦江</w:t>
      </w:r>
      <w:r>
        <w:rPr>
          <w:rFonts w:ascii="仿宋_GB2312" w:cs="仿宋_GB2312"/>
          <w:color w:val="000000"/>
          <w:kern w:val="0"/>
          <w:szCs w:val="30"/>
          <w:lang w:bidi="ar"/>
        </w:rPr>
        <w:t>沿岸区域</w:t>
      </w:r>
      <w:r>
        <w:rPr>
          <w:rFonts w:hint="eastAsia" w:ascii="仿宋_GB2312" w:cs="仿宋_GB2312"/>
          <w:color w:val="000000"/>
          <w:kern w:val="0"/>
          <w:szCs w:val="30"/>
          <w:lang w:bidi="ar"/>
        </w:rPr>
        <w:t>。</w:t>
      </w:r>
      <w:r>
        <w:rPr>
          <w:rFonts w:ascii="仿宋_GB2312" w:cs="仿宋_GB2312"/>
          <w:color w:val="000000"/>
          <w:kern w:val="0"/>
          <w:szCs w:val="30"/>
          <w:lang w:bidi="ar"/>
        </w:rPr>
        <w:t>广场</w:t>
      </w:r>
      <w:r>
        <w:rPr>
          <w:rFonts w:hint="eastAsia" w:ascii="仿宋_GB2312" w:cs="仿宋_GB2312"/>
          <w:color w:val="000000"/>
          <w:kern w:val="0"/>
          <w:szCs w:val="30"/>
          <w:lang w:bidi="ar"/>
        </w:rPr>
        <w:t>用地是以游憩、纪念、集会和避险等功能为主的城市公共活动场地，</w:t>
      </w:r>
      <w:r>
        <w:t>应从文化、景观上强化特色和主题，创造人性化尺度与休闲和谐的开敞景观空间</w:t>
      </w:r>
      <w:r>
        <w:rPr>
          <w:rFonts w:hint="eastAsia"/>
        </w:rPr>
        <w:t>。</w:t>
      </w:r>
    </w:p>
    <w:p w14:paraId="1700DE7F">
      <w:pPr>
        <w:pStyle w:val="6"/>
        <w:spacing w:before="163" w:after="163"/>
        <w:rPr>
          <w:b/>
        </w:rPr>
      </w:pPr>
      <w:bookmarkStart w:id="1617" w:name="_Toc145500076"/>
      <w:bookmarkEnd w:id="1617"/>
      <w:bookmarkStart w:id="1618" w:name="_Toc132305898"/>
      <w:bookmarkStart w:id="1619" w:name="_Toc141888003"/>
      <w:bookmarkStart w:id="1620" w:name="_Toc17001"/>
      <w:r>
        <w:rPr>
          <w:rFonts w:hint="eastAsia"/>
        </w:rPr>
        <w:t>开敞空间</w:t>
      </w:r>
      <w:bookmarkEnd w:id="1618"/>
      <w:bookmarkEnd w:id="1619"/>
      <w:bookmarkEnd w:id="1620"/>
      <w:r>
        <w:rPr>
          <w:rFonts w:hint="eastAsia"/>
        </w:rPr>
        <w:t>规划</w:t>
      </w:r>
    </w:p>
    <w:p w14:paraId="5C9B3BE5">
      <w:pPr>
        <w:widowControl/>
        <w:ind w:firstLine="600"/>
      </w:pPr>
      <w:r>
        <w:rPr>
          <w:rFonts w:ascii="仿宋_GB2312" w:cs="仿宋_GB2312"/>
          <w:color w:val="000000"/>
          <w:kern w:val="0"/>
          <w:szCs w:val="30"/>
          <w:lang w:bidi="ar"/>
        </w:rPr>
        <w:t>结合城市绿地系统与水体构建中心城区通风廊道</w:t>
      </w:r>
      <w:r>
        <w:rPr>
          <w:rFonts w:hint="eastAsia" w:ascii="仿宋_GB2312" w:cs="仿宋_GB2312"/>
          <w:color w:val="000000"/>
          <w:kern w:val="0"/>
          <w:szCs w:val="30"/>
          <w:lang w:bidi="ar"/>
        </w:rPr>
        <w:t>。构建并保护锦江</w:t>
      </w:r>
      <w:r>
        <w:rPr>
          <w:color w:val="000000" w:themeColor="text1"/>
          <w14:textFill>
            <w14:solidFill>
              <w14:schemeClr w14:val="tx1"/>
            </w14:solidFill>
          </w14:textFill>
        </w:rPr>
        <w:t>主</w:t>
      </w:r>
      <w:r>
        <w:rPr>
          <w:rFonts w:hint="eastAsia"/>
          <w:color w:val="000000" w:themeColor="text1"/>
          <w14:textFill>
            <w14:solidFill>
              <w14:schemeClr w14:val="tx1"/>
            </w14:solidFill>
          </w14:textFill>
        </w:rPr>
        <w:t>级</w:t>
      </w:r>
      <w:r>
        <w:rPr>
          <w:color w:val="000000" w:themeColor="text1"/>
          <w14:textFill>
            <w14:solidFill>
              <w14:schemeClr w14:val="tx1"/>
            </w14:solidFill>
          </w14:textFill>
        </w:rPr>
        <w:t>通风廊道</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工业大道</w:t>
      </w:r>
      <w:r>
        <w:rPr>
          <w:rFonts w:hint="eastAsia"/>
          <w:color w:val="000000" w:themeColor="text1"/>
          <w14:textFill>
            <w14:solidFill>
              <w14:schemeClr w14:val="tx1"/>
            </w14:solidFill>
          </w14:textFill>
        </w:rPr>
        <w:t>次级</w:t>
      </w:r>
      <w:r>
        <w:rPr>
          <w:color w:val="000000" w:themeColor="text1"/>
          <w14:textFill>
            <w14:solidFill>
              <w14:schemeClr w14:val="tx1"/>
            </w14:solidFill>
          </w14:textFill>
        </w:rPr>
        <w:t>通风廊道</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建设路</w:t>
      </w:r>
      <w:r>
        <w:rPr>
          <w:rFonts w:hint="eastAsia"/>
          <w:color w:val="000000" w:themeColor="text1"/>
          <w14:textFill>
            <w14:solidFill>
              <w14:schemeClr w14:val="tx1"/>
            </w14:solidFill>
          </w14:textFill>
        </w:rPr>
        <w:t>次级</w:t>
      </w:r>
      <w:r>
        <w:rPr>
          <w:color w:val="000000" w:themeColor="text1"/>
          <w14:textFill>
            <w14:solidFill>
              <w14:schemeClr w14:val="tx1"/>
            </w14:solidFill>
          </w14:textFill>
        </w:rPr>
        <w:t>通风廊道</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新东大街—丹霞大道</w:t>
      </w:r>
      <w:r>
        <w:rPr>
          <w:rFonts w:hint="eastAsia"/>
          <w:color w:val="000000" w:themeColor="text1"/>
          <w14:textFill>
            <w14:solidFill>
              <w14:schemeClr w14:val="tx1"/>
            </w14:solidFill>
          </w14:textFill>
        </w:rPr>
        <w:t>次级</w:t>
      </w:r>
      <w:r>
        <w:rPr>
          <w:color w:val="000000" w:themeColor="text1"/>
          <w14:textFill>
            <w14:solidFill>
              <w14:schemeClr w14:val="tx1"/>
            </w14:solidFill>
          </w14:textFill>
        </w:rPr>
        <w:t>通风廊道</w:t>
      </w:r>
      <w:r>
        <w:rPr>
          <w:rFonts w:hint="eastAsia"/>
          <w:color w:val="000000" w:themeColor="text1"/>
          <w14:textFill>
            <w14:solidFill>
              <w14:schemeClr w14:val="tx1"/>
            </w14:solidFill>
          </w14:textFill>
        </w:rPr>
        <w:t>、南部新城高速连接线次级</w:t>
      </w:r>
      <w:r>
        <w:rPr>
          <w:color w:val="000000" w:themeColor="text1"/>
          <w14:textFill>
            <w14:solidFill>
              <w14:schemeClr w14:val="tx1"/>
            </w14:solidFill>
          </w14:textFill>
        </w:rPr>
        <w:t>通风廊道</w:t>
      </w:r>
      <w:r>
        <w:rPr>
          <w:rFonts w:hint="eastAsia"/>
          <w:color w:val="000000" w:themeColor="text1"/>
          <w14:textFill>
            <w14:solidFill>
              <w14:schemeClr w14:val="tx1"/>
            </w14:solidFill>
          </w14:textFill>
        </w:rPr>
        <w:t>。</w:t>
      </w:r>
      <w:r>
        <w:rPr>
          <w:rFonts w:ascii="仿宋_GB2312" w:cs="仿宋_GB2312"/>
          <w:color w:val="000000"/>
          <w:kern w:val="0"/>
          <w:szCs w:val="30"/>
          <w:lang w:bidi="ar"/>
        </w:rPr>
        <w:t>加强对周边建筑控制</w:t>
      </w:r>
      <w:r>
        <w:rPr>
          <w:rFonts w:hint="eastAsia" w:ascii="仿宋_GB2312" w:cs="仿宋_GB2312"/>
          <w:color w:val="000000"/>
          <w:kern w:val="0"/>
          <w:szCs w:val="30"/>
          <w:lang w:bidi="ar"/>
        </w:rPr>
        <w:t>引导，避免对通风廊道造成阻挡，同时严格控制自然山体周边建筑密度、建筑高度，促进局部环流，形成利于通风与空气流通的空间环境。</w:t>
      </w:r>
    </w:p>
    <w:bookmarkEnd w:id="1612"/>
    <w:p w14:paraId="22163801">
      <w:pPr>
        <w:pStyle w:val="5"/>
        <w:numPr>
          <w:ilvl w:val="1"/>
          <w:numId w:val="5"/>
        </w:numPr>
        <w:spacing w:before="163" w:after="163"/>
        <w:rPr>
          <w:b/>
        </w:rPr>
      </w:pPr>
      <w:bookmarkStart w:id="1621" w:name="_Toc145500078"/>
      <w:bookmarkEnd w:id="1621"/>
      <w:bookmarkStart w:id="1622" w:name="_Toc145500079"/>
      <w:bookmarkEnd w:id="1622"/>
      <w:bookmarkStart w:id="1623" w:name="_Toc2291"/>
      <w:bookmarkStart w:id="1624" w:name="_Toc26220"/>
      <w:bookmarkStart w:id="1625" w:name="_Toc141888004"/>
      <w:bookmarkStart w:id="1626" w:name="_Toc9346"/>
      <w:bookmarkStart w:id="1627" w:name="_Toc132305899"/>
      <w:bookmarkStart w:id="1628" w:name="_Toc167271405"/>
      <w:r>
        <w:rPr>
          <w:rFonts w:hint="eastAsia"/>
        </w:rPr>
        <w:t>城市</w:t>
      </w:r>
      <w:bookmarkEnd w:id="1623"/>
      <w:bookmarkEnd w:id="1624"/>
      <w:bookmarkStart w:id="1629" w:name="_Toc68625548"/>
      <w:bookmarkStart w:id="1630" w:name="_Toc88472404"/>
      <w:r>
        <w:rPr>
          <w:rFonts w:hint="eastAsia"/>
        </w:rPr>
        <w:t>道路交通</w:t>
      </w:r>
      <w:bookmarkEnd w:id="1625"/>
      <w:bookmarkEnd w:id="1626"/>
      <w:bookmarkEnd w:id="1627"/>
      <w:bookmarkEnd w:id="1628"/>
    </w:p>
    <w:p w14:paraId="5D8DD564">
      <w:pPr>
        <w:pStyle w:val="6"/>
        <w:spacing w:before="163" w:after="163"/>
        <w:rPr>
          <w:b/>
        </w:rPr>
      </w:pPr>
      <w:r>
        <w:rPr>
          <w:rFonts w:hint="eastAsia"/>
        </w:rPr>
        <w:t>中心城区道路系统</w:t>
      </w:r>
    </w:p>
    <w:p w14:paraId="25A0AAFE">
      <w:pPr>
        <w:ind w:firstLine="600"/>
        <w:rPr>
          <w:color w:val="000000" w:themeColor="text1"/>
          <w14:textFill>
            <w14:solidFill>
              <w14:schemeClr w14:val="tx1"/>
            </w14:solidFill>
          </w14:textFill>
        </w:rPr>
      </w:pPr>
      <w:r>
        <w:rPr>
          <w:rFonts w:hint="eastAsia"/>
          <w:color w:val="000000" w:themeColor="text1"/>
          <w14:textFill>
            <w14:solidFill>
              <w14:schemeClr w14:val="tx1"/>
            </w14:solidFill>
          </w14:textFill>
        </w:rPr>
        <w:t>优化路网结构，提升城市品质。在现状道路基础上，规划构筑“四横三纵”的快捷、畅达的主干路网骨架，实现中心城区内部便捷联系，至</w:t>
      </w:r>
      <w:r>
        <w:rPr>
          <w:rFonts w:ascii="Times New Roman" w:hAnsi="Times New Roman" w:cs="Times New Roman"/>
          <w:color w:val="000000" w:themeColor="text1"/>
          <w14:textFill>
            <w14:solidFill>
              <w14:schemeClr w14:val="tx1"/>
            </w14:solidFill>
          </w14:textFill>
        </w:rPr>
        <w:t>2035</w:t>
      </w:r>
      <w:r>
        <w:rPr>
          <w:color w:val="000000" w:themeColor="text1"/>
          <w14:textFill>
            <w14:solidFill>
              <w14:schemeClr w14:val="tx1"/>
            </w14:solidFill>
          </w14:textFill>
        </w:rPr>
        <w:t>年，道路路网密度不低于</w:t>
      </w:r>
      <w:r>
        <w:rPr>
          <w:rFonts w:ascii="Times New Roman" w:hAnsi="Times New Roman" w:cs="Times New Roman"/>
          <w:color w:val="000000" w:themeColor="text1"/>
          <w14:textFill>
            <w14:solidFill>
              <w14:schemeClr w14:val="tx1"/>
            </w14:solidFill>
          </w14:textFill>
        </w:rPr>
        <w:t>8km/km²</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积极推进国道</w:t>
      </w:r>
      <w:r>
        <w:rPr>
          <w:rFonts w:ascii="Times New Roman" w:hAnsi="Times New Roman" w:cs="Times New Roman"/>
          <w:color w:val="000000" w:themeColor="text1"/>
          <w14:textFill>
            <w14:solidFill>
              <w14:schemeClr w14:val="tx1"/>
            </w14:solidFill>
          </w14:textFill>
        </w:rPr>
        <w:t>G535</w:t>
      </w:r>
      <w:r>
        <w:rPr>
          <w:color w:val="000000" w:themeColor="text1"/>
          <w14:textFill>
            <w14:solidFill>
              <w14:schemeClr w14:val="tx1"/>
            </w14:solidFill>
          </w14:textFill>
        </w:rPr>
        <w:t>线、国道</w:t>
      </w:r>
      <w:r>
        <w:rPr>
          <w:rFonts w:ascii="Times New Roman" w:hAnsi="Times New Roman" w:cs="Times New Roman"/>
          <w:color w:val="000000" w:themeColor="text1"/>
          <w14:textFill>
            <w14:solidFill>
              <w14:schemeClr w14:val="tx1"/>
            </w14:solidFill>
          </w14:textFill>
        </w:rPr>
        <w:t>G106</w:t>
      </w:r>
      <w:r>
        <w:rPr>
          <w:color w:val="000000" w:themeColor="text1"/>
          <w14:textFill>
            <w14:solidFill>
              <w14:schemeClr w14:val="tx1"/>
            </w14:solidFill>
          </w14:textFill>
        </w:rPr>
        <w:t>线改线工作，缓解公路过境穿城问题。</w:t>
      </w:r>
    </w:p>
    <w:tbl>
      <w:tblPr>
        <w:tblStyle w:val="37"/>
        <w:tblW w:w="48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3833"/>
        <w:gridCol w:w="4022"/>
      </w:tblGrid>
      <w:tr w14:paraId="46937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3"/>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589080E">
            <w:pPr>
              <w:ind w:firstLine="0" w:firstLineChars="0"/>
              <w:jc w:val="center"/>
              <w:rPr>
                <w:rFonts w:ascii="仿宋" w:hAnsi="仿宋" w:eastAsia="黑体" w:cs="Times New Roman"/>
                <w:bCs/>
                <w:color w:val="000000" w:themeColor="text1"/>
                <w:sz w:val="28"/>
                <w:szCs w:val="28"/>
                <w14:textFill>
                  <w14:solidFill>
                    <w14:schemeClr w14:val="tx1"/>
                  </w14:solidFill>
                </w14:textFill>
              </w:rPr>
            </w:pPr>
            <w:r>
              <w:rPr>
                <w:rFonts w:hint="eastAsia" w:ascii="黑体" w:hAnsi="黑体" w:eastAsia="黑体" w:cs="Times New Roman"/>
                <w:bCs/>
                <w:color w:val="000000" w:themeColor="text1"/>
                <w:szCs w:val="30"/>
                <w14:textFill>
                  <w14:solidFill>
                    <w14:schemeClr w14:val="tx1"/>
                  </w14:solidFill>
                </w14:textFill>
              </w:rPr>
              <w:t>专栏</w:t>
            </w:r>
            <w:r>
              <w:rPr>
                <w:rFonts w:ascii="Times New Roman" w:hAnsi="Times New Roman" w:eastAsia="黑体" w:cs="Times New Roman"/>
                <w:bCs/>
                <w:color w:val="000000" w:themeColor="text1"/>
                <w:szCs w:val="30"/>
                <w14:textFill>
                  <w14:solidFill>
                    <w14:schemeClr w14:val="tx1"/>
                  </w14:solidFill>
                </w14:textFill>
              </w:rPr>
              <w:t>12</w:t>
            </w:r>
            <w:r>
              <w:rPr>
                <w:rFonts w:ascii="Times New Roman" w:hAnsi="Times New Roman" w:cs="Times New Roman"/>
                <w:bCs/>
                <w:color w:val="000000" w:themeColor="text1"/>
                <w:szCs w:val="30"/>
                <w14:textFill>
                  <w14:solidFill>
                    <w14:schemeClr w14:val="tx1"/>
                  </w14:solidFill>
                </w14:textFill>
              </w:rPr>
              <w:t>-</w:t>
            </w:r>
            <w:r>
              <w:rPr>
                <w:rFonts w:ascii="Times New Roman" w:hAnsi="Times New Roman" w:eastAsia="黑体" w:cs="Times New Roman"/>
                <w:bCs/>
                <w:color w:val="000000" w:themeColor="text1"/>
                <w:szCs w:val="30"/>
                <w14:textFill>
                  <w14:solidFill>
                    <w14:schemeClr w14:val="tx1"/>
                  </w14:solidFill>
                </w14:textFill>
              </w:rPr>
              <w:t>2</w:t>
            </w:r>
            <w:r>
              <w:rPr>
                <w:rFonts w:hint="eastAsia" w:ascii="Times New Roman" w:hAnsi="Times New Roman" w:eastAsia="黑体" w:cs="Times New Roman"/>
                <w:bCs/>
                <w:color w:val="000000" w:themeColor="text1"/>
                <w:szCs w:val="30"/>
                <w14:textFill>
                  <w14:solidFill>
                    <w14:schemeClr w14:val="tx1"/>
                  </w14:solidFill>
                </w14:textFill>
              </w:rPr>
              <w:t>：</w:t>
            </w:r>
            <w:r>
              <w:rPr>
                <w:rFonts w:hint="eastAsia" w:ascii="黑体" w:hAnsi="黑体" w:eastAsia="黑体" w:cs="Times New Roman"/>
                <w:bCs/>
                <w:color w:val="000000" w:themeColor="text1"/>
                <w:szCs w:val="30"/>
                <w14:textFill>
                  <w14:solidFill>
                    <w14:schemeClr w14:val="tx1"/>
                  </w14:solidFill>
                </w14:textFill>
              </w:rPr>
              <w:t>中心城区“四横三纵”主干路网骨架</w:t>
            </w:r>
          </w:p>
        </w:tc>
      </w:tr>
      <w:tr w14:paraId="7E67E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37" w:type="pct"/>
            <w:tcBorders>
              <w:top w:val="single" w:color="auto" w:sz="4" w:space="0"/>
              <w:left w:val="single" w:color="auto" w:sz="4" w:space="0"/>
              <w:right w:val="single" w:color="auto" w:sz="4" w:space="0"/>
            </w:tcBorders>
            <w:shd w:val="clear" w:color="auto" w:fill="FFFFFF"/>
            <w:vAlign w:val="center"/>
          </w:tcPr>
          <w:p w14:paraId="29CE793C">
            <w:pPr>
              <w:ind w:firstLine="0" w:firstLineChars="0"/>
              <w:jc w:val="center"/>
              <w:rPr>
                <w:rFonts w:ascii="仿宋_GB2312" w:cs="宋体"/>
                <w:color w:val="000000"/>
                <w:kern w:val="0"/>
                <w:sz w:val="24"/>
                <w:szCs w:val="24"/>
              </w:rPr>
            </w:pPr>
          </w:p>
        </w:tc>
        <w:tc>
          <w:tcPr>
            <w:tcW w:w="2129" w:type="pct"/>
            <w:tcBorders>
              <w:top w:val="single" w:color="auto" w:sz="4" w:space="0"/>
              <w:left w:val="single" w:color="auto" w:sz="4" w:space="0"/>
              <w:bottom w:val="single" w:color="auto" w:sz="4" w:space="0"/>
              <w:right w:val="single" w:color="auto" w:sz="4" w:space="0"/>
            </w:tcBorders>
            <w:shd w:val="clear" w:color="auto" w:fill="FFFFFF"/>
            <w:vAlign w:val="center"/>
          </w:tcPr>
          <w:p w14:paraId="1C9EFE64">
            <w:pPr>
              <w:ind w:firstLine="0" w:firstLineChars="0"/>
              <w:jc w:val="center"/>
              <w:rPr>
                <w:rFonts w:ascii="仿宋_GB2312" w:cs="宋体"/>
                <w:color w:val="000000"/>
                <w:kern w:val="0"/>
                <w:sz w:val="24"/>
                <w:szCs w:val="24"/>
              </w:rPr>
            </w:pPr>
            <w:r>
              <w:rPr>
                <w:rFonts w:hint="eastAsia" w:ascii="仿宋_GB2312" w:cs="宋体"/>
                <w:color w:val="000000"/>
                <w:kern w:val="0"/>
                <w:sz w:val="24"/>
                <w:szCs w:val="24"/>
              </w:rPr>
              <w:t>道路名称</w:t>
            </w:r>
          </w:p>
        </w:tc>
        <w:tc>
          <w:tcPr>
            <w:tcW w:w="2233" w:type="pct"/>
            <w:tcBorders>
              <w:top w:val="single" w:color="auto" w:sz="4" w:space="0"/>
              <w:left w:val="single" w:color="auto" w:sz="4" w:space="0"/>
              <w:bottom w:val="single" w:color="auto" w:sz="4" w:space="0"/>
              <w:right w:val="single" w:color="auto" w:sz="4" w:space="0"/>
            </w:tcBorders>
            <w:shd w:val="clear" w:color="auto" w:fill="FFFFFF"/>
            <w:vAlign w:val="center"/>
          </w:tcPr>
          <w:p w14:paraId="3AB006BF">
            <w:pPr>
              <w:ind w:firstLine="0" w:firstLineChars="0"/>
              <w:jc w:val="center"/>
              <w:rPr>
                <w:rFonts w:ascii="仿宋_GB2312" w:cs="宋体"/>
                <w:color w:val="000000"/>
                <w:kern w:val="0"/>
                <w:sz w:val="24"/>
                <w:szCs w:val="24"/>
              </w:rPr>
            </w:pPr>
            <w:r>
              <w:rPr>
                <w:rFonts w:hint="eastAsia" w:ascii="仿宋_GB2312" w:cs="宋体"/>
                <w:color w:val="000000"/>
                <w:kern w:val="0"/>
                <w:sz w:val="24"/>
                <w:szCs w:val="24"/>
              </w:rPr>
              <w:t>红线宽度（米）</w:t>
            </w:r>
          </w:p>
        </w:tc>
      </w:tr>
      <w:tr w14:paraId="69024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37" w:type="pct"/>
            <w:vMerge w:val="restart"/>
            <w:tcBorders>
              <w:left w:val="single" w:color="auto" w:sz="4" w:space="0"/>
              <w:right w:val="single" w:color="auto" w:sz="4" w:space="0"/>
            </w:tcBorders>
            <w:vAlign w:val="center"/>
          </w:tcPr>
          <w:p w14:paraId="171970C1">
            <w:pPr>
              <w:ind w:firstLine="0" w:firstLineChars="0"/>
              <w:jc w:val="center"/>
              <w:rPr>
                <w:rFonts w:ascii="仿宋_GB2312" w:cs="宋体"/>
                <w:color w:val="000000"/>
                <w:kern w:val="0"/>
                <w:sz w:val="24"/>
                <w:szCs w:val="24"/>
              </w:rPr>
            </w:pPr>
            <w:r>
              <w:rPr>
                <w:rFonts w:hint="eastAsia" w:ascii="仿宋_GB2312" w:cs="宋体"/>
                <w:color w:val="000000"/>
                <w:kern w:val="0"/>
                <w:sz w:val="24"/>
                <w:szCs w:val="24"/>
              </w:rPr>
              <w:t>四横</w:t>
            </w:r>
          </w:p>
        </w:tc>
        <w:tc>
          <w:tcPr>
            <w:tcW w:w="2129" w:type="pct"/>
            <w:tcBorders>
              <w:top w:val="single" w:color="auto" w:sz="4" w:space="0"/>
              <w:left w:val="single" w:color="auto" w:sz="4" w:space="0"/>
              <w:bottom w:val="single" w:color="auto" w:sz="4" w:space="0"/>
              <w:right w:val="single" w:color="auto" w:sz="4" w:space="0"/>
            </w:tcBorders>
            <w:vAlign w:val="center"/>
          </w:tcPr>
          <w:p w14:paraId="3864A37F">
            <w:pPr>
              <w:ind w:firstLine="0" w:firstLineChars="0"/>
              <w:jc w:val="center"/>
              <w:rPr>
                <w:rFonts w:ascii="仿宋_GB2312" w:cs="宋体"/>
                <w:color w:val="000000"/>
                <w:kern w:val="0"/>
                <w:sz w:val="24"/>
                <w:szCs w:val="24"/>
              </w:rPr>
            </w:pPr>
            <w:r>
              <w:rPr>
                <w:rFonts w:ascii="Times New Roman" w:hAnsi="Times New Roman" w:cs="Times New Roman"/>
                <w:color w:val="000000"/>
                <w:kern w:val="0"/>
                <w:sz w:val="24"/>
                <w:szCs w:val="24"/>
              </w:rPr>
              <w:t>G535</w:t>
            </w:r>
            <w:r>
              <w:rPr>
                <w:rFonts w:hint="eastAsia" w:ascii="仿宋_GB2312" w:cs="宋体"/>
                <w:color w:val="000000"/>
                <w:kern w:val="0"/>
                <w:sz w:val="24"/>
                <w:szCs w:val="24"/>
              </w:rPr>
              <w:t>线（北环路）</w:t>
            </w:r>
          </w:p>
        </w:tc>
        <w:tc>
          <w:tcPr>
            <w:tcW w:w="2233" w:type="pct"/>
            <w:tcBorders>
              <w:top w:val="single" w:color="auto" w:sz="4" w:space="0"/>
              <w:left w:val="single" w:color="auto" w:sz="4" w:space="0"/>
              <w:bottom w:val="single" w:color="auto" w:sz="4" w:space="0"/>
              <w:right w:val="single" w:color="auto" w:sz="4" w:space="0"/>
            </w:tcBorders>
            <w:vAlign w:val="center"/>
          </w:tcPr>
          <w:p w14:paraId="02D7CBF6">
            <w:pPr>
              <w:ind w:firstLine="0" w:firstLineChars="0"/>
              <w:jc w:val="center"/>
              <w:rPr>
                <w:rFonts w:ascii="仿宋_GB2312" w:cs="宋体"/>
                <w:color w:val="000000"/>
                <w:kern w:val="0"/>
                <w:sz w:val="24"/>
                <w:szCs w:val="24"/>
              </w:rPr>
            </w:pPr>
            <w:r>
              <w:rPr>
                <w:rFonts w:ascii="Times New Roman" w:hAnsi="Times New Roman" w:cs="Times New Roman"/>
                <w:color w:val="000000"/>
                <w:kern w:val="0"/>
                <w:sz w:val="24"/>
                <w:szCs w:val="24"/>
              </w:rPr>
              <w:t>25</w:t>
            </w:r>
          </w:p>
        </w:tc>
      </w:tr>
      <w:tr w14:paraId="52E6B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37" w:type="pct"/>
            <w:vMerge w:val="continue"/>
            <w:tcBorders>
              <w:left w:val="single" w:color="auto" w:sz="4" w:space="0"/>
              <w:right w:val="single" w:color="auto" w:sz="4" w:space="0"/>
            </w:tcBorders>
            <w:vAlign w:val="center"/>
          </w:tcPr>
          <w:p w14:paraId="1F8DD3FC">
            <w:pPr>
              <w:ind w:firstLine="0" w:firstLineChars="0"/>
              <w:jc w:val="center"/>
              <w:rPr>
                <w:rFonts w:ascii="仿宋_GB2312" w:cs="宋体"/>
                <w:color w:val="000000"/>
                <w:kern w:val="0"/>
                <w:sz w:val="24"/>
                <w:szCs w:val="24"/>
              </w:rPr>
            </w:pPr>
          </w:p>
        </w:tc>
        <w:tc>
          <w:tcPr>
            <w:tcW w:w="2129" w:type="pct"/>
            <w:tcBorders>
              <w:top w:val="single" w:color="auto" w:sz="4" w:space="0"/>
              <w:left w:val="single" w:color="auto" w:sz="4" w:space="0"/>
              <w:bottom w:val="single" w:color="auto" w:sz="4" w:space="0"/>
              <w:right w:val="single" w:color="auto" w:sz="4" w:space="0"/>
            </w:tcBorders>
            <w:vAlign w:val="center"/>
          </w:tcPr>
          <w:p w14:paraId="55CD7E58">
            <w:pPr>
              <w:ind w:firstLine="0" w:firstLineChars="0"/>
              <w:jc w:val="center"/>
              <w:rPr>
                <w:rFonts w:ascii="仿宋_GB2312" w:cs="宋体"/>
                <w:color w:val="000000"/>
                <w:kern w:val="0"/>
                <w:sz w:val="24"/>
                <w:szCs w:val="24"/>
              </w:rPr>
            </w:pPr>
            <w:r>
              <w:rPr>
                <w:rFonts w:hint="eastAsia" w:ascii="仿宋_GB2312" w:cs="宋体"/>
                <w:color w:val="000000"/>
                <w:kern w:val="0"/>
                <w:sz w:val="24"/>
                <w:szCs w:val="24"/>
              </w:rPr>
              <w:t>建设路</w:t>
            </w:r>
          </w:p>
        </w:tc>
        <w:tc>
          <w:tcPr>
            <w:tcW w:w="2233" w:type="pct"/>
            <w:tcBorders>
              <w:top w:val="single" w:color="auto" w:sz="4" w:space="0"/>
              <w:left w:val="single" w:color="auto" w:sz="4" w:space="0"/>
              <w:bottom w:val="single" w:color="auto" w:sz="4" w:space="0"/>
              <w:right w:val="single" w:color="auto" w:sz="4" w:space="0"/>
            </w:tcBorders>
            <w:vAlign w:val="center"/>
          </w:tcPr>
          <w:p w14:paraId="35E35E9B">
            <w:pPr>
              <w:ind w:firstLine="0" w:firstLineChars="0"/>
              <w:jc w:val="center"/>
              <w:rPr>
                <w:rFonts w:ascii="仿宋_GB2312" w:cs="宋体"/>
                <w:color w:val="000000"/>
                <w:kern w:val="0"/>
                <w:sz w:val="24"/>
                <w:szCs w:val="24"/>
              </w:rPr>
            </w:pPr>
            <w:r>
              <w:rPr>
                <w:rFonts w:ascii="Times New Roman" w:hAnsi="Times New Roman" w:cs="Times New Roman"/>
                <w:color w:val="000000"/>
                <w:kern w:val="0"/>
                <w:sz w:val="24"/>
                <w:szCs w:val="24"/>
              </w:rPr>
              <w:t>24</w:t>
            </w:r>
            <w:r>
              <w:rPr>
                <w:rFonts w:hint="eastAsia" w:ascii="仿宋_GB2312" w:cs="宋体"/>
                <w:color w:val="000000"/>
                <w:kern w:val="0"/>
                <w:sz w:val="24"/>
                <w:szCs w:val="24"/>
              </w:rPr>
              <w:t>-</w:t>
            </w:r>
            <w:r>
              <w:rPr>
                <w:rFonts w:ascii="Times New Roman" w:hAnsi="Times New Roman" w:cs="Times New Roman"/>
                <w:color w:val="000000"/>
                <w:kern w:val="0"/>
                <w:sz w:val="24"/>
                <w:szCs w:val="24"/>
              </w:rPr>
              <w:t>30</w:t>
            </w:r>
          </w:p>
        </w:tc>
      </w:tr>
      <w:tr w14:paraId="36C0B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37" w:type="pct"/>
            <w:vMerge w:val="continue"/>
            <w:tcBorders>
              <w:left w:val="single" w:color="auto" w:sz="4" w:space="0"/>
              <w:right w:val="single" w:color="auto" w:sz="4" w:space="0"/>
            </w:tcBorders>
            <w:vAlign w:val="center"/>
          </w:tcPr>
          <w:p w14:paraId="62A126E7">
            <w:pPr>
              <w:ind w:firstLine="0" w:firstLineChars="0"/>
              <w:jc w:val="center"/>
              <w:rPr>
                <w:rFonts w:ascii="仿宋_GB2312" w:cs="宋体"/>
                <w:color w:val="000000"/>
                <w:kern w:val="0"/>
                <w:sz w:val="24"/>
                <w:szCs w:val="24"/>
              </w:rPr>
            </w:pPr>
          </w:p>
        </w:tc>
        <w:tc>
          <w:tcPr>
            <w:tcW w:w="2129" w:type="pct"/>
            <w:tcBorders>
              <w:top w:val="single" w:color="auto" w:sz="4" w:space="0"/>
              <w:left w:val="single" w:color="auto" w:sz="4" w:space="0"/>
              <w:bottom w:val="single" w:color="auto" w:sz="4" w:space="0"/>
              <w:right w:val="single" w:color="auto" w:sz="4" w:space="0"/>
            </w:tcBorders>
            <w:vAlign w:val="center"/>
          </w:tcPr>
          <w:p w14:paraId="66A78191">
            <w:pPr>
              <w:ind w:firstLine="0" w:firstLineChars="0"/>
              <w:jc w:val="center"/>
              <w:rPr>
                <w:rFonts w:ascii="仿宋_GB2312" w:cs="宋体"/>
                <w:color w:val="000000"/>
                <w:kern w:val="0"/>
                <w:sz w:val="24"/>
                <w:szCs w:val="24"/>
              </w:rPr>
            </w:pPr>
            <w:r>
              <w:rPr>
                <w:rFonts w:hint="eastAsia" w:ascii="仿宋_GB2312" w:cs="宋体"/>
                <w:color w:val="000000"/>
                <w:kern w:val="0"/>
                <w:sz w:val="24"/>
                <w:szCs w:val="24"/>
              </w:rPr>
              <w:t>锦霞大道—仁桥东路</w:t>
            </w:r>
          </w:p>
        </w:tc>
        <w:tc>
          <w:tcPr>
            <w:tcW w:w="2233" w:type="pct"/>
            <w:tcBorders>
              <w:top w:val="single" w:color="auto" w:sz="4" w:space="0"/>
              <w:left w:val="single" w:color="auto" w:sz="4" w:space="0"/>
              <w:bottom w:val="single" w:color="auto" w:sz="4" w:space="0"/>
              <w:right w:val="single" w:color="auto" w:sz="4" w:space="0"/>
            </w:tcBorders>
            <w:vAlign w:val="center"/>
          </w:tcPr>
          <w:p w14:paraId="07D95A38">
            <w:pPr>
              <w:ind w:firstLine="0" w:firstLineChars="0"/>
              <w:jc w:val="center"/>
              <w:rPr>
                <w:rFonts w:ascii="仿宋_GB2312" w:cs="宋体"/>
                <w:color w:val="000000"/>
                <w:kern w:val="0"/>
                <w:sz w:val="24"/>
                <w:szCs w:val="24"/>
              </w:rPr>
            </w:pPr>
            <w:r>
              <w:rPr>
                <w:rFonts w:hint="eastAsia" w:ascii="仿宋_GB2312" w:cs="宋体"/>
                <w:color w:val="000000"/>
                <w:kern w:val="0"/>
                <w:sz w:val="24"/>
                <w:szCs w:val="24"/>
              </w:rPr>
              <w:t>锦霞大道（</w:t>
            </w:r>
            <w:r>
              <w:rPr>
                <w:rFonts w:ascii="Times New Roman" w:hAnsi="Times New Roman" w:cs="Times New Roman"/>
                <w:color w:val="000000"/>
                <w:kern w:val="0"/>
                <w:sz w:val="24"/>
                <w:szCs w:val="24"/>
              </w:rPr>
              <w:t>36</w:t>
            </w:r>
            <w:r>
              <w:rPr>
                <w:rFonts w:hint="eastAsia" w:ascii="仿宋_GB2312" w:cs="宋体"/>
                <w:color w:val="000000"/>
                <w:kern w:val="0"/>
                <w:sz w:val="24"/>
                <w:szCs w:val="24"/>
              </w:rPr>
              <w:t>）、仁桥东路（</w:t>
            </w:r>
            <w:r>
              <w:rPr>
                <w:rFonts w:ascii="Times New Roman" w:hAnsi="Times New Roman" w:cs="Times New Roman"/>
                <w:color w:val="000000"/>
                <w:kern w:val="0"/>
                <w:sz w:val="24"/>
                <w:szCs w:val="24"/>
              </w:rPr>
              <w:t>20</w:t>
            </w:r>
            <w:r>
              <w:rPr>
                <w:rFonts w:hint="eastAsia" w:ascii="仿宋_GB2312" w:cs="宋体"/>
                <w:color w:val="000000"/>
                <w:kern w:val="0"/>
                <w:sz w:val="24"/>
                <w:szCs w:val="24"/>
              </w:rPr>
              <w:t>）</w:t>
            </w:r>
          </w:p>
        </w:tc>
      </w:tr>
      <w:tr w14:paraId="15BFD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37" w:type="pct"/>
            <w:vMerge w:val="continue"/>
            <w:tcBorders>
              <w:left w:val="single" w:color="auto" w:sz="4" w:space="0"/>
              <w:bottom w:val="single" w:color="auto" w:sz="4" w:space="0"/>
              <w:right w:val="single" w:color="auto" w:sz="4" w:space="0"/>
            </w:tcBorders>
            <w:vAlign w:val="center"/>
          </w:tcPr>
          <w:p w14:paraId="0AB328AD">
            <w:pPr>
              <w:ind w:firstLine="0" w:firstLineChars="0"/>
              <w:jc w:val="center"/>
              <w:rPr>
                <w:rFonts w:ascii="仿宋_GB2312" w:cs="宋体"/>
                <w:color w:val="000000"/>
                <w:kern w:val="0"/>
                <w:sz w:val="24"/>
                <w:szCs w:val="24"/>
              </w:rPr>
            </w:pPr>
          </w:p>
        </w:tc>
        <w:tc>
          <w:tcPr>
            <w:tcW w:w="2129" w:type="pct"/>
            <w:tcBorders>
              <w:top w:val="single" w:color="auto" w:sz="4" w:space="0"/>
              <w:left w:val="single" w:color="auto" w:sz="4" w:space="0"/>
              <w:bottom w:val="single" w:color="auto" w:sz="4" w:space="0"/>
              <w:right w:val="single" w:color="auto" w:sz="4" w:space="0"/>
            </w:tcBorders>
            <w:vAlign w:val="center"/>
          </w:tcPr>
          <w:p w14:paraId="1283DD4E">
            <w:pPr>
              <w:ind w:firstLine="0" w:firstLineChars="0"/>
              <w:jc w:val="center"/>
              <w:rPr>
                <w:rFonts w:ascii="仿宋_GB2312" w:cs="宋体"/>
                <w:color w:val="000000"/>
                <w:kern w:val="0"/>
                <w:sz w:val="24"/>
                <w:szCs w:val="24"/>
              </w:rPr>
            </w:pPr>
            <w:r>
              <w:rPr>
                <w:rFonts w:hint="eastAsia" w:ascii="仿宋_GB2312" w:cs="宋体"/>
                <w:color w:val="000000"/>
                <w:kern w:val="0"/>
                <w:sz w:val="24"/>
                <w:szCs w:val="24"/>
              </w:rPr>
              <w:t>武深高速连接线</w:t>
            </w:r>
          </w:p>
        </w:tc>
        <w:tc>
          <w:tcPr>
            <w:tcW w:w="2233" w:type="pct"/>
            <w:tcBorders>
              <w:top w:val="single" w:color="auto" w:sz="4" w:space="0"/>
              <w:left w:val="single" w:color="auto" w:sz="4" w:space="0"/>
              <w:bottom w:val="single" w:color="auto" w:sz="4" w:space="0"/>
              <w:right w:val="single" w:color="auto" w:sz="4" w:space="0"/>
            </w:tcBorders>
            <w:vAlign w:val="center"/>
          </w:tcPr>
          <w:p w14:paraId="7352E811">
            <w:pPr>
              <w:ind w:firstLine="0" w:firstLineChars="0"/>
              <w:jc w:val="center"/>
              <w:rPr>
                <w:rFonts w:ascii="仿宋_GB2312" w:cs="宋体"/>
                <w:color w:val="000000"/>
                <w:kern w:val="0"/>
                <w:sz w:val="24"/>
                <w:szCs w:val="24"/>
              </w:rPr>
            </w:pPr>
            <w:r>
              <w:rPr>
                <w:rFonts w:hint="eastAsia" w:ascii="仿宋_GB2312" w:cs="宋体"/>
                <w:color w:val="000000"/>
                <w:kern w:val="0"/>
                <w:sz w:val="24"/>
                <w:szCs w:val="24"/>
              </w:rPr>
              <w:t>武深高速连接线（</w:t>
            </w:r>
            <w:r>
              <w:rPr>
                <w:rFonts w:ascii="Times New Roman" w:hAnsi="Times New Roman" w:cs="Times New Roman"/>
                <w:color w:val="000000"/>
                <w:kern w:val="0"/>
                <w:sz w:val="24"/>
                <w:szCs w:val="24"/>
              </w:rPr>
              <w:t>30</w:t>
            </w:r>
            <w:r>
              <w:rPr>
                <w:rFonts w:hint="eastAsia" w:ascii="仿宋_GB2312" w:cs="宋体"/>
                <w:color w:val="000000"/>
                <w:kern w:val="0"/>
                <w:sz w:val="24"/>
                <w:szCs w:val="24"/>
              </w:rPr>
              <w:t>）</w:t>
            </w:r>
          </w:p>
        </w:tc>
      </w:tr>
      <w:tr w14:paraId="68845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37" w:type="pct"/>
            <w:vMerge w:val="restart"/>
            <w:tcBorders>
              <w:top w:val="single" w:color="auto" w:sz="4" w:space="0"/>
              <w:left w:val="single" w:color="auto" w:sz="4" w:space="0"/>
              <w:right w:val="single" w:color="auto" w:sz="4" w:space="0"/>
            </w:tcBorders>
            <w:vAlign w:val="center"/>
          </w:tcPr>
          <w:p w14:paraId="2B9166A0">
            <w:pPr>
              <w:ind w:firstLine="0" w:firstLineChars="0"/>
              <w:jc w:val="center"/>
              <w:rPr>
                <w:rFonts w:ascii="仿宋_GB2312" w:cs="宋体"/>
                <w:color w:val="000000"/>
                <w:kern w:val="0"/>
                <w:sz w:val="24"/>
                <w:szCs w:val="24"/>
              </w:rPr>
            </w:pPr>
            <w:r>
              <w:rPr>
                <w:rFonts w:hint="eastAsia" w:ascii="仿宋_GB2312" w:cs="宋体"/>
                <w:color w:val="000000"/>
                <w:kern w:val="0"/>
                <w:sz w:val="24"/>
                <w:szCs w:val="24"/>
              </w:rPr>
              <w:t>三纵</w:t>
            </w:r>
          </w:p>
        </w:tc>
        <w:tc>
          <w:tcPr>
            <w:tcW w:w="2129" w:type="pct"/>
            <w:tcBorders>
              <w:top w:val="single" w:color="auto" w:sz="4" w:space="0"/>
              <w:left w:val="single" w:color="auto" w:sz="4" w:space="0"/>
              <w:bottom w:val="single" w:color="auto" w:sz="4" w:space="0"/>
              <w:right w:val="single" w:color="auto" w:sz="4" w:space="0"/>
            </w:tcBorders>
            <w:vAlign w:val="center"/>
          </w:tcPr>
          <w:p w14:paraId="36989C1B">
            <w:pPr>
              <w:ind w:firstLine="0" w:firstLineChars="0"/>
              <w:jc w:val="center"/>
              <w:rPr>
                <w:rFonts w:ascii="仿宋_GB2312" w:cs="宋体"/>
                <w:color w:val="000000"/>
                <w:kern w:val="0"/>
                <w:sz w:val="24"/>
                <w:szCs w:val="24"/>
              </w:rPr>
            </w:pPr>
            <w:r>
              <w:rPr>
                <w:rFonts w:hint="eastAsia" w:ascii="仿宋_GB2312" w:cs="宋体"/>
                <w:color w:val="000000"/>
                <w:kern w:val="0"/>
                <w:sz w:val="24"/>
                <w:szCs w:val="24"/>
              </w:rPr>
              <w:t>工业大道</w:t>
            </w:r>
          </w:p>
        </w:tc>
        <w:tc>
          <w:tcPr>
            <w:tcW w:w="2233" w:type="pct"/>
            <w:tcBorders>
              <w:top w:val="single" w:color="auto" w:sz="4" w:space="0"/>
              <w:left w:val="single" w:color="auto" w:sz="4" w:space="0"/>
              <w:bottom w:val="single" w:color="auto" w:sz="4" w:space="0"/>
              <w:right w:val="single" w:color="auto" w:sz="4" w:space="0"/>
            </w:tcBorders>
            <w:vAlign w:val="center"/>
          </w:tcPr>
          <w:p w14:paraId="2693EA03">
            <w:pPr>
              <w:ind w:firstLine="0" w:firstLineChars="0"/>
              <w:jc w:val="center"/>
              <w:rPr>
                <w:rFonts w:ascii="仿宋_GB2312" w:cs="宋体"/>
                <w:color w:val="000000"/>
                <w:kern w:val="0"/>
                <w:sz w:val="24"/>
                <w:szCs w:val="24"/>
              </w:rPr>
            </w:pPr>
            <w:r>
              <w:rPr>
                <w:rFonts w:ascii="Times New Roman" w:hAnsi="Times New Roman" w:cs="Times New Roman"/>
                <w:color w:val="000000"/>
                <w:kern w:val="0"/>
                <w:sz w:val="24"/>
                <w:szCs w:val="24"/>
              </w:rPr>
              <w:t>30</w:t>
            </w:r>
          </w:p>
        </w:tc>
      </w:tr>
      <w:tr w14:paraId="33088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37" w:type="pct"/>
            <w:vMerge w:val="continue"/>
            <w:tcBorders>
              <w:left w:val="single" w:color="auto" w:sz="4" w:space="0"/>
              <w:right w:val="single" w:color="auto" w:sz="4" w:space="0"/>
            </w:tcBorders>
            <w:vAlign w:val="center"/>
          </w:tcPr>
          <w:p w14:paraId="5D90EEFC">
            <w:pPr>
              <w:ind w:firstLine="0" w:firstLineChars="0"/>
              <w:jc w:val="center"/>
              <w:rPr>
                <w:rFonts w:ascii="仿宋_GB2312" w:cs="宋体"/>
                <w:color w:val="000000"/>
                <w:kern w:val="0"/>
                <w:sz w:val="24"/>
                <w:szCs w:val="24"/>
              </w:rPr>
            </w:pPr>
          </w:p>
        </w:tc>
        <w:tc>
          <w:tcPr>
            <w:tcW w:w="2129" w:type="pct"/>
            <w:tcBorders>
              <w:top w:val="single" w:color="auto" w:sz="4" w:space="0"/>
              <w:left w:val="single" w:color="auto" w:sz="4" w:space="0"/>
              <w:bottom w:val="single" w:color="auto" w:sz="4" w:space="0"/>
              <w:right w:val="single" w:color="auto" w:sz="4" w:space="0"/>
            </w:tcBorders>
            <w:vAlign w:val="center"/>
          </w:tcPr>
          <w:p w14:paraId="66108717">
            <w:pPr>
              <w:ind w:firstLine="0" w:firstLineChars="0"/>
              <w:jc w:val="center"/>
              <w:rPr>
                <w:rFonts w:ascii="仿宋_GB2312" w:cs="宋体"/>
                <w:color w:val="000000"/>
                <w:kern w:val="0"/>
                <w:sz w:val="24"/>
                <w:szCs w:val="24"/>
              </w:rPr>
            </w:pPr>
            <w:r>
              <w:rPr>
                <w:rFonts w:hint="eastAsia" w:ascii="仿宋_GB2312" w:cs="宋体"/>
                <w:color w:val="000000"/>
                <w:kern w:val="0"/>
                <w:sz w:val="24"/>
                <w:szCs w:val="24"/>
              </w:rPr>
              <w:t>规划路—啸仙路</w:t>
            </w:r>
          </w:p>
        </w:tc>
        <w:tc>
          <w:tcPr>
            <w:tcW w:w="2233" w:type="pct"/>
            <w:tcBorders>
              <w:top w:val="single" w:color="auto" w:sz="4" w:space="0"/>
              <w:left w:val="single" w:color="auto" w:sz="4" w:space="0"/>
              <w:bottom w:val="single" w:color="auto" w:sz="4" w:space="0"/>
              <w:right w:val="single" w:color="auto" w:sz="4" w:space="0"/>
            </w:tcBorders>
            <w:vAlign w:val="center"/>
          </w:tcPr>
          <w:p w14:paraId="71214D65">
            <w:pPr>
              <w:ind w:firstLine="0" w:firstLineChars="0"/>
              <w:jc w:val="center"/>
              <w:rPr>
                <w:rFonts w:ascii="仿宋_GB2312" w:cs="宋体"/>
                <w:color w:val="000000"/>
                <w:kern w:val="0"/>
                <w:sz w:val="24"/>
                <w:szCs w:val="24"/>
              </w:rPr>
            </w:pPr>
            <w:r>
              <w:rPr>
                <w:rFonts w:hint="eastAsia" w:ascii="仿宋_GB2312" w:cs="宋体"/>
                <w:color w:val="000000"/>
                <w:kern w:val="0"/>
                <w:sz w:val="24"/>
                <w:szCs w:val="24"/>
              </w:rPr>
              <w:t>规划路（</w:t>
            </w:r>
            <w:r>
              <w:rPr>
                <w:rFonts w:ascii="Times New Roman" w:hAnsi="Times New Roman" w:cs="Times New Roman"/>
                <w:color w:val="000000"/>
                <w:kern w:val="0"/>
                <w:sz w:val="24"/>
                <w:szCs w:val="24"/>
              </w:rPr>
              <w:t>20</w:t>
            </w:r>
            <w:r>
              <w:rPr>
                <w:rFonts w:hint="eastAsia" w:ascii="仿宋_GB2312" w:cs="宋体"/>
                <w:color w:val="000000"/>
                <w:kern w:val="0"/>
                <w:sz w:val="24"/>
                <w:szCs w:val="24"/>
              </w:rPr>
              <w:t>）、啸仙路（</w:t>
            </w:r>
            <w:r>
              <w:rPr>
                <w:rFonts w:ascii="Times New Roman" w:hAnsi="Times New Roman" w:cs="Times New Roman"/>
                <w:color w:val="000000"/>
                <w:kern w:val="0"/>
                <w:sz w:val="24"/>
                <w:szCs w:val="24"/>
              </w:rPr>
              <w:t>30</w:t>
            </w:r>
            <w:r>
              <w:rPr>
                <w:rFonts w:hint="eastAsia" w:ascii="仿宋_GB2312" w:cs="宋体"/>
                <w:color w:val="000000"/>
                <w:kern w:val="0"/>
                <w:sz w:val="24"/>
                <w:szCs w:val="24"/>
              </w:rPr>
              <w:t>）</w:t>
            </w:r>
          </w:p>
        </w:tc>
      </w:tr>
      <w:tr w14:paraId="1AC40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37" w:type="pct"/>
            <w:vMerge w:val="continue"/>
            <w:tcBorders>
              <w:left w:val="single" w:color="auto" w:sz="4" w:space="0"/>
              <w:bottom w:val="single" w:color="auto" w:sz="4" w:space="0"/>
              <w:right w:val="single" w:color="auto" w:sz="4" w:space="0"/>
            </w:tcBorders>
            <w:vAlign w:val="center"/>
          </w:tcPr>
          <w:p w14:paraId="5B2631AD">
            <w:pPr>
              <w:ind w:firstLine="0" w:firstLineChars="0"/>
              <w:jc w:val="center"/>
              <w:rPr>
                <w:rFonts w:ascii="仿宋_GB2312" w:cs="宋体"/>
                <w:color w:val="000000"/>
                <w:kern w:val="0"/>
                <w:sz w:val="24"/>
                <w:szCs w:val="24"/>
              </w:rPr>
            </w:pPr>
          </w:p>
        </w:tc>
        <w:tc>
          <w:tcPr>
            <w:tcW w:w="2129" w:type="pct"/>
            <w:tcBorders>
              <w:top w:val="single" w:color="auto" w:sz="4" w:space="0"/>
              <w:left w:val="single" w:color="auto" w:sz="4" w:space="0"/>
              <w:bottom w:val="single" w:color="auto" w:sz="4" w:space="0"/>
              <w:right w:val="single" w:color="auto" w:sz="4" w:space="0"/>
            </w:tcBorders>
            <w:vAlign w:val="center"/>
          </w:tcPr>
          <w:p w14:paraId="781CD6BC">
            <w:pPr>
              <w:ind w:firstLine="0" w:firstLineChars="0"/>
              <w:jc w:val="center"/>
              <w:rPr>
                <w:rFonts w:ascii="仿宋_GB2312" w:cs="宋体"/>
                <w:color w:val="000000"/>
                <w:kern w:val="0"/>
                <w:sz w:val="24"/>
                <w:szCs w:val="24"/>
              </w:rPr>
            </w:pPr>
            <w:r>
              <w:rPr>
                <w:rFonts w:hint="eastAsia" w:ascii="仿宋_GB2312" w:cs="宋体"/>
                <w:color w:val="000000"/>
                <w:kern w:val="0"/>
                <w:sz w:val="24"/>
                <w:szCs w:val="24"/>
              </w:rPr>
              <w:t>新东大街—仁桥北路—仁桥南路-</w:t>
            </w:r>
            <w:r>
              <w:rPr>
                <w:rFonts w:ascii="仿宋_GB2312" w:cs="宋体"/>
                <w:color w:val="000000"/>
                <w:kern w:val="0"/>
                <w:sz w:val="24"/>
                <w:szCs w:val="24"/>
              </w:rPr>
              <w:t>丹霞大道</w:t>
            </w:r>
          </w:p>
        </w:tc>
        <w:tc>
          <w:tcPr>
            <w:tcW w:w="2233" w:type="pct"/>
            <w:tcBorders>
              <w:top w:val="single" w:color="auto" w:sz="4" w:space="0"/>
              <w:left w:val="single" w:color="auto" w:sz="4" w:space="0"/>
              <w:bottom w:val="single" w:color="auto" w:sz="4" w:space="0"/>
              <w:right w:val="single" w:color="auto" w:sz="4" w:space="0"/>
            </w:tcBorders>
            <w:vAlign w:val="center"/>
          </w:tcPr>
          <w:p w14:paraId="53F75A9C">
            <w:pPr>
              <w:ind w:firstLine="0" w:firstLineChars="0"/>
              <w:jc w:val="center"/>
              <w:rPr>
                <w:rFonts w:ascii="仿宋_GB2312" w:cs="宋体"/>
                <w:color w:val="000000"/>
                <w:kern w:val="0"/>
                <w:sz w:val="24"/>
                <w:szCs w:val="24"/>
              </w:rPr>
            </w:pPr>
            <w:r>
              <w:rPr>
                <w:rFonts w:hint="eastAsia" w:ascii="仿宋_GB2312" w:cs="宋体"/>
                <w:color w:val="000000"/>
                <w:kern w:val="0"/>
                <w:sz w:val="24"/>
                <w:szCs w:val="24"/>
              </w:rPr>
              <w:t>新东大街(</w:t>
            </w:r>
            <w:r>
              <w:rPr>
                <w:rFonts w:ascii="Times New Roman" w:hAnsi="Times New Roman" w:cs="Times New Roman"/>
                <w:color w:val="000000"/>
                <w:kern w:val="0"/>
                <w:sz w:val="24"/>
                <w:szCs w:val="24"/>
              </w:rPr>
              <w:t>20</w:t>
            </w:r>
            <w:r>
              <w:rPr>
                <w:rFonts w:hint="eastAsia" w:ascii="仿宋_GB2312" w:cs="宋体"/>
                <w:color w:val="000000"/>
                <w:kern w:val="0"/>
                <w:sz w:val="24"/>
                <w:szCs w:val="24"/>
              </w:rPr>
              <w:t>)、仁桥北路(</w:t>
            </w:r>
            <w:r>
              <w:rPr>
                <w:rFonts w:ascii="Times New Roman" w:hAnsi="Times New Roman" w:cs="Times New Roman"/>
                <w:color w:val="000000"/>
                <w:kern w:val="0"/>
                <w:sz w:val="24"/>
                <w:szCs w:val="24"/>
              </w:rPr>
              <w:t>20</w:t>
            </w:r>
            <w:r>
              <w:rPr>
                <w:rFonts w:hint="eastAsia" w:ascii="仿宋_GB2312" w:cs="宋体"/>
                <w:color w:val="000000"/>
                <w:kern w:val="0"/>
                <w:sz w:val="24"/>
                <w:szCs w:val="24"/>
              </w:rPr>
              <w:t>)、  仁桥南路(</w:t>
            </w:r>
            <w:r>
              <w:rPr>
                <w:rFonts w:ascii="Times New Roman" w:hAnsi="Times New Roman" w:cs="Times New Roman"/>
                <w:color w:val="000000"/>
                <w:kern w:val="0"/>
                <w:sz w:val="24"/>
                <w:szCs w:val="24"/>
              </w:rPr>
              <w:t>20</w:t>
            </w:r>
            <w:r>
              <w:rPr>
                <w:rFonts w:hint="eastAsia" w:ascii="仿宋_GB2312" w:cs="宋体"/>
                <w:color w:val="000000"/>
                <w:kern w:val="0"/>
                <w:sz w:val="24"/>
                <w:szCs w:val="24"/>
              </w:rPr>
              <w:t>)、丹霞大道(</w:t>
            </w:r>
            <w:r>
              <w:rPr>
                <w:rFonts w:ascii="Times New Roman" w:hAnsi="Times New Roman" w:cs="Times New Roman"/>
                <w:color w:val="000000"/>
                <w:kern w:val="0"/>
                <w:sz w:val="24"/>
                <w:szCs w:val="24"/>
              </w:rPr>
              <w:t>54</w:t>
            </w:r>
            <w:r>
              <w:rPr>
                <w:rFonts w:hint="eastAsia" w:ascii="仿宋_GB2312" w:cs="宋体"/>
                <w:color w:val="000000"/>
                <w:kern w:val="0"/>
                <w:sz w:val="24"/>
                <w:szCs w:val="24"/>
              </w:rPr>
              <w:t>)</w:t>
            </w:r>
          </w:p>
        </w:tc>
      </w:tr>
    </w:tbl>
    <w:p w14:paraId="19B2F52D">
      <w:pPr>
        <w:pStyle w:val="6"/>
        <w:spacing w:before="163" w:after="163"/>
        <w:rPr>
          <w:b/>
        </w:rPr>
      </w:pPr>
      <w:r>
        <w:rPr>
          <w:rFonts w:hint="eastAsia"/>
        </w:rPr>
        <w:t>城市公共交通</w:t>
      </w:r>
    </w:p>
    <w:p w14:paraId="6AA9682B">
      <w:pPr>
        <w:ind w:firstLine="6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落实公共交通设施用地及布局，加强公共交通基础设施建设，形成“以常规公交为基础，多方式协调利用、线路布局合理、衔接换乘方便的高品质公共交通客运体系”。城市公共车站服务区域，以</w:t>
      </w:r>
      <w:r>
        <w:rPr>
          <w:rFonts w:ascii="Times New Roman" w:hAnsi="Times New Roman" w:cs="Times New Roman"/>
          <w:color w:val="000000" w:themeColor="text1"/>
          <w14:textFill>
            <w14:solidFill>
              <w14:schemeClr w14:val="tx1"/>
            </w14:solidFill>
          </w14:textFill>
        </w:rPr>
        <w:t>300m</w:t>
      </w:r>
      <w:r>
        <w:rPr>
          <w:rFonts w:hint="eastAsia"/>
          <w:color w:val="000000" w:themeColor="text1"/>
          <w14:textFill>
            <w14:solidFill>
              <w14:schemeClr w14:val="tx1"/>
            </w14:solidFill>
          </w14:textFill>
        </w:rPr>
        <w:t>半径计算，不应小于规划城市建设用地面积的</w:t>
      </w:r>
      <w:r>
        <w:rPr>
          <w:rFonts w:ascii="Times New Roman" w:hAnsi="Times New Roman" w:cs="Times New Roman"/>
          <w:color w:val="000000" w:themeColor="text1"/>
          <w14:textFill>
            <w14:solidFill>
              <w14:schemeClr w14:val="tx1"/>
            </w14:solidFill>
          </w14:textFill>
        </w:rPr>
        <w:t>50%</w:t>
      </w:r>
      <w:r>
        <w:rPr>
          <w:rFonts w:hint="eastAsia"/>
          <w:color w:val="000000" w:themeColor="text1"/>
          <w14:textFill>
            <w14:solidFill>
              <w14:schemeClr w14:val="tx1"/>
            </w14:solidFill>
          </w14:textFill>
        </w:rPr>
        <w:t>；以</w:t>
      </w:r>
      <w:r>
        <w:rPr>
          <w:rFonts w:ascii="Times New Roman" w:hAnsi="Times New Roman" w:cs="Times New Roman"/>
          <w:color w:val="000000" w:themeColor="text1"/>
          <w14:textFill>
            <w14:solidFill>
              <w14:schemeClr w14:val="tx1"/>
            </w14:solidFill>
          </w14:textFill>
        </w:rPr>
        <w:t>500m</w:t>
      </w:r>
      <w:r>
        <w:rPr>
          <w:rFonts w:hint="eastAsia"/>
          <w:color w:val="000000" w:themeColor="text1"/>
          <w14:textFill>
            <w14:solidFill>
              <w14:schemeClr w14:val="tx1"/>
            </w14:solidFill>
          </w14:textFill>
        </w:rPr>
        <w:t>半径计算，不应小于</w:t>
      </w:r>
      <w:r>
        <w:rPr>
          <w:rFonts w:ascii="Times New Roman" w:hAnsi="Times New Roman" w:cs="Times New Roman"/>
          <w:color w:val="000000" w:themeColor="text1"/>
          <w14:textFill>
            <w14:solidFill>
              <w14:schemeClr w14:val="tx1"/>
            </w14:solidFill>
          </w14:textFill>
        </w:rPr>
        <w:t>90%</w:t>
      </w:r>
      <w:r>
        <w:rPr>
          <w:rFonts w:hint="eastAsia"/>
          <w:color w:val="000000" w:themeColor="text1"/>
          <w14:textFill>
            <w14:solidFill>
              <w14:schemeClr w14:val="tx1"/>
            </w14:solidFill>
          </w14:textFill>
        </w:rPr>
        <w:t>。</w:t>
      </w:r>
    </w:p>
    <w:p w14:paraId="05E3B621">
      <w:pPr>
        <w:pStyle w:val="6"/>
        <w:spacing w:before="163" w:after="163"/>
      </w:pPr>
      <w:r>
        <w:rPr>
          <w:rFonts w:hint="eastAsia"/>
          <w:color w:val="000000" w:themeColor="text1"/>
          <w14:textFill>
            <w14:solidFill>
              <w14:schemeClr w14:val="tx1"/>
            </w14:solidFill>
          </w14:textFill>
        </w:rPr>
        <w:t>城市停车规划</w:t>
      </w:r>
    </w:p>
    <w:p w14:paraId="53CD1D5B">
      <w:pPr>
        <w:pStyle w:val="20"/>
        <w:ind w:firstLine="600"/>
        <w:jc w:val="both"/>
      </w:pPr>
      <w:r>
        <w:rPr>
          <w:rFonts w:hint="eastAsia"/>
          <w:szCs w:val="28"/>
        </w:rPr>
        <w:t>综合利用城市土地资源和地下空间，确定各类机动车停车设施规划建设基本要求，重点针对老城区、旅游集散点等停车难地区，充分利用城市闲置地带、公共绿地及休闲广场等，加强停车设施建设 。制定相关的停车管理政策、经济政策、法规等措施引导停车场建设、管理、运营走向良性循环。公共建筑配建停车场、社会公共停车场、新建住宅配建停车位等各类停车场应充分预留电动充电桩设施建设条件，保障充电桩等配套设施规划建设。</w:t>
      </w:r>
    </w:p>
    <w:p w14:paraId="03B0262F">
      <w:pPr>
        <w:pStyle w:val="6"/>
        <w:spacing w:before="163" w:after="163"/>
        <w:rPr>
          <w:b/>
        </w:rPr>
      </w:pPr>
      <w:r>
        <w:rPr>
          <w:rFonts w:hint="eastAsia"/>
        </w:rPr>
        <w:t>慢行交通规划</w:t>
      </w:r>
    </w:p>
    <w:p w14:paraId="7C6BB756">
      <w:pPr>
        <w:ind w:firstLine="6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依托中心城区锦江水系和景观绿地，重点打造锦江慢行主廊道，通过城市慢行道串联城区各慢行节点，构筑便捷、安全、舒适的慢行系统。引导市民采用“公交</w:t>
      </w:r>
      <w:r>
        <w:rPr>
          <w:rFonts w:hint="eastAsia" w:ascii="仿宋_GB2312"/>
          <w:color w:val="000000" w:themeColor="text1"/>
          <w14:textFill>
            <w14:solidFill>
              <w14:schemeClr w14:val="tx1"/>
            </w14:solidFill>
          </w14:textFill>
        </w:rPr>
        <w:t>+</w:t>
      </w:r>
      <w:r>
        <w:rPr>
          <w:color w:val="000000" w:themeColor="text1"/>
          <w14:textFill>
            <w14:solidFill>
              <w14:schemeClr w14:val="tx1"/>
            </w14:solidFill>
          </w14:textFill>
        </w:rPr>
        <w:t>慢行”的出行方式</w:t>
      </w:r>
      <w:r>
        <w:rPr>
          <w:rFonts w:hint="eastAsia"/>
          <w:color w:val="000000" w:themeColor="text1"/>
          <w14:textFill>
            <w14:solidFill>
              <w14:schemeClr w14:val="tx1"/>
            </w14:solidFill>
          </w14:textFill>
        </w:rPr>
        <w:t>，</w:t>
      </w:r>
      <w:r>
        <w:rPr>
          <w:rFonts w:hint="eastAsia"/>
        </w:rPr>
        <w:t>到</w:t>
      </w:r>
      <w:r>
        <w:rPr>
          <w:rFonts w:ascii="Times New Roman" w:hAnsi="Times New Roman" w:cs="Times New Roman"/>
        </w:rPr>
        <w:t>2035</w:t>
      </w:r>
      <w:r>
        <w:t>年，中心城区绿色交通出行比例达到</w:t>
      </w:r>
      <w:r>
        <w:rPr>
          <w:rFonts w:ascii="Times New Roman" w:hAnsi="Times New Roman" w:cs="Times New Roman"/>
        </w:rPr>
        <w:t>70%</w:t>
      </w:r>
      <w:r>
        <w:rPr>
          <w:color w:val="000000" w:themeColor="text1"/>
          <w14:textFill>
            <w14:solidFill>
              <w14:schemeClr w14:val="tx1"/>
            </w14:solidFill>
          </w14:textFill>
        </w:rPr>
        <w:t>。全面完善慢行交通设施功能，</w:t>
      </w:r>
      <w:r>
        <w:rPr>
          <w:rFonts w:hint="eastAsia"/>
          <w:color w:val="000000" w:themeColor="text1"/>
          <w14:textFill>
            <w14:solidFill>
              <w14:schemeClr w14:val="tx1"/>
            </w14:solidFill>
          </w14:textFill>
        </w:rPr>
        <w:t>鼓励修建和预留主要的公共交通站点与商业及居住区的公共自行车租赁点和共享单车停车位，</w:t>
      </w:r>
      <w:r>
        <w:rPr>
          <w:color w:val="000000" w:themeColor="text1"/>
          <w14:textFill>
            <w14:solidFill>
              <w14:schemeClr w14:val="tx1"/>
            </w14:solidFill>
          </w14:textFill>
        </w:rPr>
        <w:t>改善通行条件和慢行环境。</w:t>
      </w:r>
    </w:p>
    <w:p w14:paraId="4A323C95">
      <w:pPr>
        <w:pStyle w:val="5"/>
        <w:numPr>
          <w:ilvl w:val="1"/>
          <w:numId w:val="5"/>
        </w:numPr>
        <w:spacing w:before="163" w:after="163"/>
        <w:rPr>
          <w:b/>
        </w:rPr>
      </w:pPr>
      <w:bookmarkStart w:id="1631" w:name="_Toc6455"/>
      <w:bookmarkStart w:id="1632" w:name="_Toc167271406"/>
      <w:bookmarkStart w:id="1633" w:name="_Toc132305904"/>
      <w:bookmarkStart w:id="1634" w:name="_Toc141888009"/>
      <w:r>
        <w:rPr>
          <w:rFonts w:hint="eastAsia"/>
        </w:rPr>
        <w:t>地下空间</w:t>
      </w:r>
      <w:bookmarkEnd w:id="1629"/>
      <w:bookmarkEnd w:id="1630"/>
      <w:r>
        <w:rPr>
          <w:rFonts w:hint="eastAsia"/>
        </w:rPr>
        <w:t>安排</w:t>
      </w:r>
      <w:bookmarkEnd w:id="1631"/>
      <w:bookmarkEnd w:id="1632"/>
      <w:bookmarkEnd w:id="1633"/>
      <w:bookmarkEnd w:id="1634"/>
    </w:p>
    <w:p w14:paraId="17A4B4D9">
      <w:pPr>
        <w:pStyle w:val="6"/>
        <w:spacing w:before="163" w:after="163"/>
        <w:rPr>
          <w:b/>
        </w:rPr>
      </w:pPr>
      <w:bookmarkStart w:id="1635" w:name="_Toc132305905"/>
      <w:bookmarkStart w:id="1636" w:name="_Toc4175"/>
      <w:bookmarkStart w:id="1637" w:name="_Toc141888010"/>
      <w:r>
        <w:rPr>
          <w:rFonts w:hint="eastAsia"/>
        </w:rPr>
        <w:t>推进地上地下空间开发利用</w:t>
      </w:r>
      <w:bookmarkEnd w:id="1635"/>
      <w:bookmarkEnd w:id="1636"/>
      <w:bookmarkEnd w:id="1637"/>
    </w:p>
    <w:p w14:paraId="56CB5DB3">
      <w:pPr>
        <w:ind w:firstLine="600"/>
        <w:jc w:val="both"/>
        <w:rPr>
          <w:color w:val="000000" w:themeColor="text1"/>
          <w14:textFill>
            <w14:solidFill>
              <w14:schemeClr w14:val="tx1"/>
            </w14:solidFill>
          </w14:textFill>
        </w:rPr>
      </w:pPr>
      <w:bookmarkStart w:id="1638" w:name="_Hlk80113827"/>
      <w:r>
        <w:rPr>
          <w:rFonts w:hint="eastAsia"/>
          <w:color w:val="000000" w:themeColor="text1"/>
          <w14:textFill>
            <w14:solidFill>
              <w14:schemeClr w14:val="tx1"/>
            </w14:solidFill>
          </w14:textFill>
        </w:rPr>
        <w:t>坚持地上地下相协调、统筹保护与开发、平战结合与平急结合的原则，基于地下空间地质环境质量评价，统筹安排地下空间。根据中心城区地面功能的需求，配套开发利用地下空间；城市地下空间的开发利用应与人防工程建设专项规划相衔接。通过对地下空间开发利用的引导，保证城市安全，与地上功能有机结合，形成利用集约、功能完善、管理科学的城市地下空间体系；至</w:t>
      </w:r>
      <w:r>
        <w:rPr>
          <w:rFonts w:ascii="Times New Roman" w:hAnsi="Times New Roman" w:cs="Times New Roman"/>
          <w:color w:val="000000" w:themeColor="text1"/>
          <w14:textFill>
            <w14:solidFill>
              <w14:schemeClr w14:val="tx1"/>
            </w14:solidFill>
          </w14:textFill>
        </w:rPr>
        <w:t>2035</w:t>
      </w:r>
      <w:r>
        <w:rPr>
          <w:color w:val="000000" w:themeColor="text1"/>
          <w14:textFill>
            <w14:solidFill>
              <w14:schemeClr w14:val="tx1"/>
            </w14:solidFill>
          </w14:textFill>
        </w:rPr>
        <w:t>年</w:t>
      </w:r>
      <w:r>
        <w:rPr>
          <w:rFonts w:hint="eastAsia"/>
          <w:color w:val="000000" w:themeColor="text1"/>
          <w14:textFill>
            <w14:solidFill>
              <w14:schemeClr w14:val="tx1"/>
            </w14:solidFill>
          </w14:textFill>
        </w:rPr>
        <w:t>，形成利用集约、功能完善、管理科学的城市地下空间体系</w:t>
      </w:r>
      <w:r>
        <w:rPr>
          <w:color w:val="000000" w:themeColor="text1"/>
          <w14:textFill>
            <w14:solidFill>
              <w14:schemeClr w14:val="tx1"/>
            </w14:solidFill>
          </w14:textFill>
        </w:rPr>
        <w:t>。</w:t>
      </w:r>
    </w:p>
    <w:bookmarkEnd w:id="1638"/>
    <w:p w14:paraId="562EF92F">
      <w:pPr>
        <w:pStyle w:val="6"/>
        <w:spacing w:before="163" w:after="163"/>
        <w:rPr>
          <w:b/>
        </w:rPr>
      </w:pPr>
      <w:bookmarkStart w:id="1639" w:name="_Toc141888011"/>
      <w:bookmarkStart w:id="1640" w:name="_Toc30138"/>
      <w:bookmarkStart w:id="1641" w:name="_Toc132305906"/>
      <w:r>
        <w:rPr>
          <w:rFonts w:hint="eastAsia"/>
        </w:rPr>
        <w:t>重点开发区域与空间管制</w:t>
      </w:r>
      <w:bookmarkEnd w:id="1639"/>
      <w:bookmarkEnd w:id="1640"/>
      <w:bookmarkEnd w:id="1641"/>
    </w:p>
    <w:p w14:paraId="0C05BE83">
      <w:pPr>
        <w:ind w:firstLine="6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中心城区的地下空间开发地段从开发利用空间管制划分为重点发展区和一般发展区两类。</w:t>
      </w:r>
    </w:p>
    <w:p w14:paraId="44A9B5BE">
      <w:pPr>
        <w:ind w:firstLine="6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重点发展区（位于城市公共活动相对频繁地区的地下空间）。区内首先满足公共空间需求，优先安排地下市政设施、地下交通设施、地下停车设施、公共通道等功能；其次以地面功能合理延伸为原则，主要发展为地面配套的地下停车、服务、交通集散等功能，商业开发规模应适量；开发模式以地块内为主，为通行顺畅，地块间应充分考虑公共步行空间的连接。</w:t>
      </w:r>
    </w:p>
    <w:p w14:paraId="6D4D9D34">
      <w:pPr>
        <w:ind w:firstLine="6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一般发展区（除重点发展区以外的其他区域的地下空间）。区内以配建功能、市政设施、人防设施为主，控制地下空间开发规模，不宜进行大型商业开发，按照相关标准及规划要求各自进行建设。</w:t>
      </w:r>
    </w:p>
    <w:p w14:paraId="1EDCE3DB">
      <w:pPr>
        <w:pStyle w:val="5"/>
        <w:numPr>
          <w:ilvl w:val="1"/>
          <w:numId w:val="5"/>
        </w:numPr>
        <w:spacing w:before="163" w:after="163"/>
        <w:rPr>
          <w:b/>
        </w:rPr>
      </w:pPr>
      <w:bookmarkStart w:id="1642" w:name="_Toc132049022"/>
      <w:bookmarkEnd w:id="1642"/>
      <w:bookmarkStart w:id="1643" w:name="_Toc132048247"/>
      <w:bookmarkEnd w:id="1643"/>
      <w:bookmarkStart w:id="1644" w:name="_Toc132119379"/>
      <w:bookmarkEnd w:id="1644"/>
      <w:bookmarkStart w:id="1645" w:name="_Toc167271407"/>
      <w:bookmarkStart w:id="1646" w:name="_Toc141888012"/>
      <w:bookmarkStart w:id="1647" w:name="_Toc132305907"/>
      <w:bookmarkStart w:id="1648" w:name="_Toc24982"/>
      <w:r>
        <w:rPr>
          <w:rFonts w:hint="eastAsia"/>
        </w:rPr>
        <w:t>城市基础设施与防灾减灾设施布局</w:t>
      </w:r>
      <w:bookmarkEnd w:id="1613"/>
      <w:bookmarkEnd w:id="1614"/>
      <w:bookmarkEnd w:id="1645"/>
      <w:bookmarkEnd w:id="1646"/>
      <w:bookmarkEnd w:id="1647"/>
      <w:bookmarkEnd w:id="1648"/>
    </w:p>
    <w:p w14:paraId="3283FABD">
      <w:pPr>
        <w:pStyle w:val="6"/>
        <w:spacing w:before="163" w:after="163"/>
        <w:rPr>
          <w:b/>
        </w:rPr>
      </w:pPr>
      <w:bookmarkStart w:id="1649" w:name="_Toc5406"/>
      <w:bookmarkStart w:id="1650" w:name="_Toc141888013"/>
      <w:bookmarkStart w:id="1651" w:name="_Toc132305908"/>
      <w:r>
        <w:rPr>
          <w:rFonts w:hint="eastAsia"/>
        </w:rPr>
        <w:t>给水工程规划</w:t>
      </w:r>
      <w:bookmarkEnd w:id="1649"/>
      <w:bookmarkEnd w:id="1650"/>
      <w:bookmarkEnd w:id="1651"/>
    </w:p>
    <w:p w14:paraId="341CB93C">
      <w:pPr>
        <w:ind w:firstLine="600"/>
        <w:jc w:val="both"/>
        <w:rPr>
          <w:color w:val="000000" w:themeColor="text1"/>
          <w14:textFill>
            <w14:solidFill>
              <w14:schemeClr w14:val="tx1"/>
            </w14:solidFill>
          </w14:textFill>
        </w:rPr>
      </w:pPr>
      <w:r>
        <w:rPr>
          <w:rFonts w:hint="eastAsia" w:hAnsi="Times New Roman"/>
          <w:color w:val="000000" w:themeColor="text1"/>
          <w:szCs w:val="28"/>
          <w14:textFill>
            <w14:solidFill>
              <w14:schemeClr w14:val="tx1"/>
            </w14:solidFill>
          </w14:textFill>
        </w:rPr>
        <w:t>至</w:t>
      </w:r>
      <w:r>
        <w:rPr>
          <w:rFonts w:ascii="Times New Roman" w:hAnsi="Times New Roman" w:cs="Times New Roman"/>
          <w:color w:val="000000" w:themeColor="text1"/>
          <w:szCs w:val="28"/>
          <w14:textFill>
            <w14:solidFill>
              <w14:schemeClr w14:val="tx1"/>
            </w14:solidFill>
          </w14:textFill>
        </w:rPr>
        <w:t>2035</w:t>
      </w:r>
      <w:r>
        <w:rPr>
          <w:rFonts w:hint="eastAsia" w:hAnsi="Times New Roman"/>
          <w:color w:val="000000" w:themeColor="text1"/>
          <w:szCs w:val="28"/>
          <w14:textFill>
            <w14:solidFill>
              <w14:schemeClr w14:val="tx1"/>
            </w14:solidFill>
          </w14:textFill>
        </w:rPr>
        <w:t>年，供水普及率达</w:t>
      </w:r>
      <w:r>
        <w:rPr>
          <w:rFonts w:ascii="Times New Roman" w:hAnsi="Times New Roman" w:cs="Times New Roman"/>
          <w:color w:val="000000" w:themeColor="text1"/>
          <w:szCs w:val="24"/>
          <w14:textFill>
            <w14:solidFill>
              <w14:schemeClr w14:val="tx1"/>
            </w14:solidFill>
          </w14:textFill>
        </w:rPr>
        <w:t>98%</w:t>
      </w:r>
      <w:r>
        <w:rPr>
          <w:rFonts w:hint="eastAsia" w:hAnsi="Times New Roman"/>
          <w:color w:val="000000" w:themeColor="text1"/>
          <w:szCs w:val="28"/>
          <w14:textFill>
            <w14:solidFill>
              <w14:schemeClr w14:val="tx1"/>
            </w14:solidFill>
          </w14:textFill>
        </w:rPr>
        <w:t>以上。</w:t>
      </w:r>
      <w:r>
        <w:rPr>
          <w:rFonts w:hint="eastAsia"/>
          <w:color w:val="000000" w:themeColor="text1"/>
          <w14:textFill>
            <w14:solidFill>
              <w14:schemeClr w14:val="tx1"/>
            </w14:solidFill>
          </w14:textFill>
        </w:rPr>
        <w:t>规划在现状水厂南侧进行扩建，以满足远期供水需求。</w:t>
      </w:r>
    </w:p>
    <w:p w14:paraId="1B99BC39">
      <w:pPr>
        <w:pStyle w:val="6"/>
        <w:spacing w:before="163" w:after="163"/>
        <w:rPr>
          <w:b/>
        </w:rPr>
      </w:pPr>
      <w:bookmarkStart w:id="1652" w:name="_Toc29410"/>
      <w:bookmarkStart w:id="1653" w:name="_Toc132305909"/>
      <w:bookmarkStart w:id="1654" w:name="_Toc141888014"/>
      <w:r>
        <w:t>污水工程规划</w:t>
      </w:r>
      <w:bookmarkEnd w:id="1652"/>
      <w:bookmarkEnd w:id="1653"/>
      <w:bookmarkEnd w:id="1654"/>
    </w:p>
    <w:p w14:paraId="3DF70101">
      <w:pPr>
        <w:ind w:firstLine="600"/>
        <w:jc w:val="both"/>
        <w:rPr>
          <w:color w:val="000000" w:themeColor="text1"/>
          <w14:textFill>
            <w14:solidFill>
              <w14:schemeClr w14:val="tx1"/>
            </w14:solidFill>
          </w14:textFill>
        </w:rPr>
      </w:pPr>
      <w:r>
        <w:rPr>
          <w:rFonts w:hint="eastAsia" w:hAnsi="Times New Roman"/>
          <w:bCs/>
          <w:color w:val="000000" w:themeColor="text1"/>
          <w:kern w:val="44"/>
          <w:szCs w:val="28"/>
          <w14:textFill>
            <w14:solidFill>
              <w14:schemeClr w14:val="tx1"/>
            </w14:solidFill>
          </w14:textFill>
        </w:rPr>
        <w:t>实现雨污分流，建立完善的污水收集处理系统。至规划期末，城镇生活污水处理率为</w:t>
      </w:r>
      <w:r>
        <w:rPr>
          <w:rFonts w:ascii="Times New Roman" w:hAnsi="Times New Roman" w:cs="Times New Roman"/>
          <w:color w:val="000000" w:themeColor="text1"/>
          <w:szCs w:val="24"/>
          <w14:textFill>
            <w14:solidFill>
              <w14:schemeClr w14:val="tx1"/>
            </w14:solidFill>
          </w14:textFill>
        </w:rPr>
        <w:t>100%</w:t>
      </w:r>
      <w:r>
        <w:rPr>
          <w:rFonts w:hint="eastAsia" w:hAnsi="Times New Roman"/>
          <w:bCs/>
          <w:color w:val="000000" w:themeColor="text1"/>
          <w:kern w:val="44"/>
          <w:szCs w:val="28"/>
          <w14:textFill>
            <w14:solidFill>
              <w14:schemeClr w14:val="tx1"/>
            </w14:solidFill>
          </w14:textFill>
        </w:rPr>
        <w:t>，确定县城污水处理总能力为</w:t>
      </w:r>
      <w:r>
        <w:rPr>
          <w:rFonts w:ascii="Times New Roman" w:hAnsi="Times New Roman" w:cs="Times New Roman"/>
          <w:bCs/>
          <w:color w:val="000000" w:themeColor="text1"/>
          <w:kern w:val="44"/>
          <w:szCs w:val="28"/>
          <w14:textFill>
            <w14:solidFill>
              <w14:schemeClr w14:val="tx1"/>
            </w14:solidFill>
          </w14:textFill>
        </w:rPr>
        <w:t>3.0</w:t>
      </w:r>
      <w:r>
        <w:rPr>
          <w:rFonts w:hAnsi="Times New Roman"/>
          <w:bCs/>
          <w:color w:val="000000" w:themeColor="text1"/>
          <w:kern w:val="44"/>
          <w:szCs w:val="28"/>
          <w14:textFill>
            <w14:solidFill>
              <w14:schemeClr w14:val="tx1"/>
            </w14:solidFill>
          </w14:textFill>
        </w:rPr>
        <w:t>万</w:t>
      </w:r>
      <w:r>
        <w:rPr>
          <w:rFonts w:hint="eastAsia" w:ascii="Times New Roman" w:hAnsi="Times New Roman" w:cs="Times New Roman"/>
          <w:bCs/>
          <w:color w:val="000000" w:themeColor="text1"/>
          <w:kern w:val="44"/>
          <w:szCs w:val="28"/>
          <w14:textFill>
            <w14:solidFill>
              <w14:schemeClr w14:val="tx1"/>
            </w14:solidFill>
          </w14:textFill>
        </w:rPr>
        <w:t>吨</w:t>
      </w:r>
      <w:r>
        <w:rPr>
          <w:rFonts w:hint="eastAsia" w:ascii="仿宋_GB2312" w:hAnsi="Times New Roman"/>
          <w:bCs/>
          <w:color w:val="000000" w:themeColor="text1"/>
          <w:kern w:val="44"/>
          <w:szCs w:val="28"/>
          <w14:textFill>
            <w14:solidFill>
              <w14:schemeClr w14:val="tx1"/>
            </w14:solidFill>
          </w14:textFill>
        </w:rPr>
        <w:t>/</w:t>
      </w:r>
      <w:r>
        <w:rPr>
          <w:rFonts w:hint="eastAsia" w:ascii="Times New Roman" w:hAnsi="Times New Roman" w:cs="Times New Roman"/>
          <w:bCs/>
          <w:color w:val="000000" w:themeColor="text1"/>
          <w:kern w:val="44"/>
          <w:szCs w:val="28"/>
          <w14:textFill>
            <w14:solidFill>
              <w14:schemeClr w14:val="tx1"/>
            </w14:solidFill>
          </w14:textFill>
        </w:rPr>
        <w:t>日</w:t>
      </w:r>
      <w:r>
        <w:rPr>
          <w:rFonts w:hint="eastAsia"/>
          <w:color w:val="000000" w:themeColor="text1"/>
          <w14:textFill>
            <w14:solidFill>
              <w14:schemeClr w14:val="tx1"/>
            </w14:solidFill>
          </w14:textFill>
        </w:rPr>
        <w:t>。</w:t>
      </w:r>
    </w:p>
    <w:p w14:paraId="3B609953">
      <w:pPr>
        <w:pStyle w:val="6"/>
        <w:spacing w:before="163" w:after="163"/>
        <w:rPr>
          <w:b/>
        </w:rPr>
      </w:pPr>
      <w:bookmarkStart w:id="1655" w:name="_Toc5997"/>
      <w:bookmarkStart w:id="1656" w:name="_Toc132305910"/>
      <w:bookmarkStart w:id="1657" w:name="_Toc141888015"/>
      <w:r>
        <w:rPr>
          <w:rFonts w:hint="eastAsia"/>
        </w:rPr>
        <w:t>雨水工程规划</w:t>
      </w:r>
      <w:bookmarkEnd w:id="1655"/>
      <w:bookmarkEnd w:id="1656"/>
      <w:bookmarkEnd w:id="1657"/>
    </w:p>
    <w:p w14:paraId="126EF6DB">
      <w:pPr>
        <w:ind w:firstLine="600"/>
        <w:jc w:val="both"/>
      </w:pPr>
      <w:r>
        <w:rPr>
          <w:rFonts w:hint="eastAsia"/>
          <w:color w:val="000000" w:themeColor="text1"/>
          <w14:textFill>
            <w14:solidFill>
              <w14:schemeClr w14:val="tx1"/>
            </w14:solidFill>
          </w14:textFill>
        </w:rPr>
        <w:t>统筹气象降雨、地表径流、管道系统、城市河道，兼顾防涝安全和雨天径流污染减控，协调基础设施建设和预警管控，提高排水管网排水能力，构建超标雨水应对系统，协调各系统功能和规划设计标准，基本建成与</w:t>
      </w:r>
      <w:r>
        <w:rPr>
          <w:rFonts w:hint="eastAsia" w:ascii="仿宋_GB2312"/>
          <w:color w:val="000000" w:themeColor="text1"/>
          <w14:textFill>
            <w14:solidFill>
              <w14:schemeClr w14:val="tx1"/>
            </w14:solidFill>
          </w14:textFill>
        </w:rPr>
        <w:t>“</w:t>
      </w:r>
      <w:r>
        <w:rPr>
          <w:rFonts w:hint="eastAsia"/>
          <w:color w:val="000000" w:themeColor="text1"/>
          <w14:textFill>
            <w14:solidFill>
              <w14:schemeClr w14:val="tx1"/>
            </w14:solidFill>
          </w14:textFill>
        </w:rPr>
        <w:t>山水城市</w:t>
      </w:r>
      <w:r>
        <w:rPr>
          <w:rFonts w:hint="eastAsia" w:ascii="仿宋_GB2312"/>
          <w:color w:val="000000" w:themeColor="text1"/>
          <w14:textFill>
            <w14:solidFill>
              <w14:schemeClr w14:val="tx1"/>
            </w14:solidFill>
          </w14:textFill>
        </w:rPr>
        <w:t>”</w:t>
      </w:r>
      <w:r>
        <w:rPr>
          <w:rFonts w:hint="eastAsia"/>
          <w:color w:val="000000" w:themeColor="text1"/>
          <w14:textFill>
            <w14:solidFill>
              <w14:schemeClr w14:val="tx1"/>
            </w14:solidFill>
          </w14:textFill>
        </w:rPr>
        <w:t>相适应的雨水防涝系统。</w:t>
      </w:r>
    </w:p>
    <w:p w14:paraId="0D8DE46C">
      <w:pPr>
        <w:ind w:firstLine="600"/>
      </w:pPr>
      <w:r>
        <w:rPr>
          <w:rFonts w:hint="eastAsia"/>
        </w:rPr>
        <w:t>推进海绵城市建设。结合气候地质条件、场地条件、经济技术、公众诉求等因素，灵活选取“渗、滞、蓄、净、用、排”等多种措施组合，增强雨水就地消纳和滞蓄能力。</w:t>
      </w:r>
    </w:p>
    <w:p w14:paraId="5F8EA74B">
      <w:pPr>
        <w:pStyle w:val="6"/>
        <w:spacing w:before="163" w:after="163"/>
        <w:rPr>
          <w:b/>
        </w:rPr>
      </w:pPr>
      <w:bookmarkStart w:id="1658" w:name="_Toc132305911"/>
      <w:bookmarkStart w:id="1659" w:name="_Toc15217"/>
      <w:bookmarkStart w:id="1660" w:name="_Toc141888016"/>
      <w:r>
        <w:rPr>
          <w:rFonts w:hint="eastAsia"/>
        </w:rPr>
        <w:t>燃气工程规划</w:t>
      </w:r>
      <w:bookmarkEnd w:id="1658"/>
      <w:bookmarkEnd w:id="1659"/>
      <w:bookmarkEnd w:id="1660"/>
    </w:p>
    <w:p w14:paraId="5137DB29">
      <w:pPr>
        <w:ind w:firstLine="6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至</w:t>
      </w:r>
      <w:r>
        <w:rPr>
          <w:rFonts w:ascii="Times New Roman" w:hAnsi="Times New Roman" w:cs="Times New Roman"/>
          <w:color w:val="000000" w:themeColor="text1"/>
          <w14:textFill>
            <w14:solidFill>
              <w14:schemeClr w14:val="tx1"/>
            </w14:solidFill>
          </w14:textFill>
        </w:rPr>
        <w:t>2035</w:t>
      </w:r>
      <w:r>
        <w:rPr>
          <w:rFonts w:hint="eastAsia"/>
          <w:color w:val="000000" w:themeColor="text1"/>
          <w14:textFill>
            <w14:solidFill>
              <w14:schemeClr w14:val="tx1"/>
            </w14:solidFill>
          </w14:textFill>
        </w:rPr>
        <w:t>年，中心城区气化率达</w:t>
      </w:r>
      <w:r>
        <w:rPr>
          <w:rFonts w:ascii="Times New Roman" w:hAnsi="Times New Roman" w:cs="Times New Roman"/>
          <w:color w:val="000000" w:themeColor="text1"/>
          <w14:textFill>
            <w14:solidFill>
              <w14:schemeClr w14:val="tx1"/>
            </w14:solidFill>
          </w14:textFill>
        </w:rPr>
        <w:t>95%</w:t>
      </w:r>
      <w:r>
        <w:rPr>
          <w:rFonts w:hint="eastAsia"/>
          <w:color w:val="000000" w:themeColor="text1"/>
          <w14:textFill>
            <w14:solidFill>
              <w14:schemeClr w14:val="tx1"/>
            </w14:solidFill>
          </w14:textFill>
        </w:rPr>
        <w:t>以上。</w:t>
      </w:r>
    </w:p>
    <w:p w14:paraId="2556ACAB">
      <w:pPr>
        <w:ind w:firstLine="600"/>
        <w:jc w:val="both"/>
        <w:rPr>
          <w:color w:val="000000" w:themeColor="text1"/>
          <w14:textFill>
            <w14:solidFill>
              <w14:schemeClr w14:val="tx1"/>
            </w14:solidFill>
          </w14:textFill>
        </w:rPr>
      </w:pPr>
      <w:r>
        <w:rPr>
          <w:color w:val="000000" w:themeColor="text1"/>
          <w14:textFill>
            <w14:solidFill>
              <w14:schemeClr w14:val="tx1"/>
            </w14:solidFill>
          </w14:textFill>
        </w:rPr>
        <w:t>新建次高压</w:t>
      </w:r>
      <w:r>
        <w:rPr>
          <w:rFonts w:hint="eastAsia" w:ascii="仿宋_GB2312"/>
          <w:color w:val="000000" w:themeColor="text1"/>
          <w14:textFill>
            <w14:solidFill>
              <w14:schemeClr w14:val="tx1"/>
            </w14:solidFill>
          </w14:textFill>
        </w:rPr>
        <w:t>-</w:t>
      </w:r>
      <w:r>
        <w:rPr>
          <w:color w:val="000000" w:themeColor="text1"/>
          <w14:textFill>
            <w14:solidFill>
              <w14:schemeClr w14:val="tx1"/>
            </w14:solidFill>
          </w14:textFill>
        </w:rPr>
        <w:t>中压调压站，以供县城用户用气。改扩建现有北门气化站，满足应急调峰需求。</w:t>
      </w:r>
    </w:p>
    <w:p w14:paraId="049F09B9">
      <w:pPr>
        <w:pStyle w:val="6"/>
        <w:spacing w:before="163" w:after="163"/>
        <w:rPr>
          <w:b/>
        </w:rPr>
      </w:pPr>
      <w:bookmarkStart w:id="1661" w:name="_Toc30951"/>
      <w:bookmarkStart w:id="1662" w:name="_Toc141888017"/>
      <w:bookmarkStart w:id="1663" w:name="_Toc132305912"/>
      <w:r>
        <w:rPr>
          <w:rFonts w:hint="eastAsia"/>
        </w:rPr>
        <w:t>电力工程规划</w:t>
      </w:r>
      <w:bookmarkEnd w:id="1661"/>
      <w:bookmarkEnd w:id="1662"/>
      <w:bookmarkEnd w:id="1663"/>
    </w:p>
    <w:p w14:paraId="1FF2FFA0">
      <w:pPr>
        <w:ind w:firstLine="6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完善电网网架结构，新增变电站布点，增强供电能力，提高供电可靠性，</w:t>
      </w:r>
      <w:r>
        <w:rPr>
          <w:color w:val="000000" w:themeColor="text1"/>
          <w14:textFill>
            <w14:solidFill>
              <w14:schemeClr w14:val="tx1"/>
            </w14:solidFill>
          </w14:textFill>
        </w:rPr>
        <w:t>规划保留</w:t>
      </w:r>
      <w:r>
        <w:rPr>
          <w:rFonts w:ascii="Times New Roman" w:hAnsi="Times New Roman" w:cs="Times New Roman"/>
          <w:color w:val="000000" w:themeColor="text1"/>
          <w14:textFill>
            <w14:solidFill>
              <w14:schemeClr w14:val="tx1"/>
            </w14:solidFill>
          </w14:textFill>
        </w:rPr>
        <w:t>2</w:t>
      </w:r>
      <w:r>
        <w:rPr>
          <w:color w:val="000000" w:themeColor="text1"/>
          <w14:textFill>
            <w14:solidFill>
              <w14:schemeClr w14:val="tx1"/>
            </w14:solidFill>
          </w14:textFill>
        </w:rPr>
        <w:t>座</w:t>
      </w:r>
      <w:r>
        <w:rPr>
          <w:rFonts w:ascii="Times New Roman" w:hAnsi="Times New Roman" w:cs="Times New Roman"/>
          <w:color w:val="000000" w:themeColor="text1"/>
          <w14:textFill>
            <w14:solidFill>
              <w14:schemeClr w14:val="tx1"/>
            </w14:solidFill>
          </w14:textFill>
        </w:rPr>
        <w:t>110kV</w:t>
      </w:r>
      <w:r>
        <w:rPr>
          <w:color w:val="000000" w:themeColor="text1"/>
          <w14:textFill>
            <w14:solidFill>
              <w14:schemeClr w14:val="tx1"/>
            </w14:solidFill>
          </w14:textFill>
        </w:rPr>
        <w:t>变电站，新增</w:t>
      </w:r>
      <w:r>
        <w:rPr>
          <w:rFonts w:ascii="Times New Roman" w:hAnsi="Times New Roman" w:cs="Times New Roman"/>
          <w:color w:val="000000" w:themeColor="text1"/>
          <w14:textFill>
            <w14:solidFill>
              <w14:schemeClr w14:val="tx1"/>
            </w14:solidFill>
          </w14:textFill>
        </w:rPr>
        <w:t>110kV</w:t>
      </w:r>
      <w:r>
        <w:rPr>
          <w:color w:val="000000" w:themeColor="text1"/>
          <w14:textFill>
            <w14:solidFill>
              <w14:schemeClr w14:val="tx1"/>
            </w14:solidFill>
          </w14:textFill>
        </w:rPr>
        <w:t>变电站</w:t>
      </w:r>
      <w:r>
        <w:rPr>
          <w:rFonts w:ascii="Times New Roman" w:hAnsi="Times New Roman" w:cs="Times New Roman"/>
          <w:color w:val="000000" w:themeColor="text1"/>
          <w14:textFill>
            <w14:solidFill>
              <w14:schemeClr w14:val="tx1"/>
            </w14:solidFill>
          </w14:textFill>
        </w:rPr>
        <w:t>2</w:t>
      </w:r>
      <w:r>
        <w:rPr>
          <w:color w:val="000000" w:themeColor="text1"/>
          <w14:textFill>
            <w14:solidFill>
              <w14:schemeClr w14:val="tx1"/>
            </w14:solidFill>
          </w14:textFill>
        </w:rPr>
        <w:t>座，原</w:t>
      </w:r>
      <w:r>
        <w:rPr>
          <w:rFonts w:ascii="Times New Roman" w:hAnsi="Times New Roman" w:cs="Times New Roman"/>
          <w:color w:val="000000" w:themeColor="text1"/>
          <w14:textFill>
            <w14:solidFill>
              <w14:schemeClr w14:val="tx1"/>
            </w14:solidFill>
          </w14:textFill>
        </w:rPr>
        <w:t>110kV</w:t>
      </w:r>
      <w:r>
        <w:rPr>
          <w:color w:val="000000" w:themeColor="text1"/>
          <w14:textFill>
            <w14:solidFill>
              <w14:schemeClr w14:val="tx1"/>
            </w14:solidFill>
          </w14:textFill>
        </w:rPr>
        <w:t>丹霞变电站更名为</w:t>
      </w:r>
      <w:r>
        <w:rPr>
          <w:rFonts w:ascii="Times New Roman" w:hAnsi="Times New Roman" w:cs="Times New Roman"/>
          <w:color w:val="000000" w:themeColor="text1"/>
          <w14:textFill>
            <w14:solidFill>
              <w14:schemeClr w14:val="tx1"/>
            </w14:solidFill>
          </w14:textFill>
        </w:rPr>
        <w:t>110kV</w:t>
      </w:r>
      <w:r>
        <w:rPr>
          <w:color w:val="000000" w:themeColor="text1"/>
          <w14:textFill>
            <w14:solidFill>
              <w14:schemeClr w14:val="tx1"/>
            </w14:solidFill>
          </w14:textFill>
        </w:rPr>
        <w:t>阅丹变电站，</w:t>
      </w:r>
      <w:r>
        <w:rPr>
          <w:rFonts w:ascii="Times New Roman" w:hAnsi="Times New Roman" w:cs="Times New Roman"/>
          <w:color w:val="000000" w:themeColor="text1"/>
          <w14:textFill>
            <w14:solidFill>
              <w14:schemeClr w14:val="tx1"/>
            </w14:solidFill>
          </w14:textFill>
        </w:rPr>
        <w:t>110kV</w:t>
      </w:r>
      <w:r>
        <w:rPr>
          <w:color w:val="000000" w:themeColor="text1"/>
          <w14:textFill>
            <w14:solidFill>
              <w14:schemeClr w14:val="tx1"/>
            </w14:solidFill>
          </w14:textFill>
        </w:rPr>
        <w:t>架空线高压廊道控制宽度为</w:t>
      </w:r>
      <w:r>
        <w:rPr>
          <w:rFonts w:ascii="Times New Roman" w:hAnsi="Times New Roman" w:cs="Times New Roman"/>
          <w:color w:val="000000" w:themeColor="text1"/>
          <w14:textFill>
            <w14:solidFill>
              <w14:schemeClr w14:val="tx1"/>
            </w14:solidFill>
          </w14:textFill>
        </w:rPr>
        <w:t>25</w:t>
      </w:r>
      <w:r>
        <w:rPr>
          <w:color w:val="000000" w:themeColor="text1"/>
          <w14:textFill>
            <w14:solidFill>
              <w14:schemeClr w14:val="tx1"/>
            </w14:solidFill>
          </w14:textFill>
        </w:rPr>
        <w:t>米。</w:t>
      </w:r>
    </w:p>
    <w:p w14:paraId="6A863DA4">
      <w:pPr>
        <w:pStyle w:val="6"/>
        <w:spacing w:before="163" w:after="163"/>
      </w:pPr>
      <w:r>
        <w:t>通信工程规划</w:t>
      </w:r>
    </w:p>
    <w:p w14:paraId="4560139B">
      <w:pPr>
        <w:ind w:firstLine="600"/>
      </w:pPr>
      <w:r>
        <w:rPr>
          <w:rFonts w:hint="eastAsia"/>
        </w:rPr>
        <w:t>大力发展新一代移动通信网和互联网，加快光纤宽带接入，优化提升通信网络。建设开放融合的信息网络体系和信息服务网络，积极推动电信网、广播电视网和互联网“三网融合”。</w:t>
      </w:r>
    </w:p>
    <w:p w14:paraId="6A4B9819">
      <w:pPr>
        <w:pStyle w:val="6"/>
        <w:spacing w:before="163" w:after="163"/>
      </w:pPr>
      <w:r>
        <w:rPr>
          <w:rFonts w:hint="eastAsia"/>
        </w:rPr>
        <w:t>环卫</w:t>
      </w:r>
      <w:r>
        <w:t>工程规划</w:t>
      </w:r>
    </w:p>
    <w:p w14:paraId="5DC02734">
      <w:pPr>
        <w:ind w:firstLine="600"/>
        <w:rPr>
          <w:color w:val="000000" w:themeColor="text1"/>
          <w14:textFill>
            <w14:solidFill>
              <w14:schemeClr w14:val="tx1"/>
            </w14:solidFill>
          </w14:textFill>
        </w:rPr>
      </w:pPr>
      <w:r>
        <w:rPr>
          <w:rFonts w:hint="eastAsia"/>
        </w:rPr>
        <w:t>提升现有环卫系统，完善环卫设施配置，实现垃圾处理“减量化、密闭化、资源化、无害化”。规划至</w:t>
      </w:r>
      <w:r>
        <w:rPr>
          <w:rFonts w:ascii="Times New Roman" w:hAnsi="Times New Roman" w:cs="Times New Roman"/>
        </w:rPr>
        <w:t>2035</w:t>
      </w:r>
      <w:r>
        <w:rPr>
          <w:rFonts w:hint="eastAsia"/>
        </w:rPr>
        <w:t>年，中心城区生活垃圾转运规模达</w:t>
      </w:r>
      <w:r>
        <w:rPr>
          <w:rFonts w:ascii="Times New Roman" w:hAnsi="Times New Roman" w:cs="Times New Roman"/>
        </w:rPr>
        <w:t>90</w:t>
      </w:r>
      <w:r>
        <w:rPr>
          <w:rFonts w:hint="eastAsia"/>
        </w:rPr>
        <w:t>吨</w:t>
      </w:r>
      <w:r>
        <w:rPr>
          <w:rFonts w:hint="eastAsia" w:ascii="仿宋_GB2312"/>
        </w:rPr>
        <w:t>/</w:t>
      </w:r>
      <w:r>
        <w:rPr>
          <w:rFonts w:hint="eastAsia"/>
        </w:rPr>
        <w:t>日。</w:t>
      </w:r>
    </w:p>
    <w:p w14:paraId="73E444F0">
      <w:pPr>
        <w:pStyle w:val="6"/>
        <w:spacing w:before="163" w:after="163"/>
        <w:rPr>
          <w:b/>
        </w:rPr>
      </w:pPr>
      <w:bookmarkStart w:id="1664" w:name="_Toc26800"/>
      <w:bookmarkStart w:id="1665" w:name="_Toc132305913"/>
      <w:bookmarkStart w:id="1666" w:name="_Toc141888018"/>
      <w:r>
        <w:rPr>
          <w:rFonts w:hint="eastAsia"/>
        </w:rPr>
        <w:t>防洪排涝规划</w:t>
      </w:r>
      <w:bookmarkEnd w:id="1664"/>
      <w:bookmarkEnd w:id="1665"/>
      <w:bookmarkEnd w:id="1666"/>
    </w:p>
    <w:p w14:paraId="517E8978">
      <w:pPr>
        <w:ind w:firstLine="600"/>
        <w:jc w:val="both"/>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中心城区防洪标准按</w:t>
      </w:r>
      <w:r>
        <w:rPr>
          <w:rFonts w:ascii="Times New Roman" w:hAnsi="Times New Roman" w:cs="Times New Roman"/>
          <w:color w:val="000000" w:themeColor="text1"/>
          <w14:textFill>
            <w14:solidFill>
              <w14:schemeClr w14:val="tx1"/>
            </w14:solidFill>
          </w14:textFill>
        </w:rPr>
        <w:t>50年一遇；排涝标准为能有效应对不低于20年一遇的暴雨，特殊地区的治涝标准根据保护对象要求确定</w:t>
      </w:r>
      <w:r>
        <w:rPr>
          <w:rFonts w:hint="eastAsia" w:ascii="Times New Roman" w:hAnsi="Times New Roman" w:cs="Times New Roman"/>
          <w:color w:val="000000" w:themeColor="text1"/>
          <w14:textFill>
            <w14:solidFill>
              <w14:schemeClr w14:val="tx1"/>
            </w14:solidFill>
          </w14:textFill>
        </w:rPr>
        <w:t>。</w:t>
      </w:r>
    </w:p>
    <w:p w14:paraId="35ECBFAE">
      <w:pPr>
        <w:ind w:firstLine="600"/>
        <w:jc w:val="both"/>
        <w:rPr>
          <w:rFonts w:ascii="Times New Roman" w:hAnsi="Times New Roman" w:cs="Times New Roman"/>
          <w:szCs w:val="28"/>
        </w:rPr>
      </w:pPr>
      <w:r>
        <w:rPr>
          <w:rFonts w:hint="eastAsia" w:ascii="Times New Roman" w:hAnsi="Times New Roman" w:cs="Times New Roman"/>
          <w:szCs w:val="28"/>
        </w:rPr>
        <w:t>持续</w:t>
      </w:r>
      <w:r>
        <w:rPr>
          <w:rFonts w:ascii="Times New Roman" w:hAnsi="Times New Roman" w:cs="Times New Roman"/>
          <w:szCs w:val="28"/>
        </w:rPr>
        <w:t>推进城区防洪堤建设；加强河道整治，严格按照国家和广东省的标准规定保护河道、堤围以及各种工程设施。构建中心城区排涝体系，</w:t>
      </w:r>
      <w:r>
        <w:rPr>
          <w:rFonts w:hint="eastAsia" w:ascii="Times New Roman" w:hAnsi="Times New Roman" w:cs="Times New Roman"/>
          <w:szCs w:val="28"/>
        </w:rPr>
        <w:t>优化城市排水分区，强化雨水源头减排，改造提升排水管渠</w:t>
      </w:r>
      <w:r>
        <w:rPr>
          <w:rFonts w:ascii="Times New Roman" w:hAnsi="Times New Roman" w:cs="Times New Roman"/>
          <w:szCs w:val="28"/>
        </w:rPr>
        <w:t>，以应对高重现期降雨导致的内涝问题</w:t>
      </w:r>
      <w:r>
        <w:rPr>
          <w:rFonts w:hint="eastAsia" w:ascii="Times New Roman" w:hAnsi="Times New Roman" w:cs="Times New Roman"/>
          <w:szCs w:val="28"/>
        </w:rPr>
        <w:t>，同时</w:t>
      </w:r>
      <w:r>
        <w:rPr>
          <w:rFonts w:ascii="Times New Roman" w:hAnsi="Times New Roman" w:cs="Times New Roman"/>
          <w:szCs w:val="28"/>
        </w:rPr>
        <w:t>针对涝点进行系统性改造，必要时可修建排涝抽水站，把内涝水抽至外江。</w:t>
      </w:r>
    </w:p>
    <w:p w14:paraId="37462B60">
      <w:pPr>
        <w:pStyle w:val="6"/>
        <w:spacing w:before="163" w:after="163"/>
      </w:pPr>
      <w:r>
        <w:rPr>
          <w:rFonts w:hint="eastAsia"/>
        </w:rPr>
        <w:t>抗震与地质灾害防治规划</w:t>
      </w:r>
    </w:p>
    <w:p w14:paraId="47677296">
      <w:pPr>
        <w:ind w:firstLine="60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完善地震与地质灾害预报预警系统，紧急救援系统，建设集监测预报、预防、紧急救援于一体的防震减灾工程体系，提高城市综合抗震防灾能力。</w:t>
      </w:r>
    </w:p>
    <w:p w14:paraId="15FD9F39">
      <w:pPr>
        <w:ind w:firstLine="600"/>
        <w:jc w:val="both"/>
        <w:rPr>
          <w:rFonts w:ascii="Times New Roman" w:hAnsi="Times New Roman" w:cs="Times New Roman"/>
          <w:szCs w:val="28"/>
        </w:rPr>
      </w:pPr>
      <w:r>
        <w:rPr>
          <w:rFonts w:ascii="Times New Roman" w:hAnsi="Times New Roman" w:cs="Times New Roman"/>
          <w:szCs w:val="28"/>
        </w:rPr>
        <w:t>建设工程必须</w:t>
      </w:r>
      <w:r>
        <w:rPr>
          <w:rFonts w:ascii="Times New Roman" w:hAnsi="Times New Roman" w:cs="Times New Roman"/>
        </w:rPr>
        <w:t>严格落实抗震设防要求</w:t>
      </w:r>
      <w:r>
        <w:rPr>
          <w:rFonts w:hint="eastAsia" w:ascii="Times New Roman" w:hAnsi="Times New Roman" w:cs="Times New Roman"/>
        </w:rPr>
        <w:t>，中心城区按基本烈度</w:t>
      </w:r>
      <w:r>
        <w:rPr>
          <w:rFonts w:ascii="Times New Roman" w:hAnsi="Times New Roman" w:cs="Times New Roman"/>
        </w:rPr>
        <w:t>VI度设防，重要工程提高1-2度或依据地震安全性评价设防；</w:t>
      </w:r>
      <w:r>
        <w:rPr>
          <w:rFonts w:ascii="Times New Roman" w:hAnsi="Times New Roman" w:cs="Times New Roman"/>
          <w:szCs w:val="28"/>
        </w:rPr>
        <w:t>开展旧城区建筑物、构筑物、工业设备的抗震加固工作；加强旧城区基础安全设施建设；设立防震指挥中心，建立健全避震疏散指挥</w:t>
      </w:r>
      <w:r>
        <w:rPr>
          <w:rFonts w:hint="eastAsia" w:ascii="Times New Roman" w:hAnsi="Times New Roman" w:cs="Times New Roman"/>
          <w:szCs w:val="28"/>
        </w:rPr>
        <w:t>体系以及</w:t>
      </w:r>
      <w:r>
        <w:rPr>
          <w:rFonts w:ascii="Times New Roman" w:hAnsi="Times New Roman" w:cs="Times New Roman"/>
          <w:szCs w:val="28"/>
        </w:rPr>
        <w:t>地震预测预警发布体系。</w:t>
      </w:r>
    </w:p>
    <w:p w14:paraId="763A005F">
      <w:pPr>
        <w:pStyle w:val="6"/>
        <w:spacing w:before="163" w:after="163"/>
        <w:rPr>
          <w:rFonts w:eastAsia="宋体"/>
        </w:rPr>
      </w:pPr>
      <w:r>
        <w:rPr>
          <w:rFonts w:hint="eastAsia"/>
        </w:rPr>
        <w:t>消防规划</w:t>
      </w:r>
    </w:p>
    <w:p w14:paraId="37875833">
      <w:pPr>
        <w:ind w:firstLine="600"/>
        <w:jc w:val="both"/>
        <w:rPr>
          <w:rFonts w:ascii="Times New Roman" w:hAnsi="Times New Roman" w:cs="Times New Roman"/>
          <w:color w:val="000000" w:themeColor="text1"/>
          <w14:textFill>
            <w14:solidFill>
              <w14:schemeClr w14:val="tx1"/>
            </w14:solidFill>
          </w14:textFill>
        </w:rPr>
      </w:pPr>
      <w:bookmarkStart w:id="1667" w:name="_Hlk80107737"/>
      <w:r>
        <w:rPr>
          <w:rFonts w:ascii="Times New Roman" w:hAnsi="Times New Roman" w:cs="Times New Roman"/>
          <w:color w:val="000000" w:themeColor="text1"/>
          <w14:textFill>
            <w14:solidFill>
              <w14:schemeClr w14:val="tx1"/>
            </w14:solidFill>
          </w14:textFill>
        </w:rPr>
        <w:t>以构建预防为主、防消结合的消防体系为目标，建立布局合理、因地制宜、全面覆盖的区域消防服务网络。</w:t>
      </w:r>
      <w:bookmarkEnd w:id="1667"/>
      <w:r>
        <w:rPr>
          <w:rFonts w:hint="eastAsia" w:ascii="Times New Roman" w:hAnsi="Times New Roman" w:cs="Times New Roman"/>
          <w:color w:val="000000" w:themeColor="text1"/>
          <w14:textFill>
            <w14:solidFill>
              <w14:schemeClr w14:val="tx1"/>
            </w14:solidFill>
          </w14:textFill>
        </w:rPr>
        <w:t>中心城区规划消防站点</w:t>
      </w:r>
      <w:r>
        <w:rPr>
          <w:rFonts w:ascii="Times New Roman" w:hAnsi="Times New Roman" w:cs="Times New Roman"/>
          <w:color w:val="000000" w:themeColor="text1"/>
          <w14:textFill>
            <w14:solidFill>
              <w14:schemeClr w14:val="tx1"/>
            </w14:solidFill>
          </w14:textFill>
        </w:rPr>
        <w:t>2个，保留现状消防站，</w:t>
      </w:r>
      <w:r>
        <w:rPr>
          <w:rFonts w:hint="eastAsia" w:ascii="Times New Roman" w:hAnsi="Times New Roman" w:cs="Times New Roman"/>
          <w:color w:val="000000" w:themeColor="text1"/>
          <w14:textFill>
            <w14:solidFill>
              <w14:schemeClr w14:val="tx1"/>
            </w14:solidFill>
          </w14:textFill>
        </w:rPr>
        <w:t>在</w:t>
      </w:r>
      <w:r>
        <w:rPr>
          <w:rFonts w:ascii="Times New Roman" w:hAnsi="Times New Roman" w:cs="Times New Roman"/>
          <w:color w:val="000000" w:themeColor="text1"/>
          <w14:textFill>
            <w14:solidFill>
              <w14:schemeClr w14:val="tx1"/>
            </w14:solidFill>
          </w14:textFill>
        </w:rPr>
        <w:t>城南森林公园南侧新增1个一级普通消防站及训练基地。对于消防车难以到达的地区，依托居委会等管理部门成立义务消防队。</w:t>
      </w:r>
    </w:p>
    <w:p w14:paraId="6A8359C9">
      <w:pPr>
        <w:pStyle w:val="6"/>
        <w:spacing w:before="163" w:after="163"/>
        <w:rPr>
          <w:rFonts w:eastAsia="宋体"/>
        </w:rPr>
      </w:pPr>
      <w:r>
        <w:rPr>
          <w:rFonts w:hint="eastAsia" w:cs="Times New Roman"/>
          <w:color w:val="000000" w:themeColor="text1"/>
          <w14:textFill>
            <w14:solidFill>
              <w14:schemeClr w14:val="tx1"/>
            </w14:solidFill>
          </w14:textFill>
        </w:rPr>
        <w:t>人防工程规划</w:t>
      </w:r>
    </w:p>
    <w:p w14:paraId="1D754553">
      <w:pPr>
        <w:ind w:firstLine="600"/>
        <w:jc w:val="both"/>
        <w:rPr>
          <w:rFonts w:ascii="Times New Roman" w:hAnsi="Times New Roman" w:cs="Times New Roman"/>
          <w:szCs w:val="28"/>
        </w:rPr>
      </w:pPr>
      <w:r>
        <w:rPr>
          <w:rFonts w:ascii="Times New Roman" w:hAnsi="Times New Roman" w:cs="Times New Roman"/>
          <w:szCs w:val="28"/>
        </w:rPr>
        <w:t>结合战时疏散和平时抗震防灾和消防的要求，合理布置城市广场、水面和绿地；易燃、易爆和有毒物品的生产和储存选址应远离城市居民集中区；加强重要防护目标防护；加强建设指挥工程、医疗救护工程、防空专业队工程、人员掩蔽工程和配套工程；加强建设人防指挥通信和警报建设。</w:t>
      </w:r>
      <w:r>
        <w:rPr>
          <w:rFonts w:hint="eastAsia" w:ascii="Times New Roman" w:hAnsi="Times New Roman" w:cs="Times New Roman"/>
          <w:szCs w:val="28"/>
        </w:rPr>
        <w:t>规划至</w:t>
      </w:r>
      <w:r>
        <w:rPr>
          <w:rFonts w:ascii="Times New Roman" w:hAnsi="Times New Roman" w:cs="Times New Roman"/>
          <w:szCs w:val="28"/>
        </w:rPr>
        <w:t>2035年，中心城区人均人防面积不小于1平方米，防空警报覆盖率达98%以上。</w:t>
      </w:r>
    </w:p>
    <w:p w14:paraId="11FA14F9">
      <w:pPr>
        <w:pStyle w:val="6"/>
        <w:spacing w:before="163" w:after="163"/>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应急</w:t>
      </w:r>
      <w:r>
        <w:rPr>
          <w:rFonts w:hint="eastAsia"/>
        </w:rPr>
        <w:t>避难</w:t>
      </w:r>
      <w:r>
        <w:rPr>
          <w:color w:val="000000" w:themeColor="text1"/>
          <w14:textFill>
            <w14:solidFill>
              <w14:schemeClr w14:val="tx1"/>
            </w14:solidFill>
          </w14:textFill>
        </w:rPr>
        <w:t>体系</w:t>
      </w:r>
      <w:r>
        <w:rPr>
          <w:rFonts w:hint="eastAsia"/>
          <w:color w:val="000000" w:themeColor="text1"/>
          <w14:textFill>
            <w14:solidFill>
              <w14:schemeClr w14:val="tx1"/>
            </w14:solidFill>
          </w14:textFill>
        </w:rPr>
        <w:t>规划</w:t>
      </w:r>
    </w:p>
    <w:p w14:paraId="6BFC99FF">
      <w:pPr>
        <w:ind w:firstLine="600"/>
        <w:jc w:val="both"/>
        <w:rPr>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规</w:t>
      </w:r>
      <w:r>
        <w:rPr>
          <w:rFonts w:ascii="Times New Roman" w:hAnsi="Times New Roman" w:cs="Times New Roman"/>
        </w:rPr>
        <w:t>划结合城市道路、抗震、消防和人防的要求，</w:t>
      </w:r>
      <w:r>
        <w:rPr>
          <w:rFonts w:ascii="Times New Roman" w:hAnsi="Times New Roman" w:cs="Times New Roman"/>
          <w:color w:val="000000" w:themeColor="text1"/>
          <w14:textFill>
            <w14:solidFill>
              <w14:schemeClr w14:val="tx1"/>
            </w14:solidFill>
          </w14:textFill>
        </w:rPr>
        <w:t>形成以国省道为骨干、以城市主干道等为主的疏散通道和以广场、公园、绿地、体育场、农田空地等为主的疏散场地。紧急避震疏散场所服务半径按500米控制，步行约10分钟内可以到达；固定避震疏散场所服务半径宜为2</w:t>
      </w:r>
      <w:r>
        <w:rPr>
          <w:rFonts w:hint="eastAsia" w:ascii="仿宋_GB2312"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3千米，步行约1小时内可以到达；另设立一处中心避难场所</w:t>
      </w:r>
      <w:r>
        <w:rPr>
          <w:rFonts w:hint="eastAsia" w:ascii="Times New Roman" w:hAnsi="Times New Roman" w:cs="Times New Roman"/>
          <w:color w:val="000000" w:themeColor="text1"/>
          <w14:textFill>
            <w14:solidFill>
              <w14:schemeClr w14:val="tx1"/>
            </w14:solidFill>
          </w14:textFill>
        </w:rPr>
        <w:t>。</w:t>
      </w:r>
    </w:p>
    <w:p w14:paraId="416B9117">
      <w:pPr>
        <w:pStyle w:val="5"/>
        <w:numPr>
          <w:ilvl w:val="1"/>
          <w:numId w:val="9"/>
        </w:numPr>
        <w:spacing w:before="163" w:after="163"/>
        <w:rPr>
          <w:b/>
        </w:rPr>
      </w:pPr>
      <w:bookmarkStart w:id="1668" w:name="_Toc29378"/>
      <w:bookmarkStart w:id="1669" w:name="_Toc167271408"/>
      <w:bookmarkStart w:id="1670" w:name="_Toc141888019"/>
      <w:bookmarkStart w:id="1671" w:name="_Toc132305914"/>
      <w:r>
        <w:rPr>
          <w:rFonts w:hint="eastAsia"/>
        </w:rPr>
        <w:t>城市设计与景观风貌</w:t>
      </w:r>
      <w:bookmarkEnd w:id="1615"/>
      <w:bookmarkEnd w:id="1616"/>
      <w:bookmarkEnd w:id="1668"/>
      <w:bookmarkEnd w:id="1669"/>
      <w:bookmarkEnd w:id="1670"/>
      <w:bookmarkEnd w:id="1671"/>
    </w:p>
    <w:p w14:paraId="38B0C484">
      <w:pPr>
        <w:pStyle w:val="6"/>
        <w:spacing w:before="163" w:after="163"/>
        <w:rPr>
          <w:b/>
        </w:rPr>
      </w:pPr>
      <w:bookmarkStart w:id="1672" w:name="_Toc132305915"/>
      <w:bookmarkStart w:id="1673" w:name="_Toc141888020"/>
      <w:bookmarkStart w:id="1674" w:name="_Toc4726"/>
      <w:r>
        <w:rPr>
          <w:rFonts w:hint="eastAsia"/>
        </w:rPr>
        <w:t>景观风貌总体格局</w:t>
      </w:r>
      <w:bookmarkEnd w:id="1672"/>
      <w:bookmarkEnd w:id="1673"/>
      <w:bookmarkEnd w:id="1674"/>
    </w:p>
    <w:p w14:paraId="3132280F">
      <w:pPr>
        <w:ind w:firstLine="6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规划确定中心城区</w:t>
      </w:r>
      <w:r>
        <w:rPr>
          <w:rFonts w:hint="eastAsia" w:ascii="仿宋_GB2312"/>
          <w:color w:val="000000" w:themeColor="text1"/>
          <w14:textFill>
            <w14:solidFill>
              <w14:schemeClr w14:val="tx1"/>
            </w14:solidFill>
          </w14:textFill>
        </w:rPr>
        <w:t>“</w:t>
      </w:r>
      <w:r>
        <w:rPr>
          <w:rFonts w:hint="eastAsia"/>
          <w:color w:val="000000" w:themeColor="text1"/>
          <w14:textFill>
            <w14:solidFill>
              <w14:schemeClr w14:val="tx1"/>
            </w14:solidFill>
          </w14:textFill>
        </w:rPr>
        <w:t>丹山锦水，精致秀城</w:t>
      </w:r>
      <w:r>
        <w:rPr>
          <w:rFonts w:hint="eastAsia" w:ascii="仿宋_GB2312"/>
          <w:color w:val="000000" w:themeColor="text1"/>
          <w14:textFill>
            <w14:solidFill>
              <w14:schemeClr w14:val="tx1"/>
            </w14:solidFill>
          </w14:textFill>
        </w:rPr>
        <w:t>”</w:t>
      </w:r>
      <w:r>
        <w:rPr>
          <w:rFonts w:hint="eastAsia"/>
          <w:color w:val="000000" w:themeColor="text1"/>
          <w14:textFill>
            <w14:solidFill>
              <w14:schemeClr w14:val="tx1"/>
            </w14:solidFill>
          </w14:textFill>
        </w:rPr>
        <w:t>的总体形象定位，划定魅力老城景观风貌区、活力滨江景观风貌区、丹霞新城景观风貌区、活力新城景观风貌区、现代产业园景观风貌区五类特色风貌区。</w:t>
      </w:r>
    </w:p>
    <w:p w14:paraId="50807279">
      <w:pPr>
        <w:pStyle w:val="6"/>
        <w:spacing w:before="163" w:after="163"/>
        <w:rPr>
          <w:b/>
        </w:rPr>
      </w:pPr>
      <w:bookmarkStart w:id="1675" w:name="_Toc143355293"/>
      <w:bookmarkEnd w:id="1675"/>
      <w:bookmarkStart w:id="1676" w:name="_Toc143358791"/>
      <w:bookmarkEnd w:id="1676"/>
      <w:bookmarkStart w:id="1677" w:name="_Toc143099251"/>
      <w:bookmarkEnd w:id="1677"/>
      <w:bookmarkStart w:id="1678" w:name="_Toc143357044"/>
      <w:bookmarkEnd w:id="1678"/>
      <w:bookmarkStart w:id="1679" w:name="_Toc143354442"/>
      <w:bookmarkEnd w:id="1679"/>
      <w:bookmarkStart w:id="1680" w:name="_Toc143356162"/>
      <w:bookmarkEnd w:id="1680"/>
      <w:bookmarkStart w:id="1681" w:name="_Toc143357047"/>
      <w:bookmarkEnd w:id="1681"/>
      <w:bookmarkStart w:id="1682" w:name="_Toc143358498"/>
      <w:bookmarkEnd w:id="1682"/>
      <w:bookmarkStart w:id="1683" w:name="_Toc143355585"/>
      <w:bookmarkEnd w:id="1683"/>
      <w:bookmarkStart w:id="1684" w:name="_Toc143358206"/>
      <w:bookmarkEnd w:id="1684"/>
      <w:bookmarkStart w:id="1685" w:name="_Toc143353866"/>
      <w:bookmarkEnd w:id="1685"/>
      <w:bookmarkStart w:id="1686" w:name="_Toc143358208"/>
      <w:bookmarkEnd w:id="1686"/>
      <w:bookmarkStart w:id="1687" w:name="_Toc143357917"/>
      <w:bookmarkEnd w:id="1687"/>
      <w:bookmarkStart w:id="1688" w:name="_Toc143356164"/>
      <w:bookmarkEnd w:id="1688"/>
      <w:bookmarkStart w:id="1689" w:name="_Toc143357336"/>
      <w:bookmarkEnd w:id="1689"/>
      <w:bookmarkStart w:id="1690" w:name="_Toc143358211"/>
      <w:bookmarkEnd w:id="1690"/>
      <w:bookmarkStart w:id="1691" w:name="_Toc143358790"/>
      <w:bookmarkEnd w:id="1691"/>
      <w:bookmarkStart w:id="1692" w:name="_Toc143358499"/>
      <w:bookmarkEnd w:id="1692"/>
      <w:bookmarkStart w:id="1693" w:name="_Toc143354440"/>
      <w:bookmarkEnd w:id="1693"/>
      <w:bookmarkStart w:id="1694" w:name="_Toc143356454"/>
      <w:bookmarkEnd w:id="1694"/>
      <w:bookmarkStart w:id="1695" w:name="_Toc142858993"/>
      <w:bookmarkEnd w:id="1695"/>
      <w:bookmarkStart w:id="1696" w:name="_Toc143353864"/>
      <w:bookmarkEnd w:id="1696"/>
      <w:bookmarkStart w:id="1697" w:name="_Toc143355295"/>
      <w:bookmarkEnd w:id="1697"/>
      <w:bookmarkStart w:id="1698" w:name="_Toc143355011"/>
      <w:bookmarkEnd w:id="1698"/>
      <w:bookmarkStart w:id="1699" w:name="_Toc143356741"/>
      <w:bookmarkEnd w:id="1699"/>
      <w:bookmarkStart w:id="1700" w:name="_Toc143357338"/>
      <w:bookmarkEnd w:id="1700"/>
      <w:bookmarkStart w:id="1701" w:name="_Toc143356742"/>
      <w:bookmarkEnd w:id="1701"/>
      <w:bookmarkStart w:id="1702" w:name="_Toc143354727"/>
      <w:bookmarkEnd w:id="1702"/>
      <w:bookmarkStart w:id="1703" w:name="_Toc143358789"/>
      <w:bookmarkEnd w:id="1703"/>
      <w:bookmarkStart w:id="1704" w:name="_Toc143357626"/>
      <w:bookmarkEnd w:id="1704"/>
      <w:bookmarkStart w:id="1705" w:name="_Toc143353865"/>
      <w:bookmarkEnd w:id="1705"/>
      <w:bookmarkStart w:id="1706" w:name="_Toc143358792"/>
      <w:bookmarkEnd w:id="1706"/>
      <w:bookmarkStart w:id="1707" w:name="_Toc143355582"/>
      <w:bookmarkEnd w:id="1707"/>
      <w:bookmarkStart w:id="1708" w:name="_Toc143099252"/>
      <w:bookmarkEnd w:id="1708"/>
      <w:bookmarkStart w:id="1709" w:name="_Toc143357625"/>
      <w:bookmarkEnd w:id="1709"/>
      <w:bookmarkStart w:id="1710" w:name="_Toc143353867"/>
      <w:bookmarkEnd w:id="1710"/>
      <w:bookmarkStart w:id="1711" w:name="_Toc143354151"/>
      <w:bookmarkEnd w:id="1711"/>
      <w:bookmarkStart w:id="1712" w:name="_Toc142858996"/>
      <w:bookmarkEnd w:id="1712"/>
      <w:bookmarkStart w:id="1713" w:name="_Toc143356740"/>
      <w:bookmarkEnd w:id="1713"/>
      <w:bookmarkStart w:id="1714" w:name="_Toc143355292"/>
      <w:bookmarkEnd w:id="1714"/>
      <w:bookmarkStart w:id="1715" w:name="_Toc143355581"/>
      <w:bookmarkEnd w:id="1715"/>
      <w:bookmarkStart w:id="1716" w:name="_Toc143357919"/>
      <w:bookmarkEnd w:id="1716"/>
      <w:bookmarkStart w:id="1717" w:name="_Toc143356452"/>
      <w:bookmarkEnd w:id="1717"/>
      <w:bookmarkStart w:id="1718" w:name="_Toc143357046"/>
      <w:bookmarkEnd w:id="1718"/>
      <w:bookmarkStart w:id="1719" w:name="_Toc143099541"/>
      <w:bookmarkEnd w:id="1719"/>
      <w:bookmarkStart w:id="1720" w:name="_Toc143260947"/>
      <w:bookmarkEnd w:id="1720"/>
      <w:bookmarkStart w:id="1721" w:name="_Toc143355874"/>
      <w:bookmarkEnd w:id="1721"/>
      <w:bookmarkStart w:id="1722" w:name="_Toc143357918"/>
      <w:bookmarkEnd w:id="1722"/>
      <w:bookmarkStart w:id="1723" w:name="_Toc143354443"/>
      <w:bookmarkEnd w:id="1723"/>
      <w:bookmarkStart w:id="1724" w:name="_Toc143353187"/>
      <w:bookmarkEnd w:id="1724"/>
      <w:bookmarkStart w:id="1725" w:name="_Toc143356163"/>
      <w:bookmarkEnd w:id="1725"/>
      <w:bookmarkStart w:id="1726" w:name="_Toc143355010"/>
      <w:bookmarkEnd w:id="1726"/>
      <w:bookmarkStart w:id="1727" w:name="_Toc143355008"/>
      <w:bookmarkEnd w:id="1727"/>
      <w:bookmarkStart w:id="1728" w:name="_Toc143354724"/>
      <w:bookmarkEnd w:id="1728"/>
      <w:bookmarkStart w:id="1729" w:name="_Toc143353186"/>
      <w:bookmarkEnd w:id="1729"/>
      <w:bookmarkStart w:id="1730" w:name="_Toc143352889"/>
      <w:bookmarkEnd w:id="1730"/>
      <w:bookmarkStart w:id="1731" w:name="_Toc143099256"/>
      <w:bookmarkEnd w:id="1731"/>
      <w:bookmarkStart w:id="1732" w:name="_Toc143260944"/>
      <w:bookmarkEnd w:id="1732"/>
      <w:bookmarkStart w:id="1733" w:name="_Toc143356453"/>
      <w:bookmarkEnd w:id="1733"/>
      <w:bookmarkStart w:id="1734" w:name="_Toc143352890"/>
      <w:bookmarkEnd w:id="1734"/>
      <w:bookmarkStart w:id="1735" w:name="_Toc143358497"/>
      <w:bookmarkEnd w:id="1735"/>
      <w:bookmarkStart w:id="1736" w:name="_Toc143354439"/>
      <w:bookmarkEnd w:id="1736"/>
      <w:bookmarkStart w:id="1737" w:name="_Toc143260943"/>
      <w:bookmarkEnd w:id="1737"/>
      <w:bookmarkStart w:id="1738" w:name="_Toc143099538"/>
      <w:bookmarkEnd w:id="1738"/>
      <w:bookmarkStart w:id="1739" w:name="_Toc143099539"/>
      <w:bookmarkEnd w:id="1739"/>
      <w:bookmarkStart w:id="1740" w:name="_Toc143354153"/>
      <w:bookmarkEnd w:id="1740"/>
      <w:bookmarkStart w:id="1741" w:name="_Toc143354148"/>
      <w:bookmarkEnd w:id="1741"/>
      <w:bookmarkStart w:id="1742" w:name="_Toc143358788"/>
      <w:bookmarkEnd w:id="1742"/>
      <w:bookmarkStart w:id="1743" w:name="_Toc143358496"/>
      <w:bookmarkEnd w:id="1743"/>
      <w:bookmarkStart w:id="1744" w:name="_Toc143356161"/>
      <w:bookmarkEnd w:id="1744"/>
      <w:bookmarkStart w:id="1745" w:name="_Toc143353188"/>
      <w:bookmarkEnd w:id="1745"/>
      <w:bookmarkStart w:id="1746" w:name="_Toc143357624"/>
      <w:bookmarkEnd w:id="1746"/>
      <w:bookmarkStart w:id="1747" w:name="_Toc143352891"/>
      <w:bookmarkEnd w:id="1747"/>
      <w:bookmarkStart w:id="1748" w:name="_Toc143353189"/>
      <w:bookmarkEnd w:id="1748"/>
      <w:bookmarkStart w:id="1749" w:name="_Toc143354725"/>
      <w:bookmarkEnd w:id="1749"/>
      <w:bookmarkStart w:id="1750" w:name="_Toc143354441"/>
      <w:bookmarkEnd w:id="1750"/>
      <w:bookmarkStart w:id="1751" w:name="_Toc143099255"/>
      <w:bookmarkEnd w:id="1751"/>
      <w:bookmarkStart w:id="1752" w:name="_Toc143355873"/>
      <w:bookmarkEnd w:id="1752"/>
      <w:bookmarkStart w:id="1753" w:name="_Toc143357339"/>
      <w:bookmarkEnd w:id="1753"/>
      <w:bookmarkStart w:id="1754" w:name="_Toc143355871"/>
      <w:bookmarkEnd w:id="1754"/>
      <w:bookmarkStart w:id="1755" w:name="_Toc143356744"/>
      <w:bookmarkEnd w:id="1755"/>
      <w:bookmarkStart w:id="1756" w:name="_Toc143357629"/>
      <w:bookmarkEnd w:id="1756"/>
      <w:bookmarkStart w:id="1757" w:name="_Toc143099540"/>
      <w:bookmarkEnd w:id="1757"/>
      <w:bookmarkStart w:id="1758" w:name="_Toc143355580"/>
      <w:bookmarkEnd w:id="1758"/>
      <w:bookmarkStart w:id="1759" w:name="_Toc143357920"/>
      <w:bookmarkEnd w:id="1759"/>
      <w:bookmarkStart w:id="1760" w:name="_Toc143355291"/>
      <w:bookmarkEnd w:id="1760"/>
      <w:bookmarkStart w:id="1761" w:name="_Toc143355870"/>
      <w:bookmarkEnd w:id="1761"/>
      <w:bookmarkStart w:id="1762" w:name="_Toc143356450"/>
      <w:bookmarkEnd w:id="1762"/>
      <w:bookmarkStart w:id="1763" w:name="_Toc143354726"/>
      <w:bookmarkEnd w:id="1763"/>
      <w:bookmarkStart w:id="1764" w:name="_Toc143356160"/>
      <w:bookmarkEnd w:id="1764"/>
      <w:bookmarkStart w:id="1765" w:name="_Toc143099537"/>
      <w:bookmarkEnd w:id="1765"/>
      <w:bookmarkStart w:id="1766" w:name="_Toc143355006"/>
      <w:bookmarkEnd w:id="1766"/>
      <w:bookmarkStart w:id="1767" w:name="_Toc143355294"/>
      <w:bookmarkEnd w:id="1767"/>
      <w:bookmarkStart w:id="1768" w:name="_Toc143357916"/>
      <w:bookmarkEnd w:id="1768"/>
      <w:bookmarkStart w:id="1769" w:name="_Toc143354152"/>
      <w:bookmarkEnd w:id="1769"/>
      <w:bookmarkStart w:id="1770" w:name="_Toc143358501"/>
      <w:bookmarkEnd w:id="1770"/>
      <w:bookmarkStart w:id="1771" w:name="_Toc143354438"/>
      <w:bookmarkEnd w:id="1771"/>
      <w:bookmarkStart w:id="1772" w:name="_Toc142858995"/>
      <w:bookmarkEnd w:id="1772"/>
      <w:bookmarkStart w:id="1773" w:name="_Toc143357335"/>
      <w:bookmarkEnd w:id="1773"/>
      <w:bookmarkStart w:id="1774" w:name="_Toc143357628"/>
      <w:bookmarkEnd w:id="1774"/>
      <w:bookmarkStart w:id="1775" w:name="_Toc143260945"/>
      <w:bookmarkEnd w:id="1775"/>
      <w:bookmarkStart w:id="1776" w:name="_Toc143354150"/>
      <w:bookmarkEnd w:id="1776"/>
      <w:bookmarkStart w:id="1777" w:name="_Toc143353184"/>
      <w:bookmarkEnd w:id="1777"/>
      <w:bookmarkStart w:id="1778" w:name="_Toc143357627"/>
      <w:bookmarkEnd w:id="1778"/>
      <w:bookmarkStart w:id="1779" w:name="_Toc143357045"/>
      <w:bookmarkEnd w:id="1779"/>
      <w:bookmarkStart w:id="1780" w:name="_Toc143356743"/>
      <w:bookmarkEnd w:id="1780"/>
      <w:bookmarkStart w:id="1781" w:name="_Toc143358787"/>
      <w:bookmarkEnd w:id="1781"/>
      <w:bookmarkStart w:id="1782" w:name="_Toc143355009"/>
      <w:bookmarkEnd w:id="1782"/>
      <w:bookmarkStart w:id="1783" w:name="_Toc143356455"/>
      <w:bookmarkEnd w:id="1783"/>
      <w:bookmarkStart w:id="1784" w:name="_Toc143358500"/>
      <w:bookmarkEnd w:id="1784"/>
      <w:bookmarkStart w:id="1785" w:name="_Toc142858997"/>
      <w:bookmarkEnd w:id="1785"/>
      <w:bookmarkStart w:id="1786" w:name="_Toc143352893"/>
      <w:bookmarkEnd w:id="1786"/>
      <w:bookmarkStart w:id="1787" w:name="_Toc143353863"/>
      <w:bookmarkEnd w:id="1787"/>
      <w:bookmarkStart w:id="1788" w:name="_Toc143353862"/>
      <w:bookmarkEnd w:id="1788"/>
      <w:bookmarkStart w:id="1789" w:name="_Toc143099253"/>
      <w:bookmarkEnd w:id="1789"/>
      <w:bookmarkStart w:id="1790" w:name="_Toc143354149"/>
      <w:bookmarkEnd w:id="1790"/>
      <w:bookmarkStart w:id="1791" w:name="_Toc143356165"/>
      <w:bookmarkEnd w:id="1791"/>
      <w:bookmarkStart w:id="1792" w:name="_Toc142858998"/>
      <w:bookmarkEnd w:id="1792"/>
      <w:bookmarkStart w:id="1793" w:name="_Toc143352888"/>
      <w:bookmarkEnd w:id="1793"/>
      <w:bookmarkStart w:id="1794" w:name="_Toc143352892"/>
      <w:bookmarkEnd w:id="1794"/>
      <w:bookmarkStart w:id="1795" w:name="_Toc143357337"/>
      <w:bookmarkEnd w:id="1795"/>
      <w:bookmarkStart w:id="1796" w:name="_Toc143356451"/>
      <w:bookmarkEnd w:id="1796"/>
      <w:bookmarkStart w:id="1797" w:name="_Toc142858994"/>
      <w:bookmarkEnd w:id="1797"/>
      <w:bookmarkStart w:id="1798" w:name="_Toc143260948"/>
      <w:bookmarkEnd w:id="1798"/>
      <w:bookmarkStart w:id="1799" w:name="_Toc143354723"/>
      <w:bookmarkEnd w:id="1799"/>
      <w:bookmarkStart w:id="1800" w:name="_Toc143099254"/>
      <w:bookmarkEnd w:id="1800"/>
      <w:bookmarkStart w:id="1801" w:name="_Toc143353185"/>
      <w:bookmarkEnd w:id="1801"/>
      <w:bookmarkStart w:id="1802" w:name="_Toc143355290"/>
      <w:bookmarkEnd w:id="1802"/>
      <w:bookmarkStart w:id="1803" w:name="_Toc143356745"/>
      <w:bookmarkEnd w:id="1803"/>
      <w:bookmarkStart w:id="1804" w:name="_Toc143355875"/>
      <w:bookmarkEnd w:id="1804"/>
      <w:bookmarkStart w:id="1805" w:name="_Toc143357049"/>
      <w:bookmarkEnd w:id="1805"/>
      <w:bookmarkStart w:id="1806" w:name="_Toc143357334"/>
      <w:bookmarkEnd w:id="1806"/>
      <w:bookmarkStart w:id="1807" w:name="_Toc143099536"/>
      <w:bookmarkEnd w:id="1807"/>
      <w:bookmarkStart w:id="1808" w:name="_Toc143358210"/>
      <w:bookmarkEnd w:id="1808"/>
      <w:bookmarkStart w:id="1809" w:name="_Toc143355584"/>
      <w:bookmarkEnd w:id="1809"/>
      <w:bookmarkStart w:id="1810" w:name="_Toc143357048"/>
      <w:bookmarkEnd w:id="1810"/>
      <w:bookmarkStart w:id="1811" w:name="_Toc143354722"/>
      <w:bookmarkEnd w:id="1811"/>
      <w:bookmarkStart w:id="1812" w:name="_Toc143358207"/>
      <w:bookmarkEnd w:id="1812"/>
      <w:bookmarkStart w:id="1813" w:name="_Toc143355872"/>
      <w:bookmarkEnd w:id="1813"/>
      <w:bookmarkStart w:id="1814" w:name="_Toc143355007"/>
      <w:bookmarkEnd w:id="1814"/>
      <w:bookmarkStart w:id="1815" w:name="_Toc143260946"/>
      <w:bookmarkEnd w:id="1815"/>
      <w:bookmarkStart w:id="1816" w:name="_Toc143357915"/>
      <w:bookmarkEnd w:id="1816"/>
      <w:bookmarkStart w:id="1817" w:name="_Toc143355583"/>
      <w:bookmarkEnd w:id="1817"/>
      <w:bookmarkStart w:id="1818" w:name="_Toc143358209"/>
      <w:bookmarkEnd w:id="1818"/>
      <w:bookmarkStart w:id="1819" w:name="_Toc132305917"/>
      <w:bookmarkStart w:id="1820" w:name="_Toc9695"/>
      <w:bookmarkStart w:id="1821" w:name="_Toc141888022"/>
      <w:r>
        <w:rPr>
          <w:rFonts w:hint="eastAsia"/>
        </w:rPr>
        <w:t>城市</w:t>
      </w:r>
      <w:bookmarkEnd w:id="1819"/>
      <w:r>
        <w:rPr>
          <w:rFonts w:hint="eastAsia"/>
        </w:rPr>
        <w:t>开发强度分区控制</w:t>
      </w:r>
      <w:bookmarkEnd w:id="1820"/>
      <w:bookmarkEnd w:id="1821"/>
    </w:p>
    <w:p w14:paraId="152116DC">
      <w:pPr>
        <w:ind w:firstLine="6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中心城区划定五个开发强度分区。整体上控制</w:t>
      </w:r>
      <w:r>
        <w:rPr>
          <w:rFonts w:ascii="Times New Roman" w:hAnsi="Times New Roman" w:cs="Times New Roman"/>
          <w:color w:val="000000" w:themeColor="text1"/>
          <w:szCs w:val="24"/>
          <w14:textFill>
            <w14:solidFill>
              <w14:schemeClr w14:val="tx1"/>
            </w14:solidFill>
          </w14:textFill>
        </w:rPr>
        <w:t>IV</w:t>
      </w:r>
      <w:r>
        <w:rPr>
          <w:color w:val="000000" w:themeColor="text1"/>
          <w14:textFill>
            <w14:solidFill>
              <w14:schemeClr w14:val="tx1"/>
            </w14:solidFill>
          </w14:textFill>
        </w:rPr>
        <w:t>级强度区、</w:t>
      </w:r>
      <w:r>
        <w:rPr>
          <w:rFonts w:ascii="Times New Roman" w:hAnsi="Times New Roman" w:cs="Times New Roman"/>
          <w:color w:val="000000" w:themeColor="text1"/>
          <w14:textFill>
            <w14:solidFill>
              <w14:schemeClr w14:val="tx1"/>
            </w14:solidFill>
          </w14:textFill>
        </w:rPr>
        <w:t>V</w:t>
      </w:r>
      <w:r>
        <w:rPr>
          <w:color w:val="000000" w:themeColor="text1"/>
          <w14:textFill>
            <w14:solidFill>
              <w14:schemeClr w14:val="tx1"/>
            </w14:solidFill>
          </w14:textFill>
        </w:rPr>
        <w:t>级强度区占比在</w:t>
      </w:r>
      <w:r>
        <w:rPr>
          <w:rFonts w:ascii="Times New Roman" w:hAnsi="Times New Roman" w:cs="Times New Roman"/>
          <w:color w:val="000000" w:themeColor="text1"/>
          <w14:textFill>
            <w14:solidFill>
              <w14:schemeClr w14:val="tx1"/>
            </w14:solidFill>
          </w14:textFill>
        </w:rPr>
        <w:t>20%</w:t>
      </w:r>
      <w:r>
        <w:rPr>
          <w:color w:val="000000" w:themeColor="text1"/>
          <w14:textFill>
            <w14:solidFill>
              <w14:schemeClr w14:val="tx1"/>
            </w14:solidFill>
          </w14:textFill>
        </w:rPr>
        <w:t>左右，</w:t>
      </w:r>
      <w:r>
        <w:rPr>
          <w:rFonts w:ascii="Times New Roman" w:hAnsi="Times New Roman" w:cs="Times New Roman"/>
          <w:color w:val="000000" w:themeColor="text1"/>
          <w14:textFill>
            <w14:solidFill>
              <w14:schemeClr w14:val="tx1"/>
            </w14:solidFill>
          </w14:textFill>
        </w:rPr>
        <w:t>I</w:t>
      </w:r>
      <w:r>
        <w:rPr>
          <w:color w:val="000000" w:themeColor="text1"/>
          <w14:textFill>
            <w14:solidFill>
              <w14:schemeClr w14:val="tx1"/>
            </w14:solidFill>
          </w14:textFill>
        </w:rPr>
        <w:t>级强度区、</w:t>
      </w:r>
      <w:r>
        <w:rPr>
          <w:rFonts w:ascii="Times New Roman" w:hAnsi="Times New Roman" w:cs="Times New Roman"/>
          <w:color w:val="000000" w:themeColor="text1"/>
          <w14:textFill>
            <w14:solidFill>
              <w14:schemeClr w14:val="tx1"/>
            </w14:solidFill>
          </w14:textFill>
        </w:rPr>
        <w:t>II</w:t>
      </w:r>
      <w:r>
        <w:rPr>
          <w:color w:val="000000" w:themeColor="text1"/>
          <w14:textFill>
            <w14:solidFill>
              <w14:schemeClr w14:val="tx1"/>
            </w14:solidFill>
          </w14:textFill>
        </w:rPr>
        <w:t>级强度区和</w:t>
      </w:r>
      <w:r>
        <w:rPr>
          <w:rFonts w:ascii="Times New Roman" w:hAnsi="Times New Roman" w:cs="Times New Roman"/>
          <w:color w:val="000000" w:themeColor="text1"/>
          <w:szCs w:val="24"/>
          <w14:textFill>
            <w14:solidFill>
              <w14:schemeClr w14:val="tx1"/>
            </w14:solidFill>
          </w14:textFill>
        </w:rPr>
        <w:t>III</w:t>
      </w:r>
      <w:r>
        <w:rPr>
          <w:color w:val="000000" w:themeColor="text1"/>
          <w14:textFill>
            <w14:solidFill>
              <w14:schemeClr w14:val="tx1"/>
            </w14:solidFill>
          </w14:textFill>
        </w:rPr>
        <w:t>级强度区合计面积比例在</w:t>
      </w:r>
      <w:r>
        <w:rPr>
          <w:rFonts w:ascii="Times New Roman" w:hAnsi="Times New Roman" w:cs="Times New Roman"/>
          <w:color w:val="000000" w:themeColor="text1"/>
          <w:szCs w:val="24"/>
          <w14:textFill>
            <w14:solidFill>
              <w14:schemeClr w14:val="tx1"/>
            </w14:solidFill>
          </w14:textFill>
        </w:rPr>
        <w:t>80%</w:t>
      </w:r>
      <w:r>
        <w:rPr>
          <w:color w:val="000000" w:themeColor="text1"/>
          <w14:textFill>
            <w14:solidFill>
              <w14:schemeClr w14:val="tx1"/>
            </w14:solidFill>
          </w14:textFill>
        </w:rPr>
        <w:t>左右。开发强度分区应根据城市发展需求，适时进行动态修订。</w:t>
      </w:r>
    </w:p>
    <w:p w14:paraId="2D8B675E">
      <w:pPr>
        <w:ind w:firstLine="600"/>
        <w:jc w:val="both"/>
        <w:rPr>
          <w:color w:val="000000" w:themeColor="text1"/>
          <w14:textFill>
            <w14:solidFill>
              <w14:schemeClr w14:val="tx1"/>
            </w14:solidFill>
          </w14:textFill>
        </w:rPr>
      </w:pPr>
      <w:r>
        <w:rPr>
          <w:rFonts w:ascii="Times New Roman" w:hAnsi="Times New Roman" w:cs="Times New Roman"/>
          <w:color w:val="000000" w:themeColor="text1"/>
          <w:szCs w:val="24"/>
          <w14:textFill>
            <w14:solidFill>
              <w14:schemeClr w14:val="tx1"/>
            </w14:solidFill>
          </w14:textFill>
        </w:rPr>
        <w:t>V</w:t>
      </w:r>
      <w:r>
        <w:rPr>
          <w:color w:val="000000" w:themeColor="text1"/>
          <w14:textFill>
            <w14:solidFill>
              <w14:schemeClr w14:val="tx1"/>
            </w14:solidFill>
          </w14:textFill>
        </w:rPr>
        <w:t>级强度区（</w:t>
      </w:r>
      <w:r>
        <w:rPr>
          <w:rFonts w:hint="eastAsia" w:ascii="Times New Roman" w:hAnsi="Times New Roman" w:cs="Times New Roman"/>
          <w:color w:val="000000" w:themeColor="text1"/>
          <w14:textFill>
            <w14:solidFill>
              <w14:schemeClr w14:val="tx1"/>
            </w14:solidFill>
          </w14:textFill>
        </w:rPr>
        <w:t>容积率</w:t>
      </w:r>
      <w:r>
        <w:rPr>
          <w:rFonts w:hint="eastAsia"/>
          <w:color w:val="000000" w:themeColor="text1"/>
          <w14:textFill>
            <w14:solidFill>
              <w14:schemeClr w14:val="tx1"/>
            </w14:solidFill>
          </w14:textFill>
        </w:rPr>
        <w:t>大于</w:t>
      </w:r>
      <w:r>
        <w:rPr>
          <w:rFonts w:ascii="Times New Roman" w:hAnsi="Times New Roman" w:cs="Times New Roman"/>
          <w:color w:val="000000" w:themeColor="text1"/>
          <w:szCs w:val="24"/>
          <w14:textFill>
            <w14:solidFill>
              <w14:schemeClr w14:val="tx1"/>
            </w14:solidFill>
          </w14:textFill>
        </w:rPr>
        <w:t>3.0</w:t>
      </w:r>
      <w:r>
        <w:rPr>
          <w:color w:val="000000" w:themeColor="text1"/>
          <w14:textFill>
            <w14:solidFill>
              <w14:schemeClr w14:val="tx1"/>
            </w14:solidFill>
          </w14:textFill>
        </w:rPr>
        <w:t>）：中</w:t>
      </w:r>
      <w:r>
        <w:rPr>
          <w:rFonts w:hint="eastAsia"/>
          <w:color w:val="000000" w:themeColor="text1"/>
          <w14:textFill>
            <w14:solidFill>
              <w14:schemeClr w14:val="tx1"/>
            </w14:solidFill>
          </w14:textFill>
        </w:rPr>
        <w:t>部</w:t>
      </w:r>
      <w:r>
        <w:rPr>
          <w:color w:val="000000" w:themeColor="text1"/>
          <w14:textFill>
            <w14:solidFill>
              <w14:schemeClr w14:val="tx1"/>
            </w14:solidFill>
          </w14:textFill>
        </w:rPr>
        <w:t>商业核心</w:t>
      </w:r>
      <w:r>
        <w:rPr>
          <w:rFonts w:hint="eastAsia"/>
          <w:color w:val="000000" w:themeColor="text1"/>
          <w14:textFill>
            <w14:solidFill>
              <w14:schemeClr w14:val="tx1"/>
            </w14:solidFill>
          </w14:textFill>
        </w:rPr>
        <w:t>区域</w:t>
      </w:r>
      <w:r>
        <w:rPr>
          <w:color w:val="000000" w:themeColor="text1"/>
          <w14:textFill>
            <w14:solidFill>
              <w14:schemeClr w14:val="tx1"/>
            </w14:solidFill>
          </w14:textFill>
        </w:rPr>
        <w:t>，主要为商业用地。位于新城路、仁桥北路、建设路交汇处</w:t>
      </w:r>
      <w:r>
        <w:rPr>
          <w:rFonts w:hint="eastAsia"/>
          <w:color w:val="000000" w:themeColor="text1"/>
          <w14:textFill>
            <w14:solidFill>
              <w14:schemeClr w14:val="tx1"/>
            </w14:solidFill>
          </w14:textFill>
        </w:rPr>
        <w:t>周边</w:t>
      </w:r>
      <w:r>
        <w:rPr>
          <w:color w:val="000000" w:themeColor="text1"/>
          <w14:textFill>
            <w14:solidFill>
              <w14:schemeClr w14:val="tx1"/>
            </w14:solidFill>
          </w14:textFill>
        </w:rPr>
        <w:t>区</w:t>
      </w:r>
      <w:r>
        <w:rPr>
          <w:rFonts w:hint="eastAsia"/>
          <w:color w:val="000000" w:themeColor="text1"/>
          <w14:textFill>
            <w14:solidFill>
              <w14:schemeClr w14:val="tx1"/>
            </w14:solidFill>
          </w14:textFill>
        </w:rPr>
        <w:t>域</w:t>
      </w:r>
      <w:r>
        <w:rPr>
          <w:color w:val="000000" w:themeColor="text1"/>
          <w14:textFill>
            <w14:solidFill>
              <w14:schemeClr w14:val="tx1"/>
            </w14:solidFill>
          </w14:textFill>
        </w:rPr>
        <w:t>；</w:t>
      </w:r>
    </w:p>
    <w:p w14:paraId="77CA40DD">
      <w:pPr>
        <w:ind w:firstLine="600"/>
        <w:jc w:val="both"/>
        <w:rPr>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IV</w:t>
      </w:r>
      <w:r>
        <w:rPr>
          <w:color w:val="000000" w:themeColor="text1"/>
          <w14:textFill>
            <w14:solidFill>
              <w14:schemeClr w14:val="tx1"/>
            </w14:solidFill>
          </w14:textFill>
        </w:rPr>
        <w:t>级强度区（</w:t>
      </w:r>
      <w:r>
        <w:rPr>
          <w:rFonts w:hint="eastAsia"/>
          <w:color w:val="000000" w:themeColor="text1"/>
          <w14:textFill>
            <w14:solidFill>
              <w14:schemeClr w14:val="tx1"/>
            </w14:solidFill>
          </w14:textFill>
        </w:rPr>
        <w:t>容积率大于</w:t>
      </w:r>
      <w:r>
        <w:rPr>
          <w:rFonts w:ascii="Times New Roman" w:hAnsi="Times New Roman" w:cs="Times New Roman"/>
          <w:color w:val="000000" w:themeColor="text1"/>
          <w14:textFill>
            <w14:solidFill>
              <w14:schemeClr w14:val="tx1"/>
            </w14:solidFill>
          </w14:textFill>
        </w:rPr>
        <w:t>2.5</w:t>
      </w:r>
      <w:r>
        <w:rPr>
          <w:rFonts w:hint="eastAsia"/>
          <w:color w:val="000000" w:themeColor="text1"/>
          <w14:textFill>
            <w14:solidFill>
              <w14:schemeClr w14:val="tx1"/>
            </w14:solidFill>
          </w14:textFill>
        </w:rPr>
        <w:t>且小于等于</w:t>
      </w:r>
      <w:r>
        <w:rPr>
          <w:rFonts w:ascii="Times New Roman" w:hAnsi="Times New Roman" w:cs="Times New Roman"/>
          <w:color w:val="000000" w:themeColor="text1"/>
          <w14:textFill>
            <w14:solidFill>
              <w14:schemeClr w14:val="tx1"/>
            </w14:solidFill>
          </w14:textFill>
        </w:rPr>
        <w:t>3.0</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中部商业</w:t>
      </w:r>
      <w:r>
        <w:rPr>
          <w:color w:val="000000" w:themeColor="text1"/>
          <w14:textFill>
            <w14:solidFill>
              <w14:schemeClr w14:val="tx1"/>
            </w14:solidFill>
          </w14:textFill>
        </w:rPr>
        <w:t>辐射</w:t>
      </w:r>
      <w:r>
        <w:rPr>
          <w:rFonts w:hint="eastAsia"/>
          <w:color w:val="000000" w:themeColor="text1"/>
          <w14:textFill>
            <w14:solidFill>
              <w14:schemeClr w14:val="tx1"/>
            </w14:solidFill>
          </w14:textFill>
        </w:rPr>
        <w:t>区域</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新城建设区域、发展预留区域</w:t>
      </w:r>
      <w:r>
        <w:rPr>
          <w:color w:val="000000" w:themeColor="text1"/>
          <w14:textFill>
            <w14:solidFill>
              <w14:schemeClr w14:val="tx1"/>
            </w14:solidFill>
          </w14:textFill>
        </w:rPr>
        <w:t>，主要为商业用地</w:t>
      </w:r>
      <w:r>
        <w:rPr>
          <w:rFonts w:hint="eastAsia"/>
          <w:color w:val="000000" w:themeColor="text1"/>
          <w14:textFill>
            <w14:solidFill>
              <w14:schemeClr w14:val="tx1"/>
            </w14:solidFill>
          </w14:textFill>
        </w:rPr>
        <w:t>、居住用地</w:t>
      </w:r>
      <w:r>
        <w:rPr>
          <w:color w:val="000000" w:themeColor="text1"/>
          <w14:textFill>
            <w14:solidFill>
              <w14:schemeClr w14:val="tx1"/>
            </w14:solidFill>
          </w14:textFill>
        </w:rPr>
        <w:t>。位于</w:t>
      </w:r>
      <w:r>
        <w:rPr>
          <w:rFonts w:hint="eastAsia"/>
          <w:color w:val="000000" w:themeColor="text1"/>
          <w14:textFill>
            <w14:solidFill>
              <w14:schemeClr w14:val="tx1"/>
            </w14:solidFill>
          </w14:textFill>
        </w:rPr>
        <w:t>北环路</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丹霞新城</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北部</w:t>
      </w:r>
      <w:r>
        <w:rPr>
          <w:color w:val="000000" w:themeColor="text1"/>
          <w14:textFill>
            <w14:solidFill>
              <w14:schemeClr w14:val="tx1"/>
            </w14:solidFill>
          </w14:textFill>
        </w:rPr>
        <w:t>老城</w:t>
      </w:r>
      <w:r>
        <w:rPr>
          <w:rFonts w:hint="eastAsia"/>
          <w:color w:val="000000" w:themeColor="text1"/>
          <w14:textFill>
            <w14:solidFill>
              <w14:schemeClr w14:val="tx1"/>
            </w14:solidFill>
          </w14:textFill>
        </w:rPr>
        <w:t>区等区域</w:t>
      </w:r>
      <w:r>
        <w:rPr>
          <w:color w:val="000000" w:themeColor="text1"/>
          <w14:textFill>
            <w14:solidFill>
              <w14:schemeClr w14:val="tx1"/>
            </w14:solidFill>
          </w14:textFill>
        </w:rPr>
        <w:t>；</w:t>
      </w:r>
    </w:p>
    <w:p w14:paraId="5EA04DA4">
      <w:pPr>
        <w:ind w:firstLine="600"/>
        <w:jc w:val="both"/>
        <w:rPr>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III</w:t>
      </w:r>
      <w:r>
        <w:rPr>
          <w:color w:val="000000" w:themeColor="text1"/>
          <w14:textFill>
            <w14:solidFill>
              <w14:schemeClr w14:val="tx1"/>
            </w14:solidFill>
          </w14:textFill>
        </w:rPr>
        <w:t>级强度区（</w:t>
      </w:r>
      <w:r>
        <w:rPr>
          <w:rFonts w:hint="eastAsia"/>
          <w:color w:val="000000" w:themeColor="text1"/>
          <w14:textFill>
            <w14:solidFill>
              <w14:schemeClr w14:val="tx1"/>
            </w14:solidFill>
          </w14:textFill>
        </w:rPr>
        <w:t>容积率大于</w:t>
      </w:r>
      <w:r>
        <w:rPr>
          <w:rFonts w:ascii="Times New Roman" w:hAnsi="Times New Roman" w:cs="Times New Roman"/>
          <w:color w:val="000000" w:themeColor="text1"/>
          <w14:textFill>
            <w14:solidFill>
              <w14:schemeClr w14:val="tx1"/>
            </w14:solidFill>
          </w14:textFill>
        </w:rPr>
        <w:t>2.0</w:t>
      </w:r>
      <w:r>
        <w:rPr>
          <w:rFonts w:hint="eastAsia"/>
          <w:color w:val="000000" w:themeColor="text1"/>
          <w14:textFill>
            <w14:solidFill>
              <w14:schemeClr w14:val="tx1"/>
            </w14:solidFill>
          </w14:textFill>
        </w:rPr>
        <w:t>且小于等于</w:t>
      </w:r>
      <w:r>
        <w:rPr>
          <w:rFonts w:ascii="Times New Roman" w:hAnsi="Times New Roman" w:cs="Times New Roman"/>
          <w:color w:val="000000" w:themeColor="text1"/>
          <w14:textFill>
            <w14:solidFill>
              <w14:schemeClr w14:val="tx1"/>
            </w14:solidFill>
          </w14:textFill>
        </w:rPr>
        <w:t>2.5</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丹霞景区入口区域、滨水视廊区域、</w:t>
      </w:r>
      <w:r>
        <w:rPr>
          <w:color w:val="000000" w:themeColor="text1"/>
          <w14:textFill>
            <w14:solidFill>
              <w14:schemeClr w14:val="tx1"/>
            </w14:solidFill>
          </w14:textFill>
        </w:rPr>
        <w:t>临近</w:t>
      </w:r>
      <w:r>
        <w:rPr>
          <w:rFonts w:hint="eastAsia"/>
          <w:color w:val="000000" w:themeColor="text1"/>
          <w14:textFill>
            <w14:solidFill>
              <w14:schemeClr w14:val="tx1"/>
            </w14:solidFill>
          </w14:textFill>
        </w:rPr>
        <w:t>中部商业辐射区域</w:t>
      </w:r>
      <w:r>
        <w:rPr>
          <w:color w:val="000000" w:themeColor="text1"/>
          <w14:textFill>
            <w14:solidFill>
              <w14:schemeClr w14:val="tx1"/>
            </w14:solidFill>
          </w14:textFill>
        </w:rPr>
        <w:t>，主要为居住用地、规划商业用地</w:t>
      </w:r>
      <w:r>
        <w:rPr>
          <w:rFonts w:hint="eastAsia"/>
          <w:color w:val="000000" w:themeColor="text1"/>
          <w14:textFill>
            <w14:solidFill>
              <w14:schemeClr w14:val="tx1"/>
            </w14:solidFill>
          </w14:textFill>
        </w:rPr>
        <w:t>，主要位于中心城区中部、丹霞山景区正门</w:t>
      </w:r>
      <w:r>
        <w:rPr>
          <w:color w:val="000000" w:themeColor="text1"/>
          <w14:textFill>
            <w14:solidFill>
              <w14:schemeClr w14:val="tx1"/>
            </w14:solidFill>
          </w14:textFill>
        </w:rPr>
        <w:t>；</w:t>
      </w:r>
    </w:p>
    <w:p w14:paraId="5EDD0787">
      <w:pPr>
        <w:ind w:firstLine="600"/>
        <w:jc w:val="both"/>
        <w:rPr>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II</w:t>
      </w:r>
      <w:r>
        <w:rPr>
          <w:color w:val="000000" w:themeColor="text1"/>
          <w14:textFill>
            <w14:solidFill>
              <w14:schemeClr w14:val="tx1"/>
            </w14:solidFill>
          </w14:textFill>
        </w:rPr>
        <w:t>级强度区（</w:t>
      </w:r>
      <w:r>
        <w:rPr>
          <w:rFonts w:hint="eastAsia" w:ascii="Times New Roman" w:hAnsi="Times New Roman" w:cs="Times New Roman"/>
          <w:color w:val="000000" w:themeColor="text1"/>
          <w14:textFill>
            <w14:solidFill>
              <w14:schemeClr w14:val="tx1"/>
            </w14:solidFill>
          </w14:textFill>
        </w:rPr>
        <w:t>容积率大于</w:t>
      </w:r>
      <w:r>
        <w:rPr>
          <w:rFonts w:ascii="Times New Roman" w:hAnsi="Times New Roman" w:cs="Times New Roman"/>
          <w:color w:val="000000" w:themeColor="text1"/>
          <w14:textFill>
            <w14:solidFill>
              <w14:schemeClr w14:val="tx1"/>
            </w14:solidFill>
          </w14:textFill>
        </w:rPr>
        <w:t>1.0</w:t>
      </w:r>
      <w:r>
        <w:rPr>
          <w:rFonts w:hint="eastAsia" w:ascii="Times New Roman" w:hAnsi="Times New Roman" w:cs="Times New Roman"/>
          <w:color w:val="000000" w:themeColor="text1"/>
          <w14:textFill>
            <w14:solidFill>
              <w14:schemeClr w14:val="tx1"/>
            </w14:solidFill>
          </w14:textFill>
        </w:rPr>
        <w:t>且小于等于</w:t>
      </w:r>
      <w:r>
        <w:rPr>
          <w:rFonts w:ascii="Times New Roman" w:hAnsi="Times New Roman" w:cs="Times New Roman"/>
          <w:color w:val="000000" w:themeColor="text1"/>
          <w14:textFill>
            <w14:solidFill>
              <w14:schemeClr w14:val="tx1"/>
            </w14:solidFill>
          </w14:textFill>
        </w:rPr>
        <w:t>2.0</w:t>
      </w:r>
      <w:r>
        <w:rPr>
          <w:color w:val="000000" w:themeColor="text1"/>
          <w14:textFill>
            <w14:solidFill>
              <w14:schemeClr w14:val="tx1"/>
            </w14:solidFill>
          </w14:textFill>
        </w:rPr>
        <w:t>）：主要为居住用地、工业用地和部分商业用地；位于沿工业大道、建设路两侧的工业片区，丹霞大道两侧的滨江生态控制区，老城风貌区、丹霞风貌区等需强度控制的区域。</w:t>
      </w:r>
    </w:p>
    <w:p w14:paraId="06E8CBE7">
      <w:pPr>
        <w:ind w:firstLine="600"/>
        <w:jc w:val="both"/>
        <w:rPr>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I</w:t>
      </w:r>
      <w:r>
        <w:rPr>
          <w:color w:val="000000" w:themeColor="text1"/>
          <w14:textFill>
            <w14:solidFill>
              <w14:schemeClr w14:val="tx1"/>
            </w14:solidFill>
          </w14:textFill>
        </w:rPr>
        <w:t>级强度区（</w:t>
      </w:r>
      <w:r>
        <w:rPr>
          <w:rFonts w:hint="eastAsia" w:ascii="Times New Roman" w:hAnsi="Times New Roman" w:cs="Times New Roman"/>
          <w:color w:val="000000" w:themeColor="text1"/>
          <w14:textFill>
            <w14:solidFill>
              <w14:schemeClr w14:val="tx1"/>
            </w14:solidFill>
          </w14:textFill>
        </w:rPr>
        <w:t>容积率小于等于</w:t>
      </w:r>
      <w:r>
        <w:rPr>
          <w:rFonts w:ascii="Times New Roman" w:hAnsi="Times New Roman" w:cs="Times New Roman"/>
          <w:color w:val="000000" w:themeColor="text1"/>
          <w14:textFill>
            <w14:solidFill>
              <w14:schemeClr w14:val="tx1"/>
            </w14:solidFill>
          </w14:textFill>
        </w:rPr>
        <w:t>1.0</w:t>
      </w:r>
      <w:r>
        <w:rPr>
          <w:color w:val="000000" w:themeColor="text1"/>
          <w14:textFill>
            <w14:solidFill>
              <w14:schemeClr w14:val="tx1"/>
            </w14:solidFill>
          </w14:textFill>
        </w:rPr>
        <w:t>）：主要</w:t>
      </w:r>
      <w:r>
        <w:rPr>
          <w:rFonts w:hint="eastAsia"/>
          <w:color w:val="000000" w:themeColor="text1"/>
          <w14:textFill>
            <w14:solidFill>
              <w14:schemeClr w14:val="tx1"/>
            </w14:solidFill>
          </w14:textFill>
        </w:rPr>
        <w:t>为</w:t>
      </w:r>
      <w:r>
        <w:rPr>
          <w:color w:val="000000" w:themeColor="text1"/>
          <w14:textFill>
            <w14:solidFill>
              <w14:schemeClr w14:val="tx1"/>
            </w14:solidFill>
          </w14:textFill>
        </w:rPr>
        <w:t>体育用地和绿地与开敞空间用地等。</w:t>
      </w:r>
    </w:p>
    <w:p w14:paraId="7B4E723E">
      <w:pPr>
        <w:pStyle w:val="6"/>
        <w:spacing w:before="163" w:after="163"/>
        <w:rPr>
          <w:b/>
        </w:rPr>
      </w:pPr>
      <w:bookmarkStart w:id="1822" w:name="_Toc17558"/>
      <w:bookmarkStart w:id="1823" w:name="_Toc141888023"/>
      <w:r>
        <w:rPr>
          <w:rFonts w:hint="eastAsia"/>
        </w:rPr>
        <w:t>城市空间形态控制要求</w:t>
      </w:r>
      <w:bookmarkEnd w:id="1822"/>
      <w:bookmarkEnd w:id="1823"/>
    </w:p>
    <w:p w14:paraId="4BF9D25A">
      <w:pPr>
        <w:ind w:firstLine="600"/>
        <w:jc w:val="both"/>
        <w:rPr>
          <w:color w:val="000000" w:themeColor="text1"/>
          <w14:textFill>
            <w14:solidFill>
              <w14:schemeClr w14:val="tx1"/>
            </w14:solidFill>
          </w14:textFill>
        </w:rPr>
      </w:pPr>
      <w:r>
        <w:rPr>
          <w:rFonts w:ascii="楷体_GB2312" w:hAnsi="Times New Roman" w:eastAsia="楷体_GB2312" w:cs="Times New Roman"/>
          <w:color w:val="000000" w:themeColor="text1"/>
          <w14:textFill>
            <w14:solidFill>
              <w14:schemeClr w14:val="tx1"/>
            </w14:solidFill>
          </w14:textFill>
        </w:rPr>
        <w:t>重点控制区划分</w:t>
      </w:r>
      <w:r>
        <w:rPr>
          <w:rFonts w:hint="eastAsia" w:ascii="楷体_GB2312" w:hAnsi="Times New Roman" w:eastAsia="楷体_GB2312" w:cs="Times New Roman"/>
          <w:color w:val="000000" w:themeColor="text1"/>
          <w14:textFill>
            <w14:solidFill>
              <w14:schemeClr w14:val="tx1"/>
            </w14:solidFill>
          </w14:textFill>
        </w:rPr>
        <w:t>。</w:t>
      </w:r>
      <w:r>
        <w:rPr>
          <w:rFonts w:hint="eastAsia"/>
          <w:color w:val="000000" w:themeColor="text1"/>
          <w14:textFill>
            <w14:solidFill>
              <w14:schemeClr w14:val="tx1"/>
            </w14:solidFill>
          </w14:textFill>
        </w:rPr>
        <w:t>依据地块区位与功能划分出三类城市设计重点地区，从土地利用、街景控制、标志物、建设控制等方面进行设计研究。城市设计核心区域为老城片区、丹霞山景区入口区域、丹霞新城区域等对城市结构框架有重要影响作用的区域，对其重点打造，建设为具有文化底蕴，代表仁化形象，担当城市门户的城市核心。城市设计重要功能片区为具有历史文化遗产、特色风貌、片区活力等具有特殊重要属性的区域，对这些区域内的城市街道界面、建筑风格作严格管控，将其建设成为中心城区各个片区的服务极核、特色节点。城市重要开敞空间控制区为丹霞山前生态通廊、锦城公园周边等城市重要开敞空间，该类区域重点保护自然景观风貌，对周边的开发建设施以严格的管控，通过对景观视廊、建筑高度等的控制，塑造城绿互融的良好风貌。</w:t>
      </w:r>
    </w:p>
    <w:p w14:paraId="096ED08D">
      <w:pPr>
        <w:ind w:firstLine="600"/>
        <w:jc w:val="both"/>
        <w:rPr>
          <w:color w:val="000000" w:themeColor="text1"/>
          <w14:textFill>
            <w14:solidFill>
              <w14:schemeClr w14:val="tx1"/>
            </w14:solidFill>
          </w14:textFill>
        </w:rPr>
      </w:pPr>
      <w:r>
        <w:rPr>
          <w:rFonts w:hint="eastAsia" w:ascii="楷体_GB2312" w:hAnsi="Times New Roman" w:eastAsia="楷体_GB2312" w:cs="Times New Roman"/>
          <w:color w:val="000000" w:themeColor="text1"/>
          <w14:textFill>
            <w14:solidFill>
              <w14:schemeClr w14:val="tx1"/>
            </w14:solidFill>
          </w14:textFill>
        </w:rPr>
        <w:t>构建和谐有序的高度管控体系。</w:t>
      </w:r>
      <w:r>
        <w:rPr>
          <w:rFonts w:hint="eastAsia"/>
          <w:color w:val="000000" w:themeColor="text1"/>
          <w14:textFill>
            <w14:solidFill>
              <w14:schemeClr w14:val="tx1"/>
            </w14:solidFill>
          </w14:textFill>
        </w:rPr>
        <w:t>控制老城区、历史文化地区、沿山滨水地区的建筑高度与形态。建筑高度总体采用渐退式方式控制临近山体、自然保护地、城南森林公园、锦城公园等生态区域周边的建筑高度</w:t>
      </w:r>
      <w:r>
        <w:rPr>
          <w:color w:val="000000" w:themeColor="text1"/>
          <w14:textFill>
            <w14:solidFill>
              <w14:schemeClr w14:val="tx1"/>
            </w14:solidFill>
          </w14:textFill>
        </w:rPr>
        <w:t>。</w:t>
      </w:r>
    </w:p>
    <w:p w14:paraId="0F21854C">
      <w:pPr>
        <w:ind w:firstLine="600"/>
        <w:jc w:val="both"/>
        <w:rPr>
          <w:color w:val="000000" w:themeColor="text1"/>
          <w14:textFill>
            <w14:solidFill>
              <w14:schemeClr w14:val="tx1"/>
            </w14:solidFill>
          </w14:textFill>
        </w:rPr>
      </w:pPr>
      <w:r>
        <w:rPr>
          <w:rFonts w:hint="eastAsia" w:ascii="楷体_GB2312" w:hAnsi="Times New Roman" w:eastAsia="楷体_GB2312" w:cs="Times New Roman"/>
          <w:color w:val="000000" w:themeColor="text1"/>
          <w14:textFill>
            <w14:solidFill>
              <w14:schemeClr w14:val="tx1"/>
            </w14:solidFill>
          </w14:textFill>
        </w:rPr>
        <w:t>城市天际线塑造及视廊控制。</w:t>
      </w:r>
      <w:r>
        <w:rPr>
          <w:rFonts w:hint="eastAsia"/>
          <w:color w:val="000000" w:themeColor="text1"/>
          <w14:textFill>
            <w14:solidFill>
              <w14:schemeClr w14:val="tx1"/>
            </w14:solidFill>
          </w14:textFill>
        </w:rPr>
        <w:t>优化两类天际轮廓线，塑造</w:t>
      </w:r>
      <w:r>
        <w:rPr>
          <w:rFonts w:hint="eastAsia" w:ascii="仿宋_GB2312"/>
          <w:color w:val="000000" w:themeColor="text1"/>
          <w14:textFill>
            <w14:solidFill>
              <w14:schemeClr w14:val="tx1"/>
            </w14:solidFill>
          </w14:textFill>
        </w:rPr>
        <w:t>“</w:t>
      </w:r>
      <w:r>
        <w:rPr>
          <w:rFonts w:hint="eastAsia"/>
          <w:color w:val="000000" w:themeColor="text1"/>
          <w14:textFill>
            <w14:solidFill>
              <w14:schemeClr w14:val="tx1"/>
            </w14:solidFill>
          </w14:textFill>
        </w:rPr>
        <w:t>显山露水、错落有致、特色鲜明</w:t>
      </w:r>
      <w:r>
        <w:rPr>
          <w:rFonts w:hint="eastAsia" w:ascii="仿宋_GB2312"/>
          <w:color w:val="000000" w:themeColor="text1"/>
          <w14:textFill>
            <w14:solidFill>
              <w14:schemeClr w14:val="tx1"/>
            </w14:solidFill>
          </w14:textFill>
        </w:rPr>
        <w:t>”</w:t>
      </w:r>
      <w:r>
        <w:rPr>
          <w:rFonts w:hint="eastAsia"/>
          <w:color w:val="000000" w:themeColor="text1"/>
          <w14:textFill>
            <w14:solidFill>
              <w14:schemeClr w14:val="tx1"/>
            </w14:solidFill>
          </w14:textFill>
        </w:rPr>
        <w:t>的城市天际线。城市</w:t>
      </w:r>
      <w:bookmarkStart w:id="1824" w:name="_Hlk143182559"/>
      <w:r>
        <w:rPr>
          <w:rFonts w:hint="eastAsia"/>
          <w:color w:val="000000" w:themeColor="text1"/>
          <w14:textFill>
            <w14:solidFill>
              <w14:schemeClr w14:val="tx1"/>
            </w14:solidFill>
          </w14:textFill>
        </w:rPr>
        <w:t>天际线</w:t>
      </w:r>
      <w:bookmarkEnd w:id="1824"/>
      <w:r>
        <w:rPr>
          <w:rFonts w:hint="eastAsia"/>
          <w:color w:val="000000" w:themeColor="text1"/>
          <w14:textFill>
            <w14:solidFill>
              <w14:schemeClr w14:val="tx1"/>
            </w14:solidFill>
          </w14:textFill>
        </w:rPr>
        <w:t>为沿商业活力带和景观大道等主要界面形成地标统领、有序起伏的现代城市轮廓线。锦江景观带天际线为沿山滨水界面形成显山露水、山水映城的沿山天际线，严格控制沿山地带的建筑高度与体量，保护城市周边连绵山峦背景。</w:t>
      </w:r>
    </w:p>
    <w:p w14:paraId="0A304904">
      <w:pPr>
        <w:ind w:firstLine="600"/>
        <w:jc w:val="both"/>
        <w:rPr>
          <w:color w:val="000000" w:themeColor="text1"/>
          <w14:textFill>
            <w14:solidFill>
              <w14:schemeClr w14:val="tx1"/>
            </w14:solidFill>
          </w14:textFill>
        </w:rPr>
      </w:pPr>
      <w:r>
        <w:rPr>
          <w:rFonts w:hint="eastAsia" w:ascii="楷体_GB2312" w:hAnsi="Times New Roman" w:eastAsia="楷体_GB2312" w:cs="Times New Roman"/>
          <w:color w:val="000000" w:themeColor="text1"/>
          <w14:textFill>
            <w14:solidFill>
              <w14:schemeClr w14:val="tx1"/>
            </w14:solidFill>
          </w14:textFill>
        </w:rPr>
        <w:t>尊重历史文脉。</w:t>
      </w:r>
      <w:r>
        <w:rPr>
          <w:rFonts w:hint="eastAsia"/>
          <w:color w:val="000000" w:themeColor="text1"/>
          <w14:textFill>
            <w14:solidFill>
              <w14:schemeClr w14:val="tx1"/>
            </w14:solidFill>
          </w14:textFill>
        </w:rPr>
        <w:t>维护文峰塔、仁化暴动纪念碑、水南村梁氏宗祠等文物保护单位周边空间轮廓完整性，合理管控周边建筑高度，保护历史文化景观视廊通透性，塑造中心城区历史文脉格局。</w:t>
      </w:r>
    </w:p>
    <w:p w14:paraId="64A15121">
      <w:pPr>
        <w:pStyle w:val="5"/>
        <w:numPr>
          <w:ilvl w:val="1"/>
          <w:numId w:val="9"/>
        </w:numPr>
        <w:spacing w:before="163" w:after="163"/>
        <w:rPr>
          <w:b/>
        </w:rPr>
      </w:pPr>
      <w:bookmarkStart w:id="1825" w:name="_Toc141888024"/>
      <w:bookmarkStart w:id="1826" w:name="_Toc132305918"/>
      <w:bookmarkStart w:id="1827" w:name="_Toc25628"/>
      <w:bookmarkStart w:id="1828" w:name="_Toc167271409"/>
      <w:bookmarkStart w:id="1829" w:name="_Toc68625552"/>
      <w:bookmarkStart w:id="1830" w:name="_Toc88472408"/>
      <w:r>
        <w:rPr>
          <w:rFonts w:hint="eastAsia"/>
        </w:rPr>
        <w:t>其他各类控制线</w:t>
      </w:r>
      <w:bookmarkEnd w:id="1825"/>
      <w:bookmarkEnd w:id="1826"/>
      <w:bookmarkEnd w:id="1827"/>
      <w:bookmarkEnd w:id="1828"/>
    </w:p>
    <w:p w14:paraId="36EB71A5">
      <w:pPr>
        <w:pStyle w:val="6"/>
        <w:spacing w:before="163" w:after="163"/>
        <w:rPr>
          <w:b/>
        </w:rPr>
      </w:pPr>
      <w:bookmarkStart w:id="1831" w:name="_Toc26363"/>
      <w:bookmarkStart w:id="1832" w:name="_Toc132305919"/>
      <w:bookmarkStart w:id="1833" w:name="_Toc141888025"/>
      <w:r>
        <w:t>城市蓝线</w:t>
      </w:r>
      <w:r>
        <w:rPr>
          <w:rFonts w:hint="eastAsia"/>
        </w:rPr>
        <w:t>划定与空间管控</w:t>
      </w:r>
      <w:bookmarkEnd w:id="1831"/>
      <w:bookmarkEnd w:id="1832"/>
      <w:bookmarkEnd w:id="1833"/>
    </w:p>
    <w:p w14:paraId="0A0BDD56">
      <w:pPr>
        <w:ind w:firstLine="600"/>
        <w:jc w:val="both"/>
        <w:rPr>
          <w:rFonts w:ascii="Times New Roman" w:hAnsi="Times New Roman" w:cs="Times New Roman"/>
          <w:color w:val="000000" w:themeColor="text1"/>
          <w:szCs w:val="24"/>
          <w:u w:val="single"/>
          <w14:textFill>
            <w14:solidFill>
              <w14:schemeClr w14:val="tx1"/>
            </w14:solidFill>
          </w14:textFill>
        </w:rPr>
      </w:pPr>
      <w:r>
        <w:rPr>
          <w:rFonts w:hint="eastAsia" w:ascii="Times New Roman" w:hAnsi="Times New Roman" w:cs="Times New Roman"/>
          <w:color w:val="000000" w:themeColor="text1"/>
          <w:szCs w:val="24"/>
          <w:u w:val="single"/>
          <w14:textFill>
            <w14:solidFill>
              <w14:schemeClr w14:val="tx1"/>
            </w14:solidFill>
          </w14:textFill>
        </w:rPr>
        <w:t>规划将中心城区范围内的锦江河道、缺口水库、狐狸岩水库等水体划为城市蓝线。</w:t>
      </w:r>
      <w:r>
        <w:rPr>
          <w:rFonts w:hint="eastAsia"/>
          <w:u w:val="single"/>
        </w:rPr>
        <w:t>城市蓝线管理应遵照相关法规政策等进行管理。</w:t>
      </w:r>
    </w:p>
    <w:p w14:paraId="2DF732DC">
      <w:pPr>
        <w:ind w:firstLine="600"/>
        <w:jc w:val="both"/>
      </w:pPr>
      <w:r>
        <w:rPr>
          <w:rFonts w:hint="eastAsia"/>
        </w:rPr>
        <w:t>在保障总规模不减少以及满足单元水域面积、河湖水面率等指标要求的前提下，城市蓝线的具体边界、定位可在国土空间详细规划编制和实施中落实，城市蓝线的调整应符合国家有关规定，并与水利部门河湖管理范围充分衔接。</w:t>
      </w:r>
    </w:p>
    <w:p w14:paraId="5E4621A3">
      <w:pPr>
        <w:pStyle w:val="6"/>
        <w:spacing w:before="163" w:after="163"/>
        <w:rPr>
          <w:b/>
        </w:rPr>
      </w:pPr>
      <w:bookmarkStart w:id="1834" w:name="_Toc143356170"/>
      <w:bookmarkEnd w:id="1834"/>
      <w:bookmarkStart w:id="1835" w:name="_Toc142403010"/>
      <w:bookmarkEnd w:id="1835"/>
      <w:bookmarkStart w:id="1836" w:name="_Toc143099546"/>
      <w:bookmarkEnd w:id="1836"/>
      <w:bookmarkStart w:id="1837" w:name="_Toc142467058"/>
      <w:bookmarkEnd w:id="1837"/>
      <w:bookmarkStart w:id="1838" w:name="_Toc142400796"/>
      <w:bookmarkEnd w:id="1838"/>
      <w:bookmarkStart w:id="1839" w:name="_Toc143358506"/>
      <w:bookmarkEnd w:id="1839"/>
      <w:bookmarkStart w:id="1840" w:name="_Toc143358216"/>
      <w:bookmarkEnd w:id="1840"/>
      <w:bookmarkStart w:id="1841" w:name="_Toc143354448"/>
      <w:bookmarkEnd w:id="1841"/>
      <w:bookmarkStart w:id="1842" w:name="_Toc143260953"/>
      <w:bookmarkEnd w:id="1842"/>
      <w:bookmarkStart w:id="1843" w:name="_Toc142495739"/>
      <w:bookmarkEnd w:id="1843"/>
      <w:bookmarkStart w:id="1844" w:name="_Toc142859003"/>
      <w:bookmarkEnd w:id="1844"/>
      <w:bookmarkStart w:id="1845" w:name="_Toc143355590"/>
      <w:bookmarkEnd w:id="1845"/>
      <w:bookmarkStart w:id="1846" w:name="_Toc143357054"/>
      <w:bookmarkEnd w:id="1846"/>
      <w:bookmarkStart w:id="1847" w:name="_Toc143357344"/>
      <w:bookmarkEnd w:id="1847"/>
      <w:bookmarkStart w:id="1848" w:name="_Toc143099261"/>
      <w:bookmarkEnd w:id="1848"/>
      <w:bookmarkStart w:id="1849" w:name="_Toc143357634"/>
      <w:bookmarkEnd w:id="1849"/>
      <w:bookmarkStart w:id="1850" w:name="_Toc142391138"/>
      <w:bookmarkEnd w:id="1850"/>
      <w:bookmarkStart w:id="1851" w:name="_Toc142381052"/>
      <w:bookmarkEnd w:id="1851"/>
      <w:bookmarkStart w:id="1852" w:name="_Toc143354158"/>
      <w:bookmarkEnd w:id="1852"/>
      <w:bookmarkStart w:id="1853" w:name="_Toc143355016"/>
      <w:bookmarkEnd w:id="1853"/>
      <w:bookmarkStart w:id="1854" w:name="_Toc143355880"/>
      <w:bookmarkEnd w:id="1854"/>
      <w:bookmarkStart w:id="1855" w:name="_Toc142391398"/>
      <w:bookmarkEnd w:id="1855"/>
      <w:bookmarkStart w:id="1856" w:name="_Toc142390552"/>
      <w:bookmarkEnd w:id="1856"/>
      <w:bookmarkStart w:id="1857" w:name="_Toc142381317"/>
      <w:bookmarkEnd w:id="1857"/>
      <w:bookmarkStart w:id="1858" w:name="_Toc143353194"/>
      <w:bookmarkEnd w:id="1858"/>
      <w:bookmarkStart w:id="1859" w:name="_Toc143352898"/>
      <w:bookmarkEnd w:id="1859"/>
      <w:bookmarkStart w:id="1860" w:name="_Toc143357925"/>
      <w:bookmarkEnd w:id="1860"/>
      <w:bookmarkStart w:id="1861" w:name="_Toc143358797"/>
      <w:bookmarkEnd w:id="1861"/>
      <w:bookmarkStart w:id="1862" w:name="_Toc143354732"/>
      <w:bookmarkEnd w:id="1862"/>
      <w:bookmarkStart w:id="1863" w:name="_Toc143356750"/>
      <w:bookmarkEnd w:id="1863"/>
      <w:bookmarkStart w:id="1864" w:name="_Toc142403261"/>
      <w:bookmarkEnd w:id="1864"/>
      <w:bookmarkStart w:id="1865" w:name="_Toc143356460"/>
      <w:bookmarkEnd w:id="1865"/>
      <w:bookmarkStart w:id="1866" w:name="_Toc143355300"/>
      <w:bookmarkEnd w:id="1866"/>
      <w:bookmarkStart w:id="1867" w:name="_Toc143353872"/>
      <w:bookmarkEnd w:id="1867"/>
      <w:bookmarkStart w:id="1868" w:name="_Toc141888026"/>
      <w:bookmarkStart w:id="1869" w:name="_Toc31931"/>
      <w:bookmarkStart w:id="1870" w:name="_Toc132305920"/>
      <w:r>
        <w:t>城市绿线</w:t>
      </w:r>
      <w:r>
        <w:rPr>
          <w:rFonts w:hint="eastAsia"/>
        </w:rPr>
        <w:t>划定与空间管控</w:t>
      </w:r>
      <w:bookmarkEnd w:id="1868"/>
      <w:bookmarkEnd w:id="1869"/>
      <w:bookmarkEnd w:id="1870"/>
    </w:p>
    <w:p w14:paraId="1F782F59">
      <w:pPr>
        <w:ind w:firstLine="600"/>
        <w:jc w:val="both"/>
        <w:rPr>
          <w:rFonts w:ascii="Times New Roman" w:hAnsi="Times New Roman" w:cs="Times New Roman"/>
          <w:color w:val="000000" w:themeColor="text1"/>
          <w:szCs w:val="24"/>
          <w:u w:val="single"/>
          <w14:textFill>
            <w14:solidFill>
              <w14:schemeClr w14:val="tx1"/>
            </w14:solidFill>
          </w14:textFill>
        </w:rPr>
      </w:pPr>
      <w:r>
        <w:rPr>
          <w:rFonts w:hint="eastAsia" w:ascii="Times New Roman" w:hAnsi="Times New Roman" w:cs="Times New Roman"/>
          <w:color w:val="000000" w:themeColor="text1"/>
          <w:szCs w:val="24"/>
          <w:u w:val="single"/>
          <w14:textFill>
            <w14:solidFill>
              <w14:schemeClr w14:val="tx1"/>
            </w14:solidFill>
          </w14:textFill>
        </w:rPr>
        <w:t>规划将中心城区结构性绿地边界划为城市绿线。</w:t>
      </w:r>
      <w:r>
        <w:rPr>
          <w:rFonts w:hint="eastAsia"/>
          <w:u w:val="single"/>
        </w:rPr>
        <w:t>城市绿线管理应遵照相关法规政策等进行管理。</w:t>
      </w:r>
    </w:p>
    <w:p w14:paraId="1E7B53D0">
      <w:pPr>
        <w:ind w:firstLine="600"/>
        <w:jc w:val="both"/>
      </w:pPr>
      <w:r>
        <w:rPr>
          <w:rFonts w:hint="eastAsia"/>
        </w:rPr>
        <w:t>在保障总规模不减少的前提下，城市绿线的具体边界、定位可在国土空间详细规划编制和实施中落实，城市绿线的调整应符合国家有关规定。城市绿线范围内不得进行对生态环境构成破坏的活动，除地下空间开发利用、地面应急救援、绿化养护、文化自然遗产保护、必要的公园配套设施外，不得进行其他项目建设。</w:t>
      </w:r>
    </w:p>
    <w:p w14:paraId="71DCAD46">
      <w:pPr>
        <w:pStyle w:val="6"/>
        <w:spacing w:before="163" w:after="163"/>
        <w:rPr>
          <w:b/>
        </w:rPr>
      </w:pPr>
      <w:bookmarkStart w:id="1871" w:name="_Toc142390554"/>
      <w:bookmarkEnd w:id="1871"/>
      <w:bookmarkStart w:id="1872" w:name="_Toc143356172"/>
      <w:bookmarkEnd w:id="1872"/>
      <w:bookmarkStart w:id="1873" w:name="_Toc143355592"/>
      <w:bookmarkEnd w:id="1873"/>
      <w:bookmarkStart w:id="1874" w:name="_Toc143357636"/>
      <w:bookmarkEnd w:id="1874"/>
      <w:bookmarkStart w:id="1875" w:name="_Toc143355882"/>
      <w:bookmarkEnd w:id="1875"/>
      <w:bookmarkStart w:id="1876" w:name="_Toc143357346"/>
      <w:bookmarkEnd w:id="1876"/>
      <w:bookmarkStart w:id="1877" w:name="_Toc143358799"/>
      <w:bookmarkEnd w:id="1877"/>
      <w:bookmarkStart w:id="1878" w:name="_Toc143354450"/>
      <w:bookmarkEnd w:id="1878"/>
      <w:bookmarkStart w:id="1879" w:name="_Toc143358218"/>
      <w:bookmarkEnd w:id="1879"/>
      <w:bookmarkStart w:id="1880" w:name="_Toc143358508"/>
      <w:bookmarkEnd w:id="1880"/>
      <w:bookmarkStart w:id="1881" w:name="_Toc143354160"/>
      <w:bookmarkEnd w:id="1881"/>
      <w:bookmarkStart w:id="1882" w:name="_Toc143357056"/>
      <w:bookmarkEnd w:id="1882"/>
      <w:bookmarkStart w:id="1883" w:name="_Toc143354734"/>
      <w:bookmarkEnd w:id="1883"/>
      <w:bookmarkStart w:id="1884" w:name="_Toc143355302"/>
      <w:bookmarkEnd w:id="1884"/>
      <w:bookmarkStart w:id="1885" w:name="_Toc143357927"/>
      <w:bookmarkEnd w:id="1885"/>
      <w:bookmarkStart w:id="1886" w:name="_Toc142467060"/>
      <w:bookmarkEnd w:id="1886"/>
      <w:bookmarkStart w:id="1887" w:name="_Toc143099548"/>
      <w:bookmarkEnd w:id="1887"/>
      <w:bookmarkStart w:id="1888" w:name="_Toc142400798"/>
      <w:bookmarkEnd w:id="1888"/>
      <w:bookmarkStart w:id="1889" w:name="_Toc143353196"/>
      <w:bookmarkEnd w:id="1889"/>
      <w:bookmarkStart w:id="1890" w:name="_Toc143356462"/>
      <w:bookmarkEnd w:id="1890"/>
      <w:bookmarkStart w:id="1891" w:name="_Toc143353874"/>
      <w:bookmarkEnd w:id="1891"/>
      <w:bookmarkStart w:id="1892" w:name="_Toc142859005"/>
      <w:bookmarkEnd w:id="1892"/>
      <w:bookmarkStart w:id="1893" w:name="_Toc143356752"/>
      <w:bookmarkEnd w:id="1893"/>
      <w:bookmarkStart w:id="1894" w:name="_Toc142391140"/>
      <w:bookmarkEnd w:id="1894"/>
      <w:bookmarkStart w:id="1895" w:name="_Toc143352900"/>
      <w:bookmarkEnd w:id="1895"/>
      <w:bookmarkStart w:id="1896" w:name="_Toc142403263"/>
      <w:bookmarkEnd w:id="1896"/>
      <w:bookmarkStart w:id="1897" w:name="_Toc143355018"/>
      <w:bookmarkEnd w:id="1897"/>
      <w:bookmarkStart w:id="1898" w:name="_Toc142381319"/>
      <w:bookmarkEnd w:id="1898"/>
      <w:bookmarkStart w:id="1899" w:name="_Toc142381054"/>
      <w:bookmarkEnd w:id="1899"/>
      <w:bookmarkStart w:id="1900" w:name="_Toc142403012"/>
      <w:bookmarkEnd w:id="1900"/>
      <w:bookmarkStart w:id="1901" w:name="_Toc142495741"/>
      <w:bookmarkEnd w:id="1901"/>
      <w:bookmarkStart w:id="1902" w:name="_Toc143260955"/>
      <w:bookmarkEnd w:id="1902"/>
      <w:bookmarkStart w:id="1903" w:name="_Toc143099263"/>
      <w:bookmarkEnd w:id="1903"/>
      <w:bookmarkStart w:id="1904" w:name="_Toc142391400"/>
      <w:bookmarkEnd w:id="1904"/>
      <w:bookmarkStart w:id="1905" w:name="_Toc22612"/>
      <w:bookmarkStart w:id="1906" w:name="_Toc141888027"/>
      <w:bookmarkStart w:id="1907" w:name="_Toc132305921"/>
      <w:r>
        <w:t>城市黄线</w:t>
      </w:r>
      <w:r>
        <w:rPr>
          <w:rFonts w:hint="eastAsia"/>
        </w:rPr>
        <w:t>划定与空间管控</w:t>
      </w:r>
    </w:p>
    <w:p w14:paraId="16E85025">
      <w:pPr>
        <w:ind w:firstLine="600"/>
        <w:jc w:val="both"/>
        <w:rPr>
          <w:rFonts w:ascii="Times New Roman" w:hAnsi="Times New Roman" w:cs="Times New Roman"/>
          <w:color w:val="000000" w:themeColor="text1"/>
          <w:szCs w:val="24"/>
          <w:u w:val="single"/>
          <w14:textFill>
            <w14:solidFill>
              <w14:schemeClr w14:val="tx1"/>
            </w14:solidFill>
          </w14:textFill>
        </w:rPr>
      </w:pPr>
      <w:r>
        <w:rPr>
          <w:rFonts w:hint="eastAsia" w:ascii="Times New Roman" w:hAnsi="Times New Roman" w:cs="Times New Roman"/>
          <w:color w:val="000000" w:themeColor="text1"/>
          <w:szCs w:val="24"/>
          <w:u w:val="single"/>
          <w14:textFill>
            <w14:solidFill>
              <w14:schemeClr w14:val="tx1"/>
            </w14:solidFill>
          </w14:textFill>
        </w:rPr>
        <w:t>规划将中心城区范围内重要的交通、市政、防灾等基础设施用地范围界线划为城市黄线。</w:t>
      </w:r>
      <w:r>
        <w:rPr>
          <w:rFonts w:hint="eastAsia"/>
          <w:u w:val="single"/>
        </w:rPr>
        <w:t>城市黄线管理应遵照相关法规政策等进行管理。</w:t>
      </w:r>
    </w:p>
    <w:p w14:paraId="0082EBC7">
      <w:pPr>
        <w:ind w:firstLine="600"/>
        <w:jc w:val="both"/>
      </w:pPr>
      <w:r>
        <w:rPr>
          <w:rFonts w:hint="eastAsia"/>
        </w:rPr>
        <w:t>城市黄线控制范围不仅保障设施自身运行安全，同时应考虑与周围其他建（构）筑物的间距要求。在保障总规模不减少的前提下，城市黄线的具体边界、定位可在国土空间详细规划编制和实施中落实，城市黄线的调整应符合国家有关规定。</w:t>
      </w:r>
    </w:p>
    <w:p w14:paraId="7856D631">
      <w:pPr>
        <w:pStyle w:val="6"/>
        <w:spacing w:before="163" w:after="163"/>
        <w:rPr>
          <w:b/>
        </w:rPr>
      </w:pPr>
      <w:r>
        <w:t>城市紫线</w:t>
      </w:r>
      <w:r>
        <w:rPr>
          <w:rFonts w:hint="eastAsia"/>
        </w:rPr>
        <w:t>划定与空间管控</w:t>
      </w:r>
      <w:bookmarkEnd w:id="1905"/>
      <w:bookmarkEnd w:id="1906"/>
      <w:bookmarkEnd w:id="1907"/>
    </w:p>
    <w:p w14:paraId="08B6CDF0">
      <w:pPr>
        <w:ind w:firstLine="600"/>
        <w:jc w:val="both"/>
        <w:rPr>
          <w:rFonts w:ascii="Times New Roman" w:hAnsi="Times New Roman" w:cs="Times New Roman"/>
          <w:color w:val="000000" w:themeColor="text1"/>
          <w:szCs w:val="24"/>
          <w:u w:val="single"/>
          <w14:textFill>
            <w14:solidFill>
              <w14:schemeClr w14:val="tx1"/>
            </w14:solidFill>
          </w14:textFill>
        </w:rPr>
      </w:pPr>
      <w:r>
        <w:rPr>
          <w:rFonts w:hint="eastAsia" w:ascii="Times New Roman" w:hAnsi="Times New Roman" w:cs="Times New Roman"/>
          <w:color w:val="000000" w:themeColor="text1"/>
          <w:szCs w:val="24"/>
          <w:u w:val="single"/>
          <w14:textFill>
            <w14:solidFill>
              <w14:schemeClr w14:val="tx1"/>
            </w14:solidFill>
          </w14:textFill>
        </w:rPr>
        <w:t>规划将中心城区范围内文峰塔及仁化暴动纪念碑范围界线划为城市紫线。</w:t>
      </w:r>
      <w:r>
        <w:rPr>
          <w:rFonts w:hint="eastAsia"/>
          <w:u w:val="single"/>
        </w:rPr>
        <w:t>城市紫线管理应遵照相关法规政策等进行管理。</w:t>
      </w:r>
    </w:p>
    <w:p w14:paraId="217740F9">
      <w:pPr>
        <w:ind w:firstLine="600"/>
        <w:jc w:val="both"/>
      </w:pPr>
      <w:r>
        <w:rPr>
          <w:rFonts w:hint="eastAsia"/>
        </w:rPr>
        <w:t>在保障总规模不减少的前提下，城市紫线的具体边界、定位可在国土空间详细规划编制和实施中落实，城市紫线的调整应符合国家有关规定。</w:t>
      </w:r>
    </w:p>
    <w:p w14:paraId="0AF70260">
      <w:pPr>
        <w:pStyle w:val="6"/>
        <w:spacing w:before="163" w:after="163"/>
        <w:rPr>
          <w:b/>
        </w:rPr>
      </w:pPr>
      <w:bookmarkStart w:id="1908" w:name="_Toc143353200"/>
      <w:bookmarkEnd w:id="1908"/>
      <w:bookmarkStart w:id="1909" w:name="_Toc142403014"/>
      <w:bookmarkEnd w:id="1909"/>
      <w:bookmarkStart w:id="1910" w:name="_Toc142495743"/>
      <w:bookmarkEnd w:id="1910"/>
      <w:bookmarkStart w:id="1911" w:name="_Toc144390076"/>
      <w:bookmarkEnd w:id="1911"/>
      <w:bookmarkStart w:id="1912" w:name="_Toc144722024"/>
      <w:bookmarkEnd w:id="1912"/>
      <w:bookmarkStart w:id="1913" w:name="_Toc143358510"/>
      <w:bookmarkEnd w:id="1913"/>
      <w:bookmarkStart w:id="1914" w:name="_Toc142390558"/>
      <w:bookmarkEnd w:id="1914"/>
      <w:bookmarkStart w:id="1915" w:name="_Toc142859007"/>
      <w:bookmarkEnd w:id="1915"/>
      <w:bookmarkStart w:id="1916" w:name="_Toc143352902"/>
      <w:bookmarkEnd w:id="1916"/>
      <w:bookmarkStart w:id="1917" w:name="_Toc143357058"/>
      <w:bookmarkEnd w:id="1917"/>
      <w:bookmarkStart w:id="1918" w:name="_Toc142391404"/>
      <w:bookmarkEnd w:id="1918"/>
      <w:bookmarkStart w:id="1919" w:name="_Toc143358220"/>
      <w:bookmarkEnd w:id="1919"/>
      <w:bookmarkStart w:id="1920" w:name="_Toc143355304"/>
      <w:bookmarkEnd w:id="1920"/>
      <w:bookmarkStart w:id="1921" w:name="_Toc142381321"/>
      <w:bookmarkEnd w:id="1921"/>
      <w:bookmarkStart w:id="1922" w:name="_Toc143356464"/>
      <w:bookmarkEnd w:id="1922"/>
      <w:bookmarkStart w:id="1923" w:name="_Toc142391144"/>
      <w:bookmarkEnd w:id="1923"/>
      <w:bookmarkStart w:id="1924" w:name="_Toc143260959"/>
      <w:bookmarkEnd w:id="1924"/>
      <w:bookmarkStart w:id="1925" w:name="_Toc142403016"/>
      <w:bookmarkEnd w:id="1925"/>
      <w:bookmarkStart w:id="1926" w:name="_Toc143358803"/>
      <w:bookmarkEnd w:id="1926"/>
      <w:bookmarkStart w:id="1927" w:name="_Toc142381056"/>
      <w:bookmarkEnd w:id="1927"/>
      <w:bookmarkStart w:id="1928" w:name="_Toc142381058"/>
      <w:bookmarkEnd w:id="1928"/>
      <w:bookmarkStart w:id="1929" w:name="_Toc142859009"/>
      <w:bookmarkEnd w:id="1929"/>
      <w:bookmarkStart w:id="1930" w:name="_Toc142403265"/>
      <w:bookmarkEnd w:id="1930"/>
      <w:bookmarkStart w:id="1931" w:name="_Toc143354164"/>
      <w:bookmarkEnd w:id="1931"/>
      <w:bookmarkStart w:id="1932" w:name="_Toc143356756"/>
      <w:bookmarkEnd w:id="1932"/>
      <w:bookmarkStart w:id="1933" w:name="_Toc142391402"/>
      <w:bookmarkEnd w:id="1933"/>
      <w:bookmarkStart w:id="1934" w:name="_Toc143357060"/>
      <w:bookmarkEnd w:id="1934"/>
      <w:bookmarkStart w:id="1935" w:name="_Toc143099550"/>
      <w:bookmarkEnd w:id="1935"/>
      <w:bookmarkStart w:id="1936" w:name="_Toc143355886"/>
      <w:bookmarkEnd w:id="1936"/>
      <w:bookmarkStart w:id="1937" w:name="_Toc143357350"/>
      <w:bookmarkEnd w:id="1937"/>
      <w:bookmarkStart w:id="1938" w:name="_Toc143354162"/>
      <w:bookmarkEnd w:id="1938"/>
      <w:bookmarkStart w:id="1939" w:name="_Toc143356466"/>
      <w:bookmarkEnd w:id="1939"/>
      <w:bookmarkStart w:id="1940" w:name="_Toc143354452"/>
      <w:bookmarkEnd w:id="1940"/>
      <w:bookmarkStart w:id="1941" w:name="_Toc143357929"/>
      <w:bookmarkEnd w:id="1941"/>
      <w:bookmarkStart w:id="1942" w:name="_Toc142391142"/>
      <w:bookmarkEnd w:id="1942"/>
      <w:bookmarkStart w:id="1943" w:name="_Toc142467064"/>
      <w:bookmarkEnd w:id="1943"/>
      <w:bookmarkStart w:id="1944" w:name="_Toc143356176"/>
      <w:bookmarkEnd w:id="1944"/>
      <w:bookmarkStart w:id="1945" w:name="_Toc143358801"/>
      <w:bookmarkEnd w:id="1945"/>
      <w:bookmarkStart w:id="1946" w:name="_Toc143099552"/>
      <w:bookmarkEnd w:id="1946"/>
      <w:bookmarkStart w:id="1947" w:name="_Toc143355596"/>
      <w:bookmarkEnd w:id="1947"/>
      <w:bookmarkStart w:id="1948" w:name="_Toc143353876"/>
      <w:bookmarkEnd w:id="1948"/>
      <w:bookmarkStart w:id="1949" w:name="_Toc142403267"/>
      <w:bookmarkEnd w:id="1949"/>
      <w:bookmarkStart w:id="1950" w:name="_Toc143357640"/>
      <w:bookmarkEnd w:id="1950"/>
      <w:bookmarkStart w:id="1951" w:name="_Toc143355020"/>
      <w:bookmarkEnd w:id="1951"/>
      <w:bookmarkStart w:id="1952" w:name="_Toc142390556"/>
      <w:bookmarkEnd w:id="1952"/>
      <w:bookmarkStart w:id="1953" w:name="_Toc143358512"/>
      <w:bookmarkEnd w:id="1953"/>
      <w:bookmarkStart w:id="1954" w:name="_Toc143356754"/>
      <w:bookmarkEnd w:id="1954"/>
      <w:bookmarkStart w:id="1955" w:name="_Toc143353878"/>
      <w:bookmarkEnd w:id="1955"/>
      <w:bookmarkStart w:id="1956" w:name="_Toc143355306"/>
      <w:bookmarkEnd w:id="1956"/>
      <w:bookmarkStart w:id="1957" w:name="_Toc143354454"/>
      <w:bookmarkEnd w:id="1957"/>
      <w:bookmarkStart w:id="1958" w:name="_Toc143355884"/>
      <w:bookmarkEnd w:id="1958"/>
      <w:bookmarkStart w:id="1959" w:name="_Toc143357348"/>
      <w:bookmarkEnd w:id="1959"/>
      <w:bookmarkStart w:id="1960" w:name="_Toc143260957"/>
      <w:bookmarkEnd w:id="1960"/>
      <w:bookmarkStart w:id="1961" w:name="_Toc143099265"/>
      <w:bookmarkEnd w:id="1961"/>
      <w:bookmarkStart w:id="1962" w:name="_Toc143099267"/>
      <w:bookmarkEnd w:id="1962"/>
      <w:bookmarkStart w:id="1963" w:name="_Toc142400800"/>
      <w:bookmarkEnd w:id="1963"/>
      <w:bookmarkStart w:id="1964" w:name="_Toc144722026"/>
      <w:bookmarkEnd w:id="1964"/>
      <w:bookmarkStart w:id="1965" w:name="_Toc143354738"/>
      <w:bookmarkEnd w:id="1965"/>
      <w:bookmarkStart w:id="1966" w:name="_Toc142467062"/>
      <w:bookmarkEnd w:id="1966"/>
      <w:bookmarkStart w:id="1967" w:name="_Toc143355594"/>
      <w:bookmarkEnd w:id="1967"/>
      <w:bookmarkStart w:id="1968" w:name="_Toc143357638"/>
      <w:bookmarkEnd w:id="1968"/>
      <w:bookmarkStart w:id="1969" w:name="_Toc143354736"/>
      <w:bookmarkEnd w:id="1969"/>
      <w:bookmarkStart w:id="1970" w:name="_Toc144390075"/>
      <w:bookmarkEnd w:id="1970"/>
      <w:bookmarkStart w:id="1971" w:name="_Toc143357931"/>
      <w:bookmarkEnd w:id="1971"/>
      <w:bookmarkStart w:id="1972" w:name="_Toc144390077"/>
      <w:bookmarkEnd w:id="1972"/>
      <w:bookmarkStart w:id="1973" w:name="_Toc143356174"/>
      <w:bookmarkEnd w:id="1973"/>
      <w:bookmarkStart w:id="1974" w:name="_Toc142381323"/>
      <w:bookmarkEnd w:id="1974"/>
      <w:bookmarkStart w:id="1975" w:name="_Toc142495745"/>
      <w:bookmarkEnd w:id="1975"/>
      <w:bookmarkStart w:id="1976" w:name="_Toc144722025"/>
      <w:bookmarkEnd w:id="1976"/>
      <w:bookmarkStart w:id="1977" w:name="_Toc142400802"/>
      <w:bookmarkEnd w:id="1977"/>
      <w:bookmarkStart w:id="1978" w:name="_Toc143355022"/>
      <w:bookmarkEnd w:id="1978"/>
      <w:bookmarkStart w:id="1979" w:name="_Toc143358222"/>
      <w:bookmarkEnd w:id="1979"/>
      <w:bookmarkStart w:id="1980" w:name="_Toc143353198"/>
      <w:bookmarkEnd w:id="1980"/>
      <w:bookmarkStart w:id="1981" w:name="_Toc143352904"/>
      <w:bookmarkEnd w:id="1981"/>
      <w:bookmarkStart w:id="1982" w:name="_Toc11540"/>
      <w:bookmarkStart w:id="1983" w:name="_Toc132305923"/>
      <w:bookmarkStart w:id="1984" w:name="_Toc141888029"/>
      <w:r>
        <w:t>工业用地控制线</w:t>
      </w:r>
      <w:r>
        <w:rPr>
          <w:rFonts w:hint="eastAsia"/>
        </w:rPr>
        <w:t>划定</w:t>
      </w:r>
      <w:bookmarkEnd w:id="1982"/>
      <w:bookmarkEnd w:id="1983"/>
      <w:bookmarkEnd w:id="1984"/>
    </w:p>
    <w:p w14:paraId="2FE5199D">
      <w:pPr>
        <w:ind w:firstLine="600"/>
        <w:jc w:val="both"/>
      </w:pPr>
      <w:r>
        <w:rPr>
          <w:rFonts w:hint="eastAsia"/>
        </w:rPr>
        <w:t>中心城区工业用地控制线主要为中心城区西部仁化小企业创业园</w:t>
      </w:r>
      <w:r>
        <w:t>。</w:t>
      </w:r>
    </w:p>
    <w:p w14:paraId="001E4F67">
      <w:pPr>
        <w:pStyle w:val="5"/>
        <w:numPr>
          <w:ilvl w:val="1"/>
          <w:numId w:val="9"/>
        </w:numPr>
        <w:spacing w:before="163" w:after="163"/>
        <w:rPr>
          <w:b/>
        </w:rPr>
      </w:pPr>
      <w:bookmarkStart w:id="1985" w:name="_Toc32170"/>
      <w:bookmarkStart w:id="1986" w:name="_Toc167271410"/>
      <w:bookmarkStart w:id="1987" w:name="_Toc132305924"/>
      <w:bookmarkStart w:id="1988" w:name="_Toc141888030"/>
      <w:r>
        <w:rPr>
          <w:rFonts w:hint="eastAsia"/>
        </w:rPr>
        <w:t>规划片区划定与管控</w:t>
      </w:r>
      <w:bookmarkEnd w:id="1985"/>
      <w:bookmarkEnd w:id="1986"/>
      <w:bookmarkEnd w:id="1987"/>
      <w:bookmarkEnd w:id="1988"/>
    </w:p>
    <w:p w14:paraId="6B4D934F">
      <w:pPr>
        <w:pStyle w:val="6"/>
        <w:spacing w:before="163" w:after="163"/>
        <w:rPr>
          <w:b/>
        </w:rPr>
      </w:pPr>
      <w:bookmarkStart w:id="1989" w:name="_Toc141888031"/>
      <w:bookmarkStart w:id="1990" w:name="_Toc30743"/>
      <w:bookmarkStart w:id="1991" w:name="_Toc130890998"/>
      <w:bookmarkStart w:id="1992" w:name="_Hlk127322709"/>
      <w:bookmarkStart w:id="1993" w:name="_Toc132305925"/>
      <w:r>
        <w:rPr>
          <w:rFonts w:hint="eastAsia"/>
        </w:rPr>
        <w:t>划分规划片区</w:t>
      </w:r>
      <w:bookmarkEnd w:id="1989"/>
      <w:bookmarkEnd w:id="1990"/>
      <w:bookmarkEnd w:id="1991"/>
      <w:bookmarkEnd w:id="1992"/>
      <w:bookmarkEnd w:id="1993"/>
    </w:p>
    <w:p w14:paraId="72C984CA">
      <w:pPr>
        <w:ind w:firstLine="600"/>
        <w:jc w:val="both"/>
      </w:pPr>
      <w:r>
        <w:rPr>
          <w:rFonts w:hint="eastAsia"/>
        </w:rPr>
        <w:t>按照</w:t>
      </w:r>
      <w:r>
        <w:rPr>
          <w:rFonts w:hint="eastAsia" w:ascii="仿宋_GB2312"/>
        </w:rPr>
        <w:t>“</w:t>
      </w:r>
      <w:r>
        <w:rPr>
          <w:rFonts w:hint="eastAsia"/>
        </w:rPr>
        <w:t>事权对应、面向管理、功能完整</w:t>
      </w:r>
      <w:r>
        <w:rPr>
          <w:rFonts w:hint="eastAsia" w:ascii="仿宋_GB2312"/>
        </w:rPr>
        <w:t>”</w:t>
      </w:r>
      <w:r>
        <w:rPr>
          <w:rFonts w:hint="eastAsia"/>
        </w:rPr>
        <w:t>的要求，综合自然地理要素、主要线性交通基础设施等因素，划定规划片区边界。根据指南要求，将中心城区划分为城镇、农业、生态三类规划片区。</w:t>
      </w:r>
    </w:p>
    <w:p w14:paraId="1EED40E2">
      <w:pPr>
        <w:pStyle w:val="6"/>
        <w:spacing w:before="163" w:after="163"/>
        <w:rPr>
          <w:b/>
        </w:rPr>
      </w:pPr>
      <w:bookmarkStart w:id="1994" w:name="_Toc11120"/>
      <w:bookmarkStart w:id="1995" w:name="_Toc132305926"/>
      <w:bookmarkStart w:id="1996" w:name="_Toc141888032"/>
      <w:bookmarkStart w:id="1997" w:name="_Toc130890999"/>
      <w:r>
        <w:rPr>
          <w:rFonts w:hint="eastAsia"/>
        </w:rPr>
        <w:t>规划片区</w:t>
      </w:r>
      <w:bookmarkEnd w:id="1994"/>
      <w:bookmarkEnd w:id="1995"/>
      <w:bookmarkEnd w:id="1996"/>
      <w:bookmarkEnd w:id="1997"/>
      <w:r>
        <w:rPr>
          <w:rFonts w:hint="eastAsia"/>
        </w:rPr>
        <w:t>管控</w:t>
      </w:r>
    </w:p>
    <w:p w14:paraId="724E91B8">
      <w:pPr>
        <w:ind w:firstLine="600"/>
        <w:jc w:val="both"/>
      </w:pPr>
      <w:r>
        <w:rPr>
          <w:rFonts w:hint="eastAsia"/>
        </w:rPr>
        <w:t>城镇规划片区传导内容包括底线管控、用地规模、用地布局、住房保障、公共服务、绿地系统等内容；生态类规划片区传导管控内容包括生态控制正负面清单、准入类要求；农业农村类规划片区传导内容包括村庄建设规模等。</w:t>
      </w:r>
    </w:p>
    <w:p w14:paraId="4574702F">
      <w:pPr>
        <w:pStyle w:val="6"/>
        <w:spacing w:before="163" w:after="163"/>
        <w:rPr>
          <w:b/>
        </w:rPr>
      </w:pPr>
      <w:bookmarkStart w:id="1998" w:name="_Toc132305928"/>
      <w:bookmarkStart w:id="1999" w:name="_Toc13302"/>
      <w:bookmarkStart w:id="2000" w:name="_Toc141888033"/>
      <w:r>
        <w:rPr>
          <w:rFonts w:hint="eastAsia"/>
        </w:rPr>
        <w:t>对详细规划的要求与指引</w:t>
      </w:r>
      <w:bookmarkEnd w:id="1998"/>
      <w:bookmarkEnd w:id="1999"/>
      <w:bookmarkEnd w:id="2000"/>
    </w:p>
    <w:p w14:paraId="382A623C">
      <w:pPr>
        <w:ind w:firstLine="600"/>
        <w:jc w:val="both"/>
        <w:rPr>
          <w:color w:val="000000" w:themeColor="text1"/>
          <w14:textFill>
            <w14:solidFill>
              <w14:schemeClr w14:val="tx1"/>
            </w14:solidFill>
          </w14:textFill>
        </w:rPr>
      </w:pPr>
      <w:r>
        <w:rPr>
          <w:rFonts w:hint="eastAsia" w:ascii="楷体_GB2312" w:eastAsia="楷体_GB2312"/>
        </w:rPr>
        <w:t>城镇开发边界内详细规划。</w:t>
      </w:r>
      <w:r>
        <w:rPr>
          <w:rFonts w:hint="eastAsia"/>
          <w:color w:val="000000" w:themeColor="text1"/>
          <w14:textFill>
            <w14:solidFill>
              <w14:schemeClr w14:val="tx1"/>
            </w14:solidFill>
          </w14:textFill>
        </w:rPr>
        <w:t>传导落实规划指标及各类控制线；制定各规划基本分区内用地分类控制规则；优化、增补和落实城市各级交通路网结构；明确公共、服务设施和市政服务设施配套位置、布局；通过制定容积率指标、道路密度等加强对风貌和空间形态的管控；落实城市四线管控要求以及管控边界。</w:t>
      </w:r>
    </w:p>
    <w:p w14:paraId="4D54755E">
      <w:pPr>
        <w:ind w:firstLine="600"/>
        <w:jc w:val="both"/>
        <w:rPr>
          <w:color w:val="000000" w:themeColor="text1"/>
          <w14:textFill>
            <w14:solidFill>
              <w14:schemeClr w14:val="tx1"/>
            </w14:solidFill>
          </w14:textFill>
        </w:rPr>
      </w:pPr>
      <w:r>
        <w:rPr>
          <w:rFonts w:hint="eastAsia" w:ascii="楷体_GB2312" w:eastAsia="楷体_GB2312"/>
        </w:rPr>
        <w:t>城镇开发边界外以村庄规划为主的详细规划。</w:t>
      </w:r>
      <w:r>
        <w:rPr>
          <w:rFonts w:hint="eastAsia"/>
          <w:color w:val="000000" w:themeColor="text1"/>
          <w14:textFill>
            <w14:solidFill>
              <w14:schemeClr w14:val="tx1"/>
            </w14:solidFill>
          </w14:textFill>
        </w:rPr>
        <w:t>编制村庄规划，应落实上位国土空间总体规划要求，落实乡村振兴战略，优化村庄布局。统筹明确农村土地利用、居民点布局、产业发展、人居环境整治等内容，已编制的村庄规划应当及时与国土空间总体规划做好衔接并优化提升。</w:t>
      </w:r>
    </w:p>
    <w:p w14:paraId="51B2A504">
      <w:pPr>
        <w:pStyle w:val="5"/>
        <w:numPr>
          <w:ilvl w:val="1"/>
          <w:numId w:val="9"/>
        </w:numPr>
        <w:spacing w:before="163" w:after="163"/>
        <w:rPr>
          <w:b/>
        </w:rPr>
      </w:pPr>
      <w:bookmarkStart w:id="2001" w:name="_Toc21346"/>
      <w:bookmarkStart w:id="2002" w:name="_Toc167271411"/>
      <w:bookmarkStart w:id="2003" w:name="_Toc141888034"/>
      <w:r>
        <w:rPr>
          <w:rFonts w:hint="eastAsia"/>
        </w:rPr>
        <w:t>低效用地再开发</w:t>
      </w:r>
      <w:bookmarkEnd w:id="2001"/>
      <w:bookmarkEnd w:id="2002"/>
      <w:bookmarkEnd w:id="2003"/>
    </w:p>
    <w:p w14:paraId="29043D26">
      <w:pPr>
        <w:pStyle w:val="6"/>
        <w:spacing w:before="163" w:after="163"/>
        <w:rPr>
          <w:b/>
        </w:rPr>
      </w:pPr>
      <w:bookmarkStart w:id="2004" w:name="_Toc141888035"/>
      <w:bookmarkStart w:id="2005" w:name="_Toc132305930"/>
      <w:bookmarkStart w:id="2006" w:name="_Toc10259"/>
      <w:r>
        <w:rPr>
          <w:rFonts w:hint="eastAsia"/>
        </w:rPr>
        <w:t>通过</w:t>
      </w:r>
      <w:r>
        <w:t>低效用地</w:t>
      </w:r>
      <w:r>
        <w:rPr>
          <w:rFonts w:hint="eastAsia"/>
        </w:rPr>
        <w:t>改造补齐民生短板</w:t>
      </w:r>
      <w:bookmarkEnd w:id="2004"/>
      <w:bookmarkEnd w:id="2005"/>
      <w:bookmarkEnd w:id="2006"/>
    </w:p>
    <w:p w14:paraId="55F420BF">
      <w:pPr>
        <w:ind w:firstLine="6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聚焦“三旧”改造，促进更新改造项目实施。推动</w:t>
      </w:r>
      <w:r>
        <w:rPr>
          <w:color w:val="000000" w:themeColor="text1"/>
          <w14:textFill>
            <w14:solidFill>
              <w14:schemeClr w14:val="tx1"/>
            </w14:solidFill>
          </w14:textFill>
        </w:rPr>
        <w:t>低效</w:t>
      </w:r>
      <w:r>
        <w:rPr>
          <w:rFonts w:hint="eastAsia"/>
          <w:color w:val="000000" w:themeColor="text1"/>
          <w14:textFill>
            <w14:solidFill>
              <w14:schemeClr w14:val="tx1"/>
            </w14:solidFill>
          </w14:textFill>
        </w:rPr>
        <w:t>用地在重大民生工程、重点项目、重要平台和关键行业的资源配置优化，引领和带动城市建设和产业发展。</w:t>
      </w:r>
    </w:p>
    <w:p w14:paraId="70036470">
      <w:pPr>
        <w:pStyle w:val="6"/>
        <w:spacing w:before="163" w:after="163"/>
        <w:rPr>
          <w:b/>
        </w:rPr>
      </w:pPr>
      <w:bookmarkStart w:id="2007" w:name="_Toc14165"/>
      <w:bookmarkStart w:id="2008" w:name="_Toc141888036"/>
      <w:bookmarkStart w:id="2009" w:name="_Toc132305931"/>
      <w:r>
        <w:rPr>
          <w:rFonts w:hint="eastAsia"/>
        </w:rPr>
        <w:t>划定重点改造区域与控制要求</w:t>
      </w:r>
      <w:bookmarkEnd w:id="2007"/>
      <w:bookmarkEnd w:id="2008"/>
      <w:bookmarkEnd w:id="2009"/>
    </w:p>
    <w:p w14:paraId="6CF10E5D">
      <w:pPr>
        <w:ind w:firstLine="6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中心城区划定</w:t>
      </w:r>
      <w:r>
        <w:rPr>
          <w:rFonts w:ascii="Times New Roman" w:hAnsi="Times New Roman" w:cs="Times New Roman"/>
          <w:color w:val="000000" w:themeColor="text1"/>
          <w:szCs w:val="24"/>
          <w14:textFill>
            <w14:solidFill>
              <w14:schemeClr w14:val="tx1"/>
            </w14:solidFill>
          </w14:textFill>
        </w:rPr>
        <w:t>3</w:t>
      </w:r>
      <w:r>
        <w:rPr>
          <w:rFonts w:hint="eastAsia"/>
          <w:color w:val="000000" w:themeColor="text1"/>
          <w14:textFill>
            <w14:solidFill>
              <w14:schemeClr w14:val="tx1"/>
            </w14:solidFill>
          </w14:textFill>
        </w:rPr>
        <w:t>类重点片区。</w:t>
      </w:r>
    </w:p>
    <w:p w14:paraId="488A0007">
      <w:pPr>
        <w:ind w:firstLine="600"/>
        <w:jc w:val="both"/>
        <w:rPr>
          <w:color w:val="000000" w:themeColor="text1"/>
          <w14:textFill>
            <w14:solidFill>
              <w14:schemeClr w14:val="tx1"/>
            </w14:solidFill>
          </w14:textFill>
        </w:rPr>
      </w:pPr>
      <w:r>
        <w:rPr>
          <w:rFonts w:hint="eastAsia" w:ascii="楷体_GB2312" w:eastAsia="楷体_GB2312"/>
        </w:rPr>
        <w:t>一类地区（以拆除重建为主）：</w:t>
      </w:r>
      <w:r>
        <w:rPr>
          <w:rFonts w:hint="eastAsia"/>
          <w:color w:val="000000" w:themeColor="text1"/>
          <w14:textFill>
            <w14:solidFill>
              <w14:schemeClr w14:val="tx1"/>
            </w14:solidFill>
          </w14:textFill>
        </w:rPr>
        <w:t>通过重点片区的拆除重建，促进公共设施</w:t>
      </w:r>
      <w:r>
        <w:rPr>
          <w:rFonts w:hint="eastAsia" w:ascii="仿宋_GB2312"/>
          <w:color w:val="000000" w:themeColor="text1"/>
          <w14:textFill>
            <w14:solidFill>
              <w14:schemeClr w14:val="tx1"/>
            </w14:solidFill>
          </w14:textFill>
        </w:rPr>
        <w:t>“</w:t>
      </w:r>
      <w:r>
        <w:rPr>
          <w:rFonts w:hint="eastAsia"/>
          <w:color w:val="000000" w:themeColor="text1"/>
          <w14:textFill>
            <w14:solidFill>
              <w14:schemeClr w14:val="tx1"/>
            </w14:solidFill>
          </w14:textFill>
        </w:rPr>
        <w:t>补短板</w:t>
      </w:r>
      <w:r>
        <w:rPr>
          <w:rFonts w:hint="eastAsia" w:ascii="仿宋_GB2312"/>
          <w:color w:val="000000" w:themeColor="text1"/>
          <w14:textFill>
            <w14:solidFill>
              <w14:schemeClr w14:val="tx1"/>
            </w14:solidFill>
          </w14:textFill>
        </w:rPr>
        <w:t>”</w:t>
      </w:r>
      <w:r>
        <w:rPr>
          <w:rFonts w:hint="eastAsia"/>
          <w:color w:val="000000" w:themeColor="text1"/>
          <w14:textFill>
            <w14:solidFill>
              <w14:schemeClr w14:val="tx1"/>
            </w14:solidFill>
          </w14:textFill>
        </w:rPr>
        <w:t>，提升中心城区的城市形态和空间品质。主要包括紧邻锦江的滨江活力商务组团、中央文化商业组团，意向改造为品质配套设施齐全、创新产业与人才集聚、人文特色彰显的城市标杆片区。</w:t>
      </w:r>
    </w:p>
    <w:p w14:paraId="2991C92C">
      <w:pPr>
        <w:ind w:firstLine="600"/>
        <w:jc w:val="both"/>
        <w:rPr>
          <w:color w:val="000000" w:themeColor="text1"/>
          <w14:textFill>
            <w14:solidFill>
              <w14:schemeClr w14:val="tx1"/>
            </w14:solidFill>
          </w14:textFill>
        </w:rPr>
      </w:pPr>
      <w:r>
        <w:rPr>
          <w:rFonts w:hint="eastAsia" w:ascii="楷体_GB2312" w:eastAsia="楷体_GB2312"/>
        </w:rPr>
        <w:t>二类地区（以局部拆除为主）：</w:t>
      </w:r>
      <w:r>
        <w:rPr>
          <w:rFonts w:hint="eastAsia"/>
          <w:color w:val="000000" w:themeColor="text1"/>
          <w14:textFill>
            <w14:solidFill>
              <w14:schemeClr w14:val="tx1"/>
            </w14:solidFill>
          </w14:textFill>
        </w:rPr>
        <w:t>以旧厂房、旧村居更新为主，通过资源统筹和整村更新，促进低效的产业用地向产业集聚区集聚，零散的旧村庄用地向居住社区集中。主要包括老城文化生活组团、中央文化商业组团、城北生活服务组团、魅力丹霞服务组团和城西绿色工业组团，意向改造为基础配套设施齐全、产业集聚、商业活跃的综合服务片区。</w:t>
      </w:r>
    </w:p>
    <w:p w14:paraId="1EFB629D">
      <w:pPr>
        <w:ind w:firstLine="600"/>
        <w:jc w:val="both"/>
        <w:rPr>
          <w:color w:val="000000" w:themeColor="text1"/>
          <w14:textFill>
            <w14:solidFill>
              <w14:schemeClr w14:val="tx1"/>
            </w14:solidFill>
          </w14:textFill>
        </w:rPr>
      </w:pPr>
      <w:r>
        <w:rPr>
          <w:rFonts w:hint="eastAsia" w:ascii="楷体_GB2312" w:eastAsia="楷体_GB2312"/>
        </w:rPr>
        <w:t>三类地区（以整治活化为主）：</w:t>
      </w:r>
      <w:r>
        <w:rPr>
          <w:rFonts w:hint="eastAsia"/>
          <w:color w:val="000000" w:themeColor="text1"/>
          <w14:textFill>
            <w14:solidFill>
              <w14:schemeClr w14:val="tx1"/>
            </w14:solidFill>
          </w14:textFill>
        </w:rPr>
        <w:t>以加强环境整治，立面完善等局部微改造为主，兼顾零散、低效旧厂房用地拆除、腾挪，鼓励权属主体自发开展局部环境整治和街道美化。主要包括山前生态休闲组团、魅力丹霞门户组团，改造为原生活力深厚，街道经济活跃的现代生活片区。</w:t>
      </w:r>
    </w:p>
    <w:bookmarkEnd w:id="1829"/>
    <w:bookmarkEnd w:id="1830"/>
    <w:p w14:paraId="61CD9B5E">
      <w:pPr>
        <w:pStyle w:val="4"/>
        <w:spacing w:before="326" w:after="326"/>
        <w:ind w:firstLine="726"/>
        <w:rPr>
          <w:b w:val="0"/>
          <w:bCs w:val="0"/>
          <w:color w:val="000000" w:themeColor="text1"/>
          <w14:textFill>
            <w14:solidFill>
              <w14:schemeClr w14:val="tx1"/>
            </w14:solidFill>
          </w14:textFill>
        </w:rPr>
      </w:pPr>
      <w:bookmarkStart w:id="2010" w:name="_Toc167271412"/>
      <w:r>
        <w:rPr>
          <w:rFonts w:hint="eastAsia"/>
          <w:b w:val="0"/>
          <w:bCs w:val="0"/>
          <w:color w:val="000000" w:themeColor="text1"/>
          <w14:textFill>
            <w14:solidFill>
              <w14:schemeClr w14:val="tx1"/>
            </w14:solidFill>
          </w14:textFill>
        </w:rPr>
        <w:t>彰显青山碧水</w:t>
      </w:r>
      <w:bookmarkEnd w:id="1547"/>
      <w:bookmarkEnd w:id="1548"/>
      <w:bookmarkEnd w:id="1549"/>
      <w:r>
        <w:rPr>
          <w:rFonts w:hint="eastAsia"/>
          <w:b w:val="0"/>
          <w:bCs w:val="0"/>
          <w:color w:val="000000" w:themeColor="text1"/>
          <w14:textFill>
            <w14:solidFill>
              <w14:schemeClr w14:val="tx1"/>
            </w14:solidFill>
          </w14:textFill>
        </w:rPr>
        <w:t>的城乡风貌</w:t>
      </w:r>
      <w:bookmarkEnd w:id="2010"/>
    </w:p>
    <w:p w14:paraId="0844DAB8">
      <w:pPr>
        <w:pStyle w:val="5"/>
        <w:numPr>
          <w:ilvl w:val="1"/>
          <w:numId w:val="10"/>
        </w:numPr>
        <w:spacing w:before="163" w:after="163"/>
        <w:rPr>
          <w:b/>
        </w:rPr>
      </w:pPr>
      <w:bookmarkStart w:id="2011" w:name="_Toc132305828"/>
      <w:bookmarkStart w:id="2012" w:name="_Toc4248"/>
      <w:bookmarkStart w:id="2013" w:name="_Toc141887920"/>
      <w:bookmarkStart w:id="2014" w:name="_Toc167271413"/>
      <w:bookmarkStart w:id="2015" w:name="_Toc68625533"/>
      <w:bookmarkStart w:id="2016" w:name="_Toc88472389"/>
      <w:r>
        <w:rPr>
          <w:rFonts w:hint="eastAsia"/>
        </w:rPr>
        <w:t>城乡空间形态与风貌管控</w:t>
      </w:r>
      <w:bookmarkEnd w:id="2011"/>
      <w:bookmarkEnd w:id="2012"/>
      <w:bookmarkEnd w:id="2013"/>
      <w:bookmarkEnd w:id="2014"/>
    </w:p>
    <w:p w14:paraId="27C6999F">
      <w:pPr>
        <w:pStyle w:val="6"/>
        <w:spacing w:before="163" w:after="163"/>
        <w:rPr>
          <w:b/>
        </w:rPr>
      </w:pPr>
      <w:bookmarkStart w:id="2017" w:name="_Toc132305830"/>
      <w:bookmarkStart w:id="2018" w:name="_Toc24663"/>
      <w:bookmarkStart w:id="2019" w:name="_Toc141887922"/>
      <w:r>
        <w:rPr>
          <w:rFonts w:hint="eastAsia"/>
        </w:rPr>
        <w:t>划分城乡风貌特色分区</w:t>
      </w:r>
      <w:bookmarkEnd w:id="2017"/>
      <w:bookmarkEnd w:id="2018"/>
      <w:bookmarkEnd w:id="2019"/>
    </w:p>
    <w:p w14:paraId="46B57228">
      <w:pPr>
        <w:ind w:firstLine="600"/>
        <w:jc w:val="both"/>
      </w:pPr>
      <w:r>
        <w:rPr>
          <w:rFonts w:hint="eastAsia"/>
          <w:color w:val="000000" w:themeColor="text1"/>
          <w14:textFill>
            <w14:solidFill>
              <w14:schemeClr w14:val="tx1"/>
            </w14:solidFill>
          </w14:textFill>
        </w:rPr>
        <w:t>划分为四大景观风貌片区，包括丹霞山景观风貌区、城市景观风貌区、生态农林风貌区、农旅融合风貌区。丹霞山景观风貌区位于县域中部、南部区域，以丹霞山景区为主。城市景观风貌区位于县域中部区域，以县城建成区为主。生态农林风貌区位于县域北部，以北部山区为主。农旅融合风貌区位于县域中部和南部，以地势平坦盆地和河谷平原区域为主。</w:t>
      </w:r>
    </w:p>
    <w:p w14:paraId="59B6D2A7">
      <w:pPr>
        <w:pStyle w:val="6"/>
        <w:spacing w:before="163" w:after="163"/>
        <w:rPr>
          <w:b/>
        </w:rPr>
      </w:pPr>
      <w:bookmarkStart w:id="2020" w:name="_Toc132305831"/>
      <w:bookmarkStart w:id="2021" w:name="_Toc25415"/>
      <w:bookmarkStart w:id="2022" w:name="_Toc141887923"/>
      <w:r>
        <w:rPr>
          <w:rFonts w:hint="eastAsia"/>
        </w:rPr>
        <w:t>控制指引分区景观风貌</w:t>
      </w:r>
      <w:bookmarkEnd w:id="2020"/>
      <w:bookmarkEnd w:id="2021"/>
      <w:bookmarkEnd w:id="2022"/>
    </w:p>
    <w:p w14:paraId="36DF4125">
      <w:pPr>
        <w:ind w:firstLine="6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从自然风貌和建筑风貌两个层面，对四类风貌区进行控制指引。</w:t>
      </w:r>
    </w:p>
    <w:tbl>
      <w:tblPr>
        <w:tblStyle w:val="1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1380"/>
        <w:gridCol w:w="7141"/>
      </w:tblGrid>
      <w:tr w14:paraId="3303B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blHeader/>
          <w:jc w:val="center"/>
        </w:trPr>
        <w:tc>
          <w:tcPr>
            <w:tcW w:w="5000" w:type="pct"/>
            <w:gridSpan w:val="3"/>
            <w:tcBorders>
              <w:bottom w:val="nil"/>
            </w:tcBorders>
            <w:shd w:val="clear" w:color="auto" w:fill="D8D8D8" w:themeFill="background1" w:themeFillShade="D9"/>
            <w:vAlign w:val="center"/>
          </w:tcPr>
          <w:p w14:paraId="317E4A91">
            <w:pPr>
              <w:ind w:firstLine="0" w:firstLineChars="0"/>
              <w:jc w:val="center"/>
              <w:rPr>
                <w:rFonts w:ascii="仿宋_GB2312" w:cs="Times New Roman"/>
                <w:b w:val="0"/>
                <w:bCs w:val="0"/>
                <w:color w:val="000000" w:themeColor="text1"/>
                <w:sz w:val="22"/>
                <w14:textFill>
                  <w14:solidFill>
                    <w14:schemeClr w14:val="tx1"/>
                  </w14:solidFill>
                </w14:textFill>
              </w:rPr>
            </w:pPr>
            <w:r>
              <w:rPr>
                <w:rFonts w:eastAsia="黑体"/>
                <w:b w:val="0"/>
                <w:bCs w:val="0"/>
                <w:szCs w:val="30"/>
              </w:rPr>
              <w:t>专栏</w:t>
            </w:r>
            <w:r>
              <w:rPr>
                <w:rFonts w:ascii="Times New Roman" w:hAnsi="Times New Roman" w:eastAsia="黑体" w:cs="Times New Roman"/>
                <w:b w:val="0"/>
                <w:bCs w:val="0"/>
                <w:szCs w:val="30"/>
              </w:rPr>
              <w:t>8</w:t>
            </w:r>
            <w:r>
              <w:rPr>
                <w:rFonts w:ascii="Times New Roman" w:hAnsi="Times New Roman" w:cs="Times New Roman"/>
                <w:b w:val="0"/>
                <w:bCs w:val="0"/>
                <w:szCs w:val="30"/>
              </w:rPr>
              <w:t>-</w:t>
            </w:r>
            <w:r>
              <w:rPr>
                <w:rFonts w:ascii="Times New Roman" w:hAnsi="Times New Roman" w:eastAsia="黑体" w:cs="Times New Roman"/>
                <w:b w:val="0"/>
                <w:bCs w:val="0"/>
                <w:szCs w:val="30"/>
              </w:rPr>
              <w:t>1</w:t>
            </w:r>
            <w:r>
              <w:rPr>
                <w:rFonts w:hint="eastAsia" w:ascii="Times New Roman" w:hAnsi="Times New Roman" w:eastAsia="黑体" w:cs="Times New Roman"/>
                <w:b w:val="0"/>
                <w:bCs w:val="0"/>
                <w:szCs w:val="30"/>
              </w:rPr>
              <w:t>：</w:t>
            </w:r>
            <w:r>
              <w:rPr>
                <w:rFonts w:hint="eastAsia" w:eastAsia="黑体"/>
                <w:b w:val="0"/>
                <w:bCs w:val="0"/>
                <w:szCs w:val="30"/>
              </w:rPr>
              <w:t>分区景观风貌控制指引</w:t>
            </w:r>
          </w:p>
        </w:tc>
      </w:tr>
      <w:tr w14:paraId="001C9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blHeader/>
          <w:jc w:val="center"/>
        </w:trPr>
        <w:tc>
          <w:tcPr>
            <w:tcW w:w="412" w:type="pct"/>
            <w:tcBorders>
              <w:bottom w:val="nil"/>
            </w:tcBorders>
            <w:shd w:val="clear" w:color="auto" w:fill="auto"/>
            <w:vAlign w:val="center"/>
          </w:tcPr>
          <w:p w14:paraId="0CD4502F">
            <w:pPr>
              <w:ind w:firstLine="0" w:firstLineChars="0"/>
              <w:jc w:val="center"/>
              <w:rPr>
                <w:rFonts w:ascii="仿宋_GB2312" w:cs="Times New Roman"/>
                <w:b w:val="0"/>
                <w:bCs w:val="0"/>
                <w:color w:val="000000" w:themeColor="text1"/>
                <w:sz w:val="24"/>
                <w:szCs w:val="24"/>
                <w14:textFill>
                  <w14:solidFill>
                    <w14:schemeClr w14:val="tx1"/>
                  </w14:solidFill>
                </w14:textFill>
              </w:rPr>
            </w:pPr>
            <w:r>
              <w:rPr>
                <w:rFonts w:hint="eastAsia" w:ascii="仿宋_GB2312" w:cs="Times New Roman"/>
                <w:b/>
                <w:bCs/>
                <w:color w:val="000000" w:themeColor="text1"/>
                <w:sz w:val="24"/>
                <w:szCs w:val="24"/>
                <w14:textFill>
                  <w14:solidFill>
                    <w14:schemeClr w14:val="tx1"/>
                  </w14:solidFill>
                </w14:textFill>
              </w:rPr>
              <w:t>分区</w:t>
            </w:r>
          </w:p>
        </w:tc>
        <w:tc>
          <w:tcPr>
            <w:tcW w:w="743" w:type="pct"/>
            <w:tcBorders>
              <w:bottom w:val="nil"/>
            </w:tcBorders>
            <w:shd w:val="clear" w:color="auto" w:fill="auto"/>
            <w:vAlign w:val="center"/>
          </w:tcPr>
          <w:p w14:paraId="5D031618">
            <w:pPr>
              <w:ind w:firstLine="0" w:firstLineChars="0"/>
              <w:jc w:val="center"/>
              <w:rPr>
                <w:rFonts w:ascii="仿宋_GB2312" w:cs="Times New Roman"/>
                <w:b w:val="0"/>
                <w:bCs w:val="0"/>
                <w:color w:val="000000" w:themeColor="text1"/>
                <w:sz w:val="24"/>
                <w:szCs w:val="24"/>
                <w14:textFill>
                  <w14:solidFill>
                    <w14:schemeClr w14:val="tx1"/>
                  </w14:solidFill>
                </w14:textFill>
              </w:rPr>
            </w:pPr>
            <w:r>
              <w:rPr>
                <w:rFonts w:hint="eastAsia" w:ascii="仿宋_GB2312" w:cs="Times New Roman"/>
                <w:b/>
                <w:bCs/>
                <w:color w:val="000000" w:themeColor="text1"/>
                <w:sz w:val="24"/>
                <w:szCs w:val="24"/>
                <w14:textFill>
                  <w14:solidFill>
                    <w14:schemeClr w14:val="tx1"/>
                  </w14:solidFill>
                </w14:textFill>
              </w:rPr>
              <w:t>控制要素</w:t>
            </w:r>
          </w:p>
        </w:tc>
        <w:tc>
          <w:tcPr>
            <w:tcW w:w="3845" w:type="pct"/>
            <w:tcBorders>
              <w:bottom w:val="nil"/>
            </w:tcBorders>
            <w:shd w:val="clear" w:color="auto" w:fill="auto"/>
            <w:vAlign w:val="center"/>
          </w:tcPr>
          <w:p w14:paraId="38F62AD3">
            <w:pPr>
              <w:ind w:firstLine="0" w:firstLineChars="0"/>
              <w:jc w:val="center"/>
              <w:rPr>
                <w:rFonts w:ascii="仿宋_GB2312" w:cs="Times New Roman"/>
                <w:b w:val="0"/>
                <w:bCs w:val="0"/>
                <w:color w:val="000000" w:themeColor="text1"/>
                <w:sz w:val="24"/>
                <w:szCs w:val="24"/>
                <w14:textFill>
                  <w14:solidFill>
                    <w14:schemeClr w14:val="tx1"/>
                  </w14:solidFill>
                </w14:textFill>
              </w:rPr>
            </w:pPr>
            <w:r>
              <w:rPr>
                <w:rFonts w:hint="eastAsia" w:ascii="仿宋_GB2312" w:cs="Times New Roman"/>
                <w:b/>
                <w:bCs/>
                <w:color w:val="000000" w:themeColor="text1"/>
                <w:sz w:val="24"/>
                <w:szCs w:val="24"/>
                <w14:textFill>
                  <w14:solidFill>
                    <w14:schemeClr w14:val="tx1"/>
                  </w14:solidFill>
                </w14:textFill>
              </w:rPr>
              <w:t>特色指引</w:t>
            </w:r>
          </w:p>
        </w:tc>
      </w:tr>
      <w:tr w14:paraId="2EADB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412" w:type="pct"/>
            <w:vMerge w:val="restart"/>
            <w:vAlign w:val="center"/>
          </w:tcPr>
          <w:p w14:paraId="011D9499">
            <w:pPr>
              <w:ind w:firstLine="0" w:firstLineChars="0"/>
              <w:jc w:val="center"/>
              <w:rPr>
                <w:rFonts w:ascii="仿宋_GB2312" w:cs="Times New Roman"/>
                <w:b w:val="0"/>
                <w:bCs w:val="0"/>
                <w:color w:val="000000" w:themeColor="text1"/>
                <w:sz w:val="24"/>
                <w:szCs w:val="24"/>
                <w14:textFill>
                  <w14:solidFill>
                    <w14:schemeClr w14:val="tx1"/>
                  </w14:solidFill>
                </w14:textFill>
              </w:rPr>
            </w:pPr>
            <w:r>
              <w:rPr>
                <w:rFonts w:hint="eastAsia" w:ascii="仿宋_GB2312" w:cs="Times New Roman"/>
                <w:b/>
                <w:bCs/>
                <w:color w:val="000000" w:themeColor="text1"/>
                <w:sz w:val="24"/>
                <w:szCs w:val="24"/>
                <w14:textFill>
                  <w14:solidFill>
                    <w14:schemeClr w14:val="tx1"/>
                  </w14:solidFill>
                </w14:textFill>
              </w:rPr>
              <w:t>丹霞山景观风貌区</w:t>
            </w:r>
          </w:p>
        </w:tc>
        <w:tc>
          <w:tcPr>
            <w:tcW w:w="743" w:type="pct"/>
            <w:vAlign w:val="center"/>
          </w:tcPr>
          <w:p w14:paraId="69D890F9">
            <w:pPr>
              <w:spacing w:before="48" w:beforeLines="15" w:after="48" w:afterLines="15" w:line="280" w:lineRule="exact"/>
              <w:ind w:firstLine="0" w:firstLineChars="0"/>
              <w:jc w:val="center"/>
              <w:rPr>
                <w:rFonts w:ascii="仿宋_GB2312" w:cs="Times New Roman"/>
                <w:color w:val="000000" w:themeColor="text1"/>
                <w:sz w:val="24"/>
                <w:szCs w:val="24"/>
                <w14:textFill>
                  <w14:solidFill>
                    <w14:schemeClr w14:val="tx1"/>
                  </w14:solidFill>
                </w14:textFill>
              </w:rPr>
            </w:pPr>
            <w:r>
              <w:rPr>
                <w:rFonts w:hint="eastAsia" w:ascii="仿宋_GB2312" w:cs="Times New Roman"/>
                <w:color w:val="000000" w:themeColor="text1"/>
                <w:sz w:val="24"/>
                <w:szCs w:val="24"/>
                <w14:textFill>
                  <w14:solidFill>
                    <w14:schemeClr w14:val="tx1"/>
                  </w14:solidFill>
                </w14:textFill>
              </w:rPr>
              <w:t>自然风貌</w:t>
            </w:r>
          </w:p>
        </w:tc>
        <w:tc>
          <w:tcPr>
            <w:tcW w:w="3845" w:type="pct"/>
            <w:vAlign w:val="center"/>
          </w:tcPr>
          <w:p w14:paraId="52E69B7E">
            <w:pPr>
              <w:spacing w:before="48" w:beforeLines="15" w:after="48" w:afterLines="15" w:line="280" w:lineRule="exact"/>
              <w:ind w:firstLine="0" w:firstLineChars="0"/>
              <w:jc w:val="both"/>
              <w:rPr>
                <w:rFonts w:ascii="仿宋_GB2312" w:cs="Times New Roman"/>
                <w:color w:val="000000" w:themeColor="text1"/>
                <w:sz w:val="24"/>
                <w:szCs w:val="24"/>
                <w14:textFill>
                  <w14:solidFill>
                    <w14:schemeClr w14:val="tx1"/>
                  </w14:solidFill>
                </w14:textFill>
              </w:rPr>
            </w:pPr>
            <w:r>
              <w:rPr>
                <w:rFonts w:hint="eastAsia" w:ascii="仿宋_GB2312" w:cs="Times New Roman"/>
                <w:color w:val="000000" w:themeColor="text1"/>
                <w:sz w:val="24"/>
                <w:szCs w:val="24"/>
                <w14:textFill>
                  <w14:solidFill>
                    <w14:schemeClr w14:val="tx1"/>
                  </w14:solidFill>
                </w14:textFill>
              </w:rPr>
              <w:t>强化与城市文化和现代工业文明的差异与互补，建设以山水田园为背景的风景名胜区。划定限制游人进入区域；禁止建设、樵采等活动；不引种新的植物种类，防止破坏植物群落内部的空间关联性的旅游活动。</w:t>
            </w:r>
          </w:p>
        </w:tc>
      </w:tr>
      <w:tr w14:paraId="149BA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12" w:type="pct"/>
            <w:vMerge w:val="continue"/>
            <w:vAlign w:val="center"/>
          </w:tcPr>
          <w:p w14:paraId="3FBE3EDE">
            <w:pPr>
              <w:ind w:firstLine="0" w:firstLineChars="0"/>
              <w:jc w:val="center"/>
              <w:rPr>
                <w:rFonts w:ascii="仿宋_GB2312" w:cs="Times New Roman"/>
                <w:b w:val="0"/>
                <w:bCs w:val="0"/>
                <w:color w:val="000000" w:themeColor="text1"/>
                <w:sz w:val="24"/>
                <w:szCs w:val="24"/>
                <w14:textFill>
                  <w14:solidFill>
                    <w14:schemeClr w14:val="tx1"/>
                  </w14:solidFill>
                </w14:textFill>
              </w:rPr>
            </w:pPr>
          </w:p>
        </w:tc>
        <w:tc>
          <w:tcPr>
            <w:tcW w:w="743" w:type="pct"/>
            <w:vAlign w:val="center"/>
          </w:tcPr>
          <w:p w14:paraId="4617EDBE">
            <w:pPr>
              <w:spacing w:before="48" w:beforeLines="15" w:after="48" w:afterLines="15" w:line="280" w:lineRule="exact"/>
              <w:ind w:firstLine="0" w:firstLineChars="0"/>
              <w:jc w:val="center"/>
              <w:rPr>
                <w:rFonts w:ascii="仿宋_GB2312" w:cs="Times New Roman"/>
                <w:color w:val="000000" w:themeColor="text1"/>
                <w:sz w:val="24"/>
                <w:szCs w:val="24"/>
                <w14:textFill>
                  <w14:solidFill>
                    <w14:schemeClr w14:val="tx1"/>
                  </w14:solidFill>
                </w14:textFill>
              </w:rPr>
            </w:pPr>
            <w:r>
              <w:rPr>
                <w:rFonts w:hint="eastAsia" w:ascii="仿宋_GB2312" w:cs="Times New Roman"/>
                <w:color w:val="000000" w:themeColor="text1"/>
                <w:sz w:val="24"/>
                <w:szCs w:val="24"/>
                <w14:textFill>
                  <w14:solidFill>
                    <w14:schemeClr w14:val="tx1"/>
                  </w14:solidFill>
                </w14:textFill>
              </w:rPr>
              <w:t>建筑风貌</w:t>
            </w:r>
          </w:p>
        </w:tc>
        <w:tc>
          <w:tcPr>
            <w:tcW w:w="3845" w:type="pct"/>
            <w:vAlign w:val="center"/>
          </w:tcPr>
          <w:p w14:paraId="3C710A00">
            <w:pPr>
              <w:spacing w:before="48" w:beforeLines="15" w:after="48" w:afterLines="15" w:line="280" w:lineRule="exact"/>
              <w:ind w:firstLine="0" w:firstLineChars="0"/>
              <w:jc w:val="both"/>
              <w:rPr>
                <w:rFonts w:ascii="仿宋_GB2312" w:cs="Times New Roman"/>
                <w:color w:val="000000" w:themeColor="text1"/>
                <w:sz w:val="24"/>
                <w:szCs w:val="24"/>
                <w14:textFill>
                  <w14:solidFill>
                    <w14:schemeClr w14:val="tx1"/>
                  </w14:solidFill>
                </w14:textFill>
              </w:rPr>
            </w:pPr>
            <w:r>
              <w:rPr>
                <w:rFonts w:hint="eastAsia" w:ascii="仿宋_GB2312" w:cs="Times New Roman"/>
                <w:color w:val="000000" w:themeColor="text1"/>
                <w:sz w:val="24"/>
                <w:szCs w:val="24"/>
                <w14:textFill>
                  <w14:solidFill>
                    <w14:schemeClr w14:val="tx1"/>
                  </w14:solidFill>
                </w14:textFill>
              </w:rPr>
              <w:t>采用本地传统风格，以浅灰、白、灰褐色为基本色调。</w:t>
            </w:r>
          </w:p>
        </w:tc>
      </w:tr>
      <w:tr w14:paraId="24804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412" w:type="pct"/>
            <w:vMerge w:val="restart"/>
            <w:vAlign w:val="center"/>
          </w:tcPr>
          <w:p w14:paraId="18018057">
            <w:pPr>
              <w:ind w:firstLine="0" w:firstLineChars="0"/>
              <w:jc w:val="center"/>
              <w:rPr>
                <w:rFonts w:ascii="仿宋_GB2312" w:cs="Times New Roman"/>
                <w:b w:val="0"/>
                <w:bCs w:val="0"/>
                <w:color w:val="000000" w:themeColor="text1"/>
                <w:sz w:val="24"/>
                <w:szCs w:val="24"/>
                <w14:textFill>
                  <w14:solidFill>
                    <w14:schemeClr w14:val="tx1"/>
                  </w14:solidFill>
                </w14:textFill>
              </w:rPr>
            </w:pPr>
            <w:r>
              <w:rPr>
                <w:rFonts w:hint="eastAsia" w:ascii="仿宋_GB2312" w:cs="Times New Roman"/>
                <w:b/>
                <w:bCs/>
                <w:color w:val="000000" w:themeColor="text1"/>
                <w:sz w:val="24"/>
                <w:szCs w:val="24"/>
                <w14:textFill>
                  <w14:solidFill>
                    <w14:schemeClr w14:val="tx1"/>
                  </w14:solidFill>
                </w14:textFill>
              </w:rPr>
              <w:t>城市景观风貌区</w:t>
            </w:r>
          </w:p>
        </w:tc>
        <w:tc>
          <w:tcPr>
            <w:tcW w:w="743" w:type="pct"/>
            <w:vAlign w:val="center"/>
          </w:tcPr>
          <w:p w14:paraId="165D1EE1">
            <w:pPr>
              <w:spacing w:before="48" w:beforeLines="15" w:after="48" w:afterLines="15" w:line="280" w:lineRule="exact"/>
              <w:ind w:firstLine="0" w:firstLineChars="0"/>
              <w:jc w:val="center"/>
              <w:rPr>
                <w:rFonts w:ascii="仿宋_GB2312" w:cs="Times New Roman"/>
                <w:color w:val="000000" w:themeColor="text1"/>
                <w:sz w:val="24"/>
                <w:szCs w:val="24"/>
                <w14:textFill>
                  <w14:solidFill>
                    <w14:schemeClr w14:val="tx1"/>
                  </w14:solidFill>
                </w14:textFill>
              </w:rPr>
            </w:pPr>
            <w:r>
              <w:rPr>
                <w:rFonts w:hint="eastAsia" w:ascii="仿宋_GB2312" w:cs="Times New Roman"/>
                <w:color w:val="000000" w:themeColor="text1"/>
                <w:sz w:val="24"/>
                <w:szCs w:val="24"/>
                <w14:textFill>
                  <w14:solidFill>
                    <w14:schemeClr w14:val="tx1"/>
                  </w14:solidFill>
                </w14:textFill>
              </w:rPr>
              <w:t>自然风貌</w:t>
            </w:r>
          </w:p>
        </w:tc>
        <w:tc>
          <w:tcPr>
            <w:tcW w:w="3845" w:type="pct"/>
            <w:vAlign w:val="center"/>
          </w:tcPr>
          <w:p w14:paraId="74437A57">
            <w:pPr>
              <w:spacing w:before="48" w:beforeLines="15" w:after="48" w:afterLines="15" w:line="280" w:lineRule="exact"/>
              <w:ind w:firstLine="0" w:firstLineChars="0"/>
              <w:jc w:val="both"/>
              <w:rPr>
                <w:rFonts w:ascii="仿宋_GB2312" w:cs="Times New Roman"/>
                <w:color w:val="000000" w:themeColor="text1"/>
                <w:sz w:val="24"/>
                <w:szCs w:val="24"/>
                <w14:textFill>
                  <w14:solidFill>
                    <w14:schemeClr w14:val="tx1"/>
                  </w14:solidFill>
                </w14:textFill>
              </w:rPr>
            </w:pPr>
            <w:r>
              <w:rPr>
                <w:rFonts w:hint="eastAsia" w:ascii="仿宋_GB2312" w:cs="Times New Roman"/>
                <w:color w:val="000000" w:themeColor="text1"/>
                <w:sz w:val="24"/>
                <w:szCs w:val="24"/>
                <w14:textFill>
                  <w14:solidFill>
                    <w14:schemeClr w14:val="tx1"/>
                  </w14:solidFill>
                </w14:textFill>
              </w:rPr>
              <w:t>注重城市远山近水环境营造，构建“山、水、城”风貌格局。</w:t>
            </w:r>
          </w:p>
        </w:tc>
      </w:tr>
      <w:tr w14:paraId="270CB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412" w:type="pct"/>
            <w:vMerge w:val="continue"/>
            <w:vAlign w:val="center"/>
          </w:tcPr>
          <w:p w14:paraId="56CDFF1D">
            <w:pPr>
              <w:ind w:firstLine="0" w:firstLineChars="0"/>
              <w:jc w:val="center"/>
              <w:rPr>
                <w:rFonts w:ascii="仿宋_GB2312" w:cs="Times New Roman"/>
                <w:b w:val="0"/>
                <w:bCs w:val="0"/>
                <w:color w:val="000000" w:themeColor="text1"/>
                <w:sz w:val="24"/>
                <w:szCs w:val="24"/>
                <w14:textFill>
                  <w14:solidFill>
                    <w14:schemeClr w14:val="tx1"/>
                  </w14:solidFill>
                </w14:textFill>
              </w:rPr>
            </w:pPr>
          </w:p>
        </w:tc>
        <w:tc>
          <w:tcPr>
            <w:tcW w:w="743" w:type="pct"/>
            <w:vAlign w:val="center"/>
          </w:tcPr>
          <w:p w14:paraId="77378310">
            <w:pPr>
              <w:spacing w:before="48" w:beforeLines="15" w:after="48" w:afterLines="15" w:line="280" w:lineRule="exact"/>
              <w:ind w:firstLine="0" w:firstLineChars="0"/>
              <w:jc w:val="center"/>
              <w:rPr>
                <w:rFonts w:ascii="仿宋_GB2312" w:cs="Times New Roman"/>
                <w:color w:val="000000" w:themeColor="text1"/>
                <w:sz w:val="24"/>
                <w:szCs w:val="24"/>
                <w14:textFill>
                  <w14:solidFill>
                    <w14:schemeClr w14:val="tx1"/>
                  </w14:solidFill>
                </w14:textFill>
              </w:rPr>
            </w:pPr>
            <w:r>
              <w:rPr>
                <w:rFonts w:hint="eastAsia" w:ascii="仿宋_GB2312" w:cs="Times New Roman"/>
                <w:color w:val="000000" w:themeColor="text1"/>
                <w:sz w:val="24"/>
                <w:szCs w:val="24"/>
                <w14:textFill>
                  <w14:solidFill>
                    <w14:schemeClr w14:val="tx1"/>
                  </w14:solidFill>
                </w14:textFill>
              </w:rPr>
              <w:t>建筑风貌</w:t>
            </w:r>
          </w:p>
        </w:tc>
        <w:tc>
          <w:tcPr>
            <w:tcW w:w="3845" w:type="pct"/>
            <w:vAlign w:val="center"/>
          </w:tcPr>
          <w:p w14:paraId="6243AD9D">
            <w:pPr>
              <w:spacing w:before="48" w:beforeLines="15" w:after="48" w:afterLines="15" w:line="280" w:lineRule="exact"/>
              <w:ind w:firstLine="0" w:firstLineChars="0"/>
              <w:jc w:val="both"/>
              <w:rPr>
                <w:rFonts w:ascii="仿宋_GB2312" w:cs="Times New Roman"/>
                <w:color w:val="000000" w:themeColor="text1"/>
                <w:sz w:val="24"/>
                <w:szCs w:val="24"/>
                <w14:textFill>
                  <w14:solidFill>
                    <w14:schemeClr w14:val="tx1"/>
                  </w14:solidFill>
                </w14:textFill>
              </w:rPr>
            </w:pPr>
            <w:r>
              <w:rPr>
                <w:rFonts w:hint="eastAsia" w:ascii="仿宋_GB2312" w:cs="Times New Roman"/>
                <w:color w:val="000000" w:themeColor="text1"/>
                <w:sz w:val="24"/>
                <w:szCs w:val="24"/>
                <w14:textFill>
                  <w14:solidFill>
                    <w14:schemeClr w14:val="tx1"/>
                  </w14:solidFill>
                </w14:textFill>
              </w:rPr>
              <w:t>以岭南建筑风格与现代主义建筑风格为主，以浅色为基调，适当点缀突出颜色</w:t>
            </w:r>
          </w:p>
        </w:tc>
      </w:tr>
      <w:tr w14:paraId="05B8D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412" w:type="pct"/>
            <w:vMerge w:val="restart"/>
            <w:vAlign w:val="center"/>
          </w:tcPr>
          <w:p w14:paraId="59082CF0">
            <w:pPr>
              <w:ind w:firstLine="0" w:firstLineChars="0"/>
              <w:jc w:val="center"/>
              <w:rPr>
                <w:rFonts w:ascii="仿宋_GB2312" w:cs="Times New Roman"/>
                <w:b w:val="0"/>
                <w:bCs w:val="0"/>
                <w:color w:val="000000" w:themeColor="text1"/>
                <w:sz w:val="24"/>
                <w:szCs w:val="24"/>
                <w14:textFill>
                  <w14:solidFill>
                    <w14:schemeClr w14:val="tx1"/>
                  </w14:solidFill>
                </w14:textFill>
              </w:rPr>
            </w:pPr>
            <w:r>
              <w:rPr>
                <w:rFonts w:hint="eastAsia" w:ascii="仿宋_GB2312" w:cs="Times New Roman"/>
                <w:b/>
                <w:bCs/>
                <w:color w:val="000000" w:themeColor="text1"/>
                <w:sz w:val="24"/>
                <w:szCs w:val="24"/>
                <w14:textFill>
                  <w14:solidFill>
                    <w14:schemeClr w14:val="tx1"/>
                  </w14:solidFill>
                </w14:textFill>
              </w:rPr>
              <w:t>生态农林风貌区</w:t>
            </w:r>
          </w:p>
        </w:tc>
        <w:tc>
          <w:tcPr>
            <w:tcW w:w="743" w:type="pct"/>
            <w:vAlign w:val="center"/>
          </w:tcPr>
          <w:p w14:paraId="5D6ACF7D">
            <w:pPr>
              <w:spacing w:before="48" w:beforeLines="15" w:after="48" w:afterLines="15" w:line="280" w:lineRule="exact"/>
              <w:ind w:firstLine="0" w:firstLineChars="0"/>
              <w:jc w:val="center"/>
              <w:rPr>
                <w:rFonts w:ascii="仿宋_GB2312" w:cs="Times New Roman"/>
                <w:color w:val="000000" w:themeColor="text1"/>
                <w:sz w:val="24"/>
                <w:szCs w:val="24"/>
                <w14:textFill>
                  <w14:solidFill>
                    <w14:schemeClr w14:val="tx1"/>
                  </w14:solidFill>
                </w14:textFill>
              </w:rPr>
            </w:pPr>
            <w:r>
              <w:rPr>
                <w:rFonts w:hint="eastAsia" w:ascii="仿宋_GB2312" w:cs="Times New Roman"/>
                <w:color w:val="000000" w:themeColor="text1"/>
                <w:sz w:val="24"/>
                <w:szCs w:val="24"/>
                <w14:textFill>
                  <w14:solidFill>
                    <w14:schemeClr w14:val="tx1"/>
                  </w14:solidFill>
                </w14:textFill>
              </w:rPr>
              <w:t>自然风貌</w:t>
            </w:r>
          </w:p>
        </w:tc>
        <w:tc>
          <w:tcPr>
            <w:tcW w:w="3845" w:type="pct"/>
            <w:vAlign w:val="center"/>
          </w:tcPr>
          <w:p w14:paraId="1D1E16EE">
            <w:pPr>
              <w:spacing w:before="48" w:beforeLines="15" w:after="48" w:afterLines="15" w:line="280" w:lineRule="exact"/>
              <w:ind w:firstLine="0" w:firstLineChars="0"/>
              <w:jc w:val="both"/>
              <w:rPr>
                <w:rFonts w:ascii="仿宋_GB2312" w:cs="Times New Roman"/>
                <w:color w:val="000000" w:themeColor="text1"/>
                <w:sz w:val="24"/>
                <w:szCs w:val="24"/>
                <w14:textFill>
                  <w14:solidFill>
                    <w14:schemeClr w14:val="tx1"/>
                  </w14:solidFill>
                </w14:textFill>
              </w:rPr>
            </w:pPr>
            <w:r>
              <w:rPr>
                <w:rFonts w:hint="eastAsia" w:ascii="仿宋_GB2312" w:cs="Times New Roman"/>
                <w:color w:val="000000" w:themeColor="text1"/>
                <w:sz w:val="24"/>
                <w:szCs w:val="24"/>
                <w14:textFill>
                  <w14:solidFill>
                    <w14:schemeClr w14:val="tx1"/>
                  </w14:solidFill>
                </w14:textFill>
              </w:rPr>
              <w:t>保护农林景观，对现状生态问题突出的山体进行修复，山林内不宜进行大规模建设；增加果林、景观林种植，构建山水风光独特、自然环境优美、田园气息浓郁、文化内涵丰富的景观风貌。</w:t>
            </w:r>
          </w:p>
        </w:tc>
      </w:tr>
      <w:tr w14:paraId="69B0F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412" w:type="pct"/>
            <w:vMerge w:val="continue"/>
            <w:vAlign w:val="center"/>
          </w:tcPr>
          <w:p w14:paraId="6E9846B2">
            <w:pPr>
              <w:ind w:firstLine="0" w:firstLineChars="0"/>
              <w:jc w:val="center"/>
              <w:rPr>
                <w:rFonts w:ascii="仿宋_GB2312" w:cs="Times New Roman"/>
                <w:b w:val="0"/>
                <w:bCs w:val="0"/>
                <w:color w:val="000000" w:themeColor="text1"/>
                <w:sz w:val="24"/>
                <w:szCs w:val="24"/>
                <w14:textFill>
                  <w14:solidFill>
                    <w14:schemeClr w14:val="tx1"/>
                  </w14:solidFill>
                </w14:textFill>
              </w:rPr>
            </w:pPr>
          </w:p>
        </w:tc>
        <w:tc>
          <w:tcPr>
            <w:tcW w:w="743" w:type="pct"/>
            <w:vAlign w:val="center"/>
          </w:tcPr>
          <w:p w14:paraId="46367199">
            <w:pPr>
              <w:spacing w:before="48" w:beforeLines="15" w:after="48" w:afterLines="15" w:line="280" w:lineRule="exact"/>
              <w:ind w:firstLine="0" w:firstLineChars="0"/>
              <w:jc w:val="center"/>
              <w:rPr>
                <w:rFonts w:ascii="仿宋_GB2312" w:cs="Times New Roman"/>
                <w:color w:val="000000" w:themeColor="text1"/>
                <w:sz w:val="24"/>
                <w:szCs w:val="24"/>
                <w14:textFill>
                  <w14:solidFill>
                    <w14:schemeClr w14:val="tx1"/>
                  </w14:solidFill>
                </w14:textFill>
              </w:rPr>
            </w:pPr>
            <w:r>
              <w:rPr>
                <w:rFonts w:hint="eastAsia" w:ascii="仿宋_GB2312" w:cs="Times New Roman"/>
                <w:color w:val="000000" w:themeColor="text1"/>
                <w:sz w:val="24"/>
                <w:szCs w:val="24"/>
                <w14:textFill>
                  <w14:solidFill>
                    <w14:schemeClr w14:val="tx1"/>
                  </w14:solidFill>
                </w14:textFill>
              </w:rPr>
              <w:t>建筑风貌</w:t>
            </w:r>
          </w:p>
        </w:tc>
        <w:tc>
          <w:tcPr>
            <w:tcW w:w="3845" w:type="pct"/>
            <w:vAlign w:val="center"/>
          </w:tcPr>
          <w:p w14:paraId="7FB291CA">
            <w:pPr>
              <w:spacing w:before="48" w:beforeLines="15" w:after="48" w:afterLines="15" w:line="280" w:lineRule="exact"/>
              <w:ind w:firstLine="0" w:firstLineChars="0"/>
              <w:jc w:val="both"/>
              <w:rPr>
                <w:rFonts w:ascii="仿宋_GB2312" w:cs="Times New Roman"/>
                <w:color w:val="000000" w:themeColor="text1"/>
                <w:sz w:val="24"/>
                <w:szCs w:val="24"/>
                <w14:textFill>
                  <w14:solidFill>
                    <w14:schemeClr w14:val="tx1"/>
                  </w14:solidFill>
                </w14:textFill>
              </w:rPr>
            </w:pPr>
            <w:r>
              <w:rPr>
                <w:rFonts w:hint="eastAsia" w:ascii="仿宋_GB2312" w:cs="Times New Roman"/>
                <w:color w:val="000000" w:themeColor="text1"/>
                <w:sz w:val="24"/>
                <w:szCs w:val="24"/>
                <w14:textFill>
                  <w14:solidFill>
                    <w14:schemeClr w14:val="tx1"/>
                  </w14:solidFill>
                </w14:textFill>
              </w:rPr>
              <w:t>建筑风格与自然环境和红色文化相协调，色彩以清淡雅致为主。</w:t>
            </w:r>
          </w:p>
        </w:tc>
      </w:tr>
      <w:tr w14:paraId="07B16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412" w:type="pct"/>
            <w:vMerge w:val="restart"/>
            <w:vAlign w:val="center"/>
          </w:tcPr>
          <w:p w14:paraId="20DFA503">
            <w:pPr>
              <w:ind w:firstLine="0" w:firstLineChars="0"/>
              <w:jc w:val="center"/>
              <w:rPr>
                <w:rFonts w:ascii="仿宋_GB2312" w:cs="Times New Roman"/>
                <w:b w:val="0"/>
                <w:bCs w:val="0"/>
                <w:color w:val="000000" w:themeColor="text1"/>
                <w:sz w:val="24"/>
                <w:szCs w:val="24"/>
                <w14:textFill>
                  <w14:solidFill>
                    <w14:schemeClr w14:val="tx1"/>
                  </w14:solidFill>
                </w14:textFill>
              </w:rPr>
            </w:pPr>
            <w:r>
              <w:rPr>
                <w:rFonts w:hint="eastAsia" w:ascii="仿宋_GB2312" w:cs="Times New Roman"/>
                <w:b/>
                <w:bCs/>
                <w:color w:val="000000" w:themeColor="text1"/>
                <w:sz w:val="24"/>
                <w:szCs w:val="24"/>
                <w14:textFill>
                  <w14:solidFill>
                    <w14:schemeClr w14:val="tx1"/>
                  </w14:solidFill>
                </w14:textFill>
              </w:rPr>
              <w:t>农旅融合风貌区</w:t>
            </w:r>
          </w:p>
        </w:tc>
        <w:tc>
          <w:tcPr>
            <w:tcW w:w="743" w:type="pct"/>
            <w:vAlign w:val="center"/>
          </w:tcPr>
          <w:p w14:paraId="41D506E2">
            <w:pPr>
              <w:spacing w:before="48" w:beforeLines="15" w:after="48" w:afterLines="15" w:line="280" w:lineRule="exact"/>
              <w:ind w:firstLine="0" w:firstLineChars="0"/>
              <w:jc w:val="center"/>
              <w:rPr>
                <w:rFonts w:ascii="仿宋_GB2312" w:cs="Times New Roman"/>
                <w:color w:val="000000" w:themeColor="text1"/>
                <w:sz w:val="24"/>
                <w:szCs w:val="24"/>
                <w14:textFill>
                  <w14:solidFill>
                    <w14:schemeClr w14:val="tx1"/>
                  </w14:solidFill>
                </w14:textFill>
              </w:rPr>
            </w:pPr>
            <w:r>
              <w:rPr>
                <w:rFonts w:hint="eastAsia" w:ascii="仿宋_GB2312" w:cs="Times New Roman"/>
                <w:color w:val="000000" w:themeColor="text1"/>
                <w:sz w:val="24"/>
                <w:szCs w:val="24"/>
                <w14:textFill>
                  <w14:solidFill>
                    <w14:schemeClr w14:val="tx1"/>
                  </w14:solidFill>
                </w14:textFill>
              </w:rPr>
              <w:t>自然风貌</w:t>
            </w:r>
          </w:p>
        </w:tc>
        <w:tc>
          <w:tcPr>
            <w:tcW w:w="3845" w:type="pct"/>
            <w:vAlign w:val="center"/>
          </w:tcPr>
          <w:p w14:paraId="64DAB850">
            <w:pPr>
              <w:spacing w:before="48" w:beforeLines="15" w:after="48" w:afterLines="15" w:line="280" w:lineRule="exact"/>
              <w:ind w:firstLine="0" w:firstLineChars="0"/>
              <w:jc w:val="both"/>
              <w:rPr>
                <w:rFonts w:ascii="仿宋_GB2312" w:cs="Times New Roman"/>
                <w:color w:val="000000" w:themeColor="text1"/>
                <w:sz w:val="24"/>
                <w:szCs w:val="24"/>
                <w14:textFill>
                  <w14:solidFill>
                    <w14:schemeClr w14:val="tx1"/>
                  </w14:solidFill>
                </w14:textFill>
              </w:rPr>
            </w:pPr>
            <w:r>
              <w:rPr>
                <w:rFonts w:hint="eastAsia" w:ascii="仿宋_GB2312" w:cs="Times New Roman"/>
                <w:color w:val="000000" w:themeColor="text1"/>
                <w:sz w:val="24"/>
                <w:szCs w:val="24"/>
                <w14:textFill>
                  <w14:solidFill>
                    <w14:schemeClr w14:val="tx1"/>
                  </w14:solidFill>
                </w14:textFill>
              </w:rPr>
              <w:t>农林结合，延续丹霞山历史文脉和景观特征，打造乡村田园景观。</w:t>
            </w:r>
          </w:p>
        </w:tc>
      </w:tr>
      <w:tr w14:paraId="334E5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412" w:type="pct"/>
            <w:vMerge w:val="continue"/>
            <w:vAlign w:val="center"/>
          </w:tcPr>
          <w:p w14:paraId="59A964A0">
            <w:pPr>
              <w:ind w:firstLine="0" w:firstLineChars="0"/>
              <w:jc w:val="center"/>
              <w:rPr>
                <w:rFonts w:ascii="仿宋_GB2312" w:cs="Times New Roman"/>
                <w:b w:val="0"/>
                <w:bCs w:val="0"/>
                <w:color w:val="000000" w:themeColor="text1"/>
                <w:sz w:val="24"/>
                <w:szCs w:val="24"/>
                <w14:textFill>
                  <w14:solidFill>
                    <w14:schemeClr w14:val="tx1"/>
                  </w14:solidFill>
                </w14:textFill>
              </w:rPr>
            </w:pPr>
          </w:p>
        </w:tc>
        <w:tc>
          <w:tcPr>
            <w:tcW w:w="743" w:type="pct"/>
            <w:vAlign w:val="center"/>
          </w:tcPr>
          <w:p w14:paraId="4BFBC64A">
            <w:pPr>
              <w:spacing w:before="48" w:beforeLines="15" w:after="48" w:afterLines="15" w:line="280" w:lineRule="exact"/>
              <w:ind w:firstLine="0" w:firstLineChars="0"/>
              <w:jc w:val="center"/>
              <w:rPr>
                <w:rFonts w:ascii="仿宋_GB2312" w:cs="Times New Roman"/>
                <w:color w:val="000000" w:themeColor="text1"/>
                <w:sz w:val="24"/>
                <w:szCs w:val="24"/>
                <w14:textFill>
                  <w14:solidFill>
                    <w14:schemeClr w14:val="tx1"/>
                  </w14:solidFill>
                </w14:textFill>
              </w:rPr>
            </w:pPr>
            <w:r>
              <w:rPr>
                <w:rFonts w:hint="eastAsia" w:ascii="仿宋_GB2312" w:cs="Times New Roman"/>
                <w:color w:val="000000" w:themeColor="text1"/>
                <w:sz w:val="24"/>
                <w:szCs w:val="24"/>
                <w14:textFill>
                  <w14:solidFill>
                    <w14:schemeClr w14:val="tx1"/>
                  </w14:solidFill>
                </w14:textFill>
              </w:rPr>
              <w:t>建筑风貌</w:t>
            </w:r>
          </w:p>
        </w:tc>
        <w:tc>
          <w:tcPr>
            <w:tcW w:w="3845" w:type="pct"/>
            <w:vAlign w:val="center"/>
          </w:tcPr>
          <w:p w14:paraId="46A09B82">
            <w:pPr>
              <w:spacing w:before="48" w:beforeLines="15" w:after="48" w:afterLines="15" w:line="280" w:lineRule="exact"/>
              <w:ind w:firstLine="0" w:firstLineChars="0"/>
              <w:jc w:val="both"/>
              <w:rPr>
                <w:rFonts w:ascii="仿宋_GB2312" w:cs="Times New Roman"/>
                <w:color w:val="000000" w:themeColor="text1"/>
                <w:sz w:val="24"/>
                <w:szCs w:val="24"/>
                <w14:textFill>
                  <w14:solidFill>
                    <w14:schemeClr w14:val="tx1"/>
                  </w14:solidFill>
                </w14:textFill>
              </w:rPr>
            </w:pPr>
            <w:r>
              <w:rPr>
                <w:rFonts w:hint="eastAsia" w:ascii="仿宋_GB2312" w:cs="Times New Roman"/>
                <w:color w:val="000000" w:themeColor="text1"/>
                <w:sz w:val="24"/>
                <w:szCs w:val="24"/>
                <w14:textFill>
                  <w14:solidFill>
                    <w14:schemeClr w14:val="tx1"/>
                  </w14:solidFill>
                </w14:textFill>
              </w:rPr>
              <w:t>强化建筑沿线与交通干道间的空间界面，以小体量建筑为主，建筑采用本地传统风格为主，墙体以白色为主，门窗以深色搭配，屋顶为灰黑色坡屋顶。</w:t>
            </w:r>
          </w:p>
        </w:tc>
      </w:tr>
      <w:bookmarkEnd w:id="2015"/>
      <w:bookmarkEnd w:id="2016"/>
    </w:tbl>
    <w:p w14:paraId="7AAF9769">
      <w:pPr>
        <w:ind w:firstLine="138" w:firstLineChars="66"/>
        <w:jc w:val="both"/>
        <w:rPr>
          <w:rFonts w:ascii="仿宋_GB2312" w:hAnsi="黑体" w:cs="Times New Roman"/>
          <w:color w:val="000000" w:themeColor="text1"/>
          <w:sz w:val="21"/>
          <w:szCs w:val="21"/>
          <w14:textFill>
            <w14:solidFill>
              <w14:schemeClr w14:val="tx1"/>
            </w14:solidFill>
          </w14:textFill>
        </w:rPr>
      </w:pPr>
      <w:bookmarkStart w:id="2023" w:name="_Toc141887924"/>
      <w:bookmarkStart w:id="2024" w:name="_Toc8126"/>
      <w:bookmarkStart w:id="2025" w:name="_Toc132305832"/>
      <w:r>
        <w:rPr>
          <w:rFonts w:hint="eastAsia" w:ascii="仿宋_GB2312" w:hAnsi="黑体" w:cs="Times New Roman"/>
          <w:color w:val="000000" w:themeColor="text1"/>
          <w:sz w:val="21"/>
          <w:szCs w:val="21"/>
          <w14:textFill>
            <w14:solidFill>
              <w14:schemeClr w14:val="tx1"/>
            </w14:solidFill>
          </w14:textFill>
        </w:rPr>
        <w:t>注：本表为指引表，具体城乡风貌控制以地方相关风貌管控文件和专项规划要求为准。</w:t>
      </w:r>
    </w:p>
    <w:p w14:paraId="27F809E3">
      <w:pPr>
        <w:pStyle w:val="6"/>
        <w:spacing w:before="163" w:after="163"/>
      </w:pPr>
      <w:r>
        <w:rPr>
          <w:rFonts w:hint="eastAsia"/>
        </w:rPr>
        <w:t>加强生态要素周边建设管控</w:t>
      </w:r>
    </w:p>
    <w:p w14:paraId="5DBD4F79">
      <w:pPr>
        <w:ind w:firstLine="531" w:firstLineChars="177"/>
        <w:jc w:val="both"/>
        <w:rPr>
          <w:color w:val="000000" w:themeColor="text1"/>
          <w14:textFill>
            <w14:solidFill>
              <w14:schemeClr w14:val="tx1"/>
            </w14:solidFill>
          </w14:textFill>
        </w:rPr>
      </w:pPr>
      <w:r>
        <w:rPr>
          <w:rFonts w:hint="eastAsia"/>
        </w:rPr>
        <w:t>保护</w:t>
      </w:r>
      <w:r>
        <w:rPr>
          <w:rFonts w:hint="eastAsia"/>
          <w:color w:val="000000" w:themeColor="text1"/>
          <w14:textFill>
            <w14:solidFill>
              <w14:schemeClr w14:val="tx1"/>
            </w14:solidFill>
          </w14:textFill>
        </w:rPr>
        <w:t>传承仁化的自然禀赋、历史文脉，维育山、水、林、田等特色空间要素。重点保护丹霞山、锡林峰、万时山、范水山、黄岭嶂等山体地区。严格控制山体周边建筑高度，保证重要山脊线以下</w:t>
      </w:r>
      <w:r>
        <w:rPr>
          <w:rFonts w:ascii="Times New Roman" w:hAnsi="Times New Roman" w:cs="Times New Roman"/>
          <w:color w:val="000000" w:themeColor="text1"/>
          <w14:textFill>
            <w14:solidFill>
              <w14:schemeClr w14:val="tx1"/>
            </w14:solidFill>
          </w14:textFill>
        </w:rPr>
        <w:t>20%</w:t>
      </w:r>
      <w:r>
        <w:rPr>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30%</w:t>
      </w:r>
      <w:r>
        <w:rPr>
          <w:rFonts w:hint="eastAsia"/>
          <w:color w:val="000000" w:themeColor="text1"/>
          <w14:textFill>
            <w14:solidFill>
              <w14:schemeClr w14:val="tx1"/>
            </w14:solidFill>
          </w14:textFill>
        </w:rPr>
        <w:t>山体景观不被遮挡。引导山边、水边、林边、田边等生态景观区域周边的建设高度控制，形成与城市生态本底呼应的建设高度控制体系。严格控制生态敏感、自然景观等重点地段的高层建筑建设，不在对历史地段、重要文物保护单位等临近区域以及山边水边以及老旧城区等地段新建高层建筑，不在城市通风廊道、景观廊道上新建高层建筑群。保护浈江、锦江等河流水系以及高坪水库、赤石迳水库、澌溪河水库等库区的生态环境，加强河湖生态保护修复及滨水生态环境建设。注重滨水建设，中心城区锦江两岸的建设工程，强调塑造有韵律感的天际线，构建滨水活力空间。</w:t>
      </w:r>
    </w:p>
    <w:p w14:paraId="59B78031">
      <w:pPr>
        <w:pStyle w:val="6"/>
        <w:spacing w:before="163" w:after="163"/>
        <w:rPr>
          <w:b/>
        </w:rPr>
      </w:pPr>
      <w:r>
        <w:rPr>
          <w:rFonts w:hint="eastAsia"/>
        </w:rPr>
        <w:t>保护利用自然地理景观特色</w:t>
      </w:r>
      <w:bookmarkEnd w:id="2023"/>
      <w:bookmarkEnd w:id="2024"/>
    </w:p>
    <w:p w14:paraId="5B16B3DB">
      <w:pPr>
        <w:ind w:firstLine="600"/>
        <w:jc w:val="both"/>
      </w:pPr>
      <w:r>
        <w:rPr>
          <w:rFonts w:hint="eastAsia"/>
          <w:color w:val="000000" w:themeColor="text1"/>
          <w14:textFill>
            <w14:solidFill>
              <w14:schemeClr w14:val="tx1"/>
            </w14:solidFill>
          </w14:textFill>
        </w:rPr>
        <w:t>整体保护自然山体林地景观，加强浈江、锦江、城口河、灵溪河、董塘河等河流水系自然岸线景观打造。丹霞山景观风貌区，依托景区内独特的丹霞地貌、锦江水系、南亚热带常绿阔叶林植被及周边乡村等，塑造“奇峰、碧水、绿林、良田、古村”的景观风貌；城市景观风貌区，以县城建成区为基础，与锦江水系、周边自然山体相融，延续城市历史文脉，提升空间品质，彰显丹霞文化特色的山水精致城市风貌；生态农林风貌区适度开发建设，塑造“翠林、村美、茶清、小镇”的景观风貌；农旅融合风貌区以绿色农业为载体，融入自然、农耕文化，村落等要素，培育规模化种植基地，发展农旅融合产业，塑造“山青、水秀、果香、田丰”的景观风貌。</w:t>
      </w:r>
    </w:p>
    <w:p w14:paraId="6282F8A7">
      <w:pPr>
        <w:pStyle w:val="5"/>
        <w:spacing w:before="163" w:after="163"/>
        <w:rPr>
          <w:b/>
        </w:rPr>
      </w:pPr>
      <w:bookmarkStart w:id="2026" w:name="_Toc141887925"/>
      <w:bookmarkStart w:id="2027" w:name="_Toc167271414"/>
      <w:bookmarkStart w:id="2028" w:name="_Toc26353"/>
      <w:r>
        <w:rPr>
          <w:rFonts w:hint="eastAsia"/>
        </w:rPr>
        <w:t>历史文化资源保护与利用</w:t>
      </w:r>
      <w:bookmarkEnd w:id="2025"/>
      <w:bookmarkEnd w:id="2026"/>
      <w:bookmarkEnd w:id="2027"/>
      <w:bookmarkEnd w:id="2028"/>
    </w:p>
    <w:bookmarkEnd w:id="1550"/>
    <w:bookmarkEnd w:id="1551"/>
    <w:p w14:paraId="09986696">
      <w:pPr>
        <w:pStyle w:val="6"/>
        <w:spacing w:before="163" w:after="163"/>
        <w:rPr>
          <w:b/>
        </w:rPr>
      </w:pPr>
      <w:bookmarkStart w:id="2029" w:name="_Toc30274"/>
      <w:bookmarkStart w:id="2030" w:name="_Toc141887926"/>
      <w:bookmarkStart w:id="2031" w:name="_Toc141887933"/>
      <w:bookmarkStart w:id="2032" w:name="_Toc132305838"/>
      <w:bookmarkStart w:id="2033" w:name="_Toc3568"/>
      <w:bookmarkStart w:id="2034" w:name="_Hlk128600640"/>
      <w:bookmarkStart w:id="2035" w:name="_Toc132305847"/>
      <w:bookmarkStart w:id="2036" w:name="_Toc10644"/>
      <w:bookmarkStart w:id="2037" w:name="_Toc141887943"/>
      <w:r>
        <w:rPr>
          <w:rFonts w:hint="eastAsia"/>
        </w:rPr>
        <w:t>建立历史文化保护传承体系</w:t>
      </w:r>
      <w:bookmarkEnd w:id="2029"/>
      <w:bookmarkEnd w:id="2030"/>
      <w:r>
        <w:t xml:space="preserve"> </w:t>
      </w:r>
    </w:p>
    <w:p w14:paraId="3A9910C2">
      <w:pPr>
        <w:ind w:firstLine="531" w:firstLineChars="177"/>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以县域整体保护为统领，建立</w:t>
      </w:r>
      <w:r>
        <w:rPr>
          <w:rFonts w:hint="eastAsia" w:ascii="仿宋_GB2312"/>
          <w:color w:val="000000" w:themeColor="text1"/>
          <w14:textFill>
            <w14:solidFill>
              <w14:schemeClr w14:val="tx1"/>
            </w14:solidFill>
          </w14:textFill>
        </w:rPr>
        <w:t>“</w:t>
      </w:r>
      <w:r>
        <w:rPr>
          <w:rFonts w:hint="eastAsia"/>
          <w:color w:val="000000" w:themeColor="text1"/>
          <w14:textFill>
            <w14:solidFill>
              <w14:schemeClr w14:val="tx1"/>
            </w14:solidFill>
          </w14:textFill>
        </w:rPr>
        <w:t>历史文化名村及传统村落—文物保护单位及一般不可移动文物—历史建筑—红色文化遗产—古驿道—古树名木—非物质文化遗产</w:t>
      </w:r>
      <w:r>
        <w:rPr>
          <w:rFonts w:hint="eastAsia" w:ascii="仿宋_GB2312"/>
          <w:color w:val="000000" w:themeColor="text1"/>
          <w14:textFill>
            <w14:solidFill>
              <w14:schemeClr w14:val="tx1"/>
            </w14:solidFill>
          </w14:textFill>
        </w:rPr>
        <w:t>”</w:t>
      </w:r>
      <w:r>
        <w:rPr>
          <w:rFonts w:hint="eastAsia"/>
          <w:color w:val="000000" w:themeColor="text1"/>
          <w14:textFill>
            <w14:solidFill>
              <w14:schemeClr w14:val="tx1"/>
            </w14:solidFill>
          </w14:textFill>
        </w:rPr>
        <w:t>的历史文化保护传承体系，实现对历史文化资源的有效保护和合理利用。</w:t>
      </w:r>
    </w:p>
    <w:p w14:paraId="3031B6B1">
      <w:pPr>
        <w:ind w:firstLine="531" w:firstLineChars="177"/>
        <w:jc w:val="both"/>
        <w:rPr>
          <w:bCs/>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历史文化名村和传统村落。</w:t>
      </w:r>
      <w:bookmarkStart w:id="2038" w:name="_Hlk79252191"/>
      <w:r>
        <w:rPr>
          <w:rFonts w:hint="eastAsia"/>
          <w:color w:val="000000" w:themeColor="text1"/>
          <w14:textFill>
            <w14:solidFill>
              <w14:schemeClr w14:val="tx1"/>
            </w14:solidFill>
          </w14:textFill>
        </w:rPr>
        <w:t>坚持历史文化名村及传统村落的整体保护，保持传统格局、历史风貌和空间尺度，不得破坏历史文化名村及传统村落的历史肌理和传统街巷；整体保护相互依存的自然环境、历史景观与历史景观通廊；保护和展示主要历史景观界面。</w:t>
      </w:r>
    </w:p>
    <w:bookmarkEnd w:id="2038"/>
    <w:p w14:paraId="2DC3D0DC">
      <w:pPr>
        <w:ind w:firstLine="531" w:firstLineChars="177"/>
        <w:jc w:val="both"/>
        <w:rPr>
          <w:color w:val="000000" w:themeColor="text1"/>
          <w:u w:val="single"/>
          <w14:textFill>
            <w14:solidFill>
              <w14:schemeClr w14:val="tx1"/>
            </w14:solidFill>
          </w14:textFill>
        </w:rPr>
      </w:pPr>
      <w:r>
        <w:rPr>
          <w:rFonts w:hint="eastAsia" w:ascii="楷体_GB2312" w:eastAsia="楷体_GB2312"/>
          <w:color w:val="000000" w:themeColor="text1"/>
          <w14:textFill>
            <w14:solidFill>
              <w14:schemeClr w14:val="tx1"/>
            </w14:solidFill>
          </w14:textFill>
        </w:rPr>
        <w:t>文物保护单位及一般不可移动文物。</w:t>
      </w:r>
      <w:r>
        <w:rPr>
          <w:rFonts w:hint="eastAsia"/>
          <w:color w:val="000000" w:themeColor="text1"/>
          <w14:textFill>
            <w14:solidFill>
              <w14:schemeClr w14:val="tx1"/>
            </w14:solidFill>
          </w14:textFill>
        </w:rPr>
        <w:t>文物保护单位的保护利用必须遵守不改变文物原状的原则；地方自然资源部门应将历年已公布的文物保护单位保护范围和建设控制地带或保护规划纳入国土空间规划进行管理。</w:t>
      </w:r>
      <w:r>
        <w:rPr>
          <w:color w:val="000000" w:themeColor="text1"/>
          <w:u w:val="single"/>
          <w14:textFill>
            <w14:solidFill>
              <w14:schemeClr w14:val="tx1"/>
            </w14:solidFill>
          </w14:textFill>
        </w:rPr>
        <w:t>未划定公布保护范围的文物保护单位，执行临时保护范围，古墓葬、古建筑、近现代重要史迹及代表性建筑、其他类型文物保护单位保护范围界线从文物本体边界外扩</w:t>
      </w:r>
      <w:r>
        <w:rPr>
          <w:rFonts w:ascii="Times New Roman" w:hAnsi="Times New Roman" w:cs="Times New Roman"/>
          <w:color w:val="000000" w:themeColor="text1"/>
          <w:u w:val="single"/>
          <w14:textFill>
            <w14:solidFill>
              <w14:schemeClr w14:val="tx1"/>
            </w14:solidFill>
          </w14:textFill>
        </w:rPr>
        <w:t>5</w:t>
      </w:r>
      <w:r>
        <w:rPr>
          <w:color w:val="000000" w:themeColor="text1"/>
          <w:u w:val="single"/>
          <w14:textFill>
            <w14:solidFill>
              <w14:schemeClr w14:val="tx1"/>
            </w14:solidFill>
          </w14:textFill>
        </w:rPr>
        <w:t>米</w:t>
      </w:r>
      <w:r>
        <w:rPr>
          <w:rFonts w:hint="eastAsia"/>
          <w:color w:val="000000" w:themeColor="text1"/>
          <w:u w:val="single"/>
          <w14:textFill>
            <w14:solidFill>
              <w14:schemeClr w14:val="tx1"/>
            </w14:solidFill>
          </w14:textFill>
        </w:rPr>
        <w:t>；</w:t>
      </w:r>
      <w:r>
        <w:rPr>
          <w:color w:val="000000" w:themeColor="text1"/>
          <w:u w:val="single"/>
          <w14:textFill>
            <w14:solidFill>
              <w14:schemeClr w14:val="tx1"/>
            </w14:solidFill>
          </w14:textFill>
        </w:rPr>
        <w:t>古遗址、石窟寺及石刻保护范围从最外侧有遗迹现象点以外外扩</w:t>
      </w:r>
      <w:r>
        <w:rPr>
          <w:rFonts w:ascii="Times New Roman" w:hAnsi="Times New Roman" w:cs="Times New Roman"/>
          <w:color w:val="000000" w:themeColor="text1"/>
          <w:u w:val="single"/>
          <w14:textFill>
            <w14:solidFill>
              <w14:schemeClr w14:val="tx1"/>
            </w14:solidFill>
          </w14:textFill>
        </w:rPr>
        <w:t>30</w:t>
      </w:r>
      <w:r>
        <w:rPr>
          <w:color w:val="000000" w:themeColor="text1"/>
          <w:u w:val="single"/>
          <w14:textFill>
            <w14:solidFill>
              <w14:schemeClr w14:val="tx1"/>
            </w14:solidFill>
          </w14:textFill>
        </w:rPr>
        <w:t>米。</w:t>
      </w:r>
    </w:p>
    <w:p w14:paraId="35814E07">
      <w:pPr>
        <w:ind w:firstLine="531" w:firstLineChars="177"/>
        <w:jc w:val="both"/>
        <w:rPr>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保护历史建筑。</w:t>
      </w:r>
      <w:r>
        <w:rPr>
          <w:rFonts w:hint="eastAsia"/>
          <w:color w:val="000000" w:themeColor="text1"/>
          <w14:textFill>
            <w14:solidFill>
              <w14:schemeClr w14:val="tx1"/>
            </w14:solidFill>
          </w14:textFill>
        </w:rPr>
        <w:t>历史建筑应实施原址保护。因不可抗力导致严重损毁灭失，或因重大公共基础设施建设，对历史建筑无法实施原址保护、必须迁移异地保护或者拆除的，应进行论证，制定历史建筑保护方案，依法办理相关手续。历史建筑的外部风貌、特色结构、建筑的价值构件、建筑色彩、建筑高度和历史环境要素不得改变。可对历史建筑进行结构加固和内部使用空间改造，以满足建筑保护和合理利用的需求。</w:t>
      </w:r>
    </w:p>
    <w:p w14:paraId="3AFD54D7">
      <w:pPr>
        <w:ind w:firstLine="531" w:firstLineChars="177"/>
        <w:jc w:val="both"/>
        <w:rPr>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保护红色文化遗产。</w:t>
      </w:r>
      <w:r>
        <w:rPr>
          <w:rFonts w:hint="eastAsia"/>
          <w:color w:val="000000" w:themeColor="text1"/>
          <w14:textFill>
            <w14:solidFill>
              <w14:schemeClr w14:val="tx1"/>
            </w14:solidFill>
          </w14:textFill>
        </w:rPr>
        <w:t>注重对仁化红色革命遗址整体保护，红色文化遗产的相关数据根据实际情况进行动态调整。发扬仁化红色资源优势，发掘史料价值、提炼红色基因、讲好红色故事。通过完善红色革命遗址基础设施建设及周边环境整治，举办红色展览、赛事活动，推进红军长征及相关红色遗址数字可视化建设、综合数字化平台建设等举措，打造红色教育高地。</w:t>
      </w:r>
    </w:p>
    <w:p w14:paraId="2C1FCAB1">
      <w:pPr>
        <w:ind w:firstLine="531" w:firstLineChars="177"/>
        <w:jc w:val="both"/>
        <w:rPr>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保护古驿道。</w:t>
      </w:r>
      <w:r>
        <w:rPr>
          <w:rFonts w:hint="eastAsia"/>
          <w:color w:val="000000" w:themeColor="text1"/>
          <w14:textFill>
            <w14:solidFill>
              <w14:schemeClr w14:val="tx1"/>
            </w14:solidFill>
          </w14:textFill>
        </w:rPr>
        <w:t>加强对</w:t>
      </w:r>
      <w:bookmarkStart w:id="2039" w:name="_Hlk79264408"/>
      <w:r>
        <w:rPr>
          <w:rFonts w:hint="eastAsia"/>
          <w:color w:val="000000" w:themeColor="text1"/>
          <w14:textFill>
            <w14:solidFill>
              <w14:schemeClr w14:val="tx1"/>
            </w14:solidFill>
          </w14:textFill>
        </w:rPr>
        <w:t>湘粤古道（周田—城口段）、仁乐古道、粤北秦汉古驿道文化线路环丹霞山古驿道路段</w:t>
      </w:r>
      <w:bookmarkEnd w:id="2039"/>
      <w:r>
        <w:rPr>
          <w:rFonts w:ascii="Times New Roman" w:hAnsi="Times New Roman" w:cs="Times New Roman"/>
          <w:color w:val="000000" w:themeColor="text1"/>
          <w14:textFill>
            <w14:solidFill>
              <w14:schemeClr w14:val="tx1"/>
            </w14:solidFill>
          </w14:textFill>
        </w:rPr>
        <w:t>3</w:t>
      </w:r>
      <w:r>
        <w:rPr>
          <w:rFonts w:hint="eastAsia"/>
          <w:color w:val="000000" w:themeColor="text1"/>
          <w14:textFill>
            <w14:solidFill>
              <w14:schemeClr w14:val="tx1"/>
            </w14:solidFill>
          </w14:textFill>
        </w:rPr>
        <w:t>条古驿道的</w:t>
      </w:r>
      <w:bookmarkStart w:id="2040" w:name="_Hlk79264478"/>
      <w:r>
        <w:rPr>
          <w:rFonts w:hint="eastAsia"/>
          <w:color w:val="000000" w:themeColor="text1"/>
          <w14:textFill>
            <w14:solidFill>
              <w14:schemeClr w14:val="tx1"/>
            </w14:solidFill>
          </w14:textFill>
        </w:rPr>
        <w:t>保护、修复和利用工作。</w:t>
      </w:r>
    </w:p>
    <w:bookmarkEnd w:id="2040"/>
    <w:p w14:paraId="55A09FC9">
      <w:pPr>
        <w:ind w:firstLine="531" w:firstLineChars="177"/>
        <w:jc w:val="both"/>
        <w:rPr>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保护古树名木。</w:t>
      </w:r>
      <w:bookmarkStart w:id="2041" w:name="_Hlk79264822"/>
      <w:bookmarkStart w:id="2042" w:name="_Hlk79319320"/>
      <w:r>
        <w:rPr>
          <w:rFonts w:hint="eastAsia"/>
          <w:color w:val="000000" w:themeColor="text1"/>
          <w14:textFill>
            <w14:solidFill>
              <w14:schemeClr w14:val="tx1"/>
            </w14:solidFill>
          </w14:textFill>
        </w:rPr>
        <w:t>强化古树群保护，推进古树公园建设，严格保护古树名木及其自然生境。在城乡建设和城市更新中，最大限度避让古树名木、大树，积极采用有效管护措施，促进原有绿化树种与城市基础设施和谐共存。</w:t>
      </w:r>
    </w:p>
    <w:bookmarkEnd w:id="2041"/>
    <w:p w14:paraId="0DBD5932">
      <w:pPr>
        <w:widowControl/>
        <w:ind w:firstLine="600"/>
      </w:pPr>
      <w:r>
        <w:rPr>
          <w:rFonts w:hint="eastAsia" w:ascii="楷体_GB2312" w:eastAsia="楷体_GB2312"/>
          <w:color w:val="000000" w:themeColor="text1"/>
          <w14:textFill>
            <w14:solidFill>
              <w14:schemeClr w14:val="tx1"/>
            </w14:solidFill>
          </w14:textFill>
        </w:rPr>
        <w:t>保护传承非物质文化遗产</w:t>
      </w:r>
      <w:bookmarkEnd w:id="2042"/>
      <w:r>
        <w:rPr>
          <w:rFonts w:hint="eastAsia" w:ascii="楷体_GB2312" w:eastAsia="楷体_GB2312"/>
          <w:color w:val="000000" w:themeColor="text1"/>
          <w14:textFill>
            <w14:solidFill>
              <w14:schemeClr w14:val="tx1"/>
            </w14:solidFill>
          </w14:textFill>
        </w:rPr>
        <w:t>。</w:t>
      </w:r>
      <w:r>
        <w:rPr>
          <w:rFonts w:hint="eastAsia"/>
          <w:color w:val="000000" w:themeColor="text1"/>
          <w14:textFill>
            <w14:solidFill>
              <w14:schemeClr w14:val="tx1"/>
            </w14:solidFill>
          </w14:textFill>
        </w:rPr>
        <w:t>重点保护仁化现有非遗项目，加强非物质文化遗产资源的调查与研究，建立非物质文化遗产传承机制。</w:t>
      </w:r>
      <w:r>
        <w:rPr>
          <w:rFonts w:ascii="仿宋_GB2312" w:cs="仿宋_GB2312"/>
          <w:color w:val="000000"/>
          <w:kern w:val="0"/>
          <w:szCs w:val="30"/>
          <w:lang w:bidi="ar"/>
        </w:rPr>
        <w:t>严格按照相关法律法规要求保护各类非物质文化遗产，做好</w:t>
      </w:r>
      <w:r>
        <w:rPr>
          <w:rFonts w:hint="eastAsia" w:ascii="仿宋_GB2312" w:cs="仿宋_GB2312"/>
          <w:color w:val="000000"/>
          <w:kern w:val="0"/>
          <w:szCs w:val="30"/>
          <w:lang w:bidi="ar"/>
        </w:rPr>
        <w:t>宣传利用、逐级申报、建资料库、制定保护规划、确定责任主体、资助代表性传承人等工作。创新保护利用方式，保护非遗文化空间，完善非遗文化设施，将传承保护与相关非遗项目保护、文化展示相结合。</w:t>
      </w:r>
    </w:p>
    <w:p w14:paraId="7AB00B43">
      <w:pPr>
        <w:pStyle w:val="6"/>
        <w:spacing w:before="163" w:after="163"/>
        <w:rPr>
          <w:b/>
        </w:rPr>
      </w:pPr>
      <w:bookmarkStart w:id="2043" w:name="_Toc18814"/>
      <w:bookmarkStart w:id="2044" w:name="_Toc141887927"/>
      <w:r>
        <w:rPr>
          <w:rFonts w:hint="eastAsia"/>
        </w:rPr>
        <w:t>合理利用历史文化资源</w:t>
      </w:r>
      <w:bookmarkEnd w:id="2043"/>
      <w:bookmarkEnd w:id="2044"/>
    </w:p>
    <w:p w14:paraId="58FE3457">
      <w:pPr>
        <w:ind w:firstLine="531" w:firstLineChars="177"/>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构建“五圈两带”历史文化资源活化利用格局。</w:t>
      </w:r>
    </w:p>
    <w:p w14:paraId="4FB77A12">
      <w:pPr>
        <w:ind w:firstLine="531" w:firstLineChars="177"/>
        <w:jc w:val="both"/>
        <w:rPr>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“五圈”</w:t>
      </w:r>
      <w:r>
        <w:rPr>
          <w:rFonts w:hint="eastAsia"/>
          <w:color w:val="000000" w:themeColor="text1"/>
          <w14:textFill>
            <w14:solidFill>
              <w14:schemeClr w14:val="tx1"/>
            </w14:solidFill>
          </w14:textFill>
        </w:rPr>
        <w:t>指依托丹霞山及周边自然文化遗产、革命历史遗迹、传统古村落等文化资源形成丹霞山综合文化圈；依托董塘镇革命历史遗址、工矿文化、古塔遗迹以及石塘镇古村文化、红色文化等形成董塘石塘红色</w:t>
      </w:r>
      <w:r>
        <w:rPr>
          <w:rFonts w:hint="eastAsia" w:ascii="仿宋_GB2312"/>
          <w:color w:val="000000" w:themeColor="text1"/>
          <w14:textFill>
            <w14:solidFill>
              <w14:schemeClr w14:val="tx1"/>
            </w14:solidFill>
          </w14:textFill>
        </w:rPr>
        <w:t>-</w:t>
      </w:r>
      <w:r>
        <w:rPr>
          <w:color w:val="000000" w:themeColor="text1"/>
          <w14:textFill>
            <w14:solidFill>
              <w14:schemeClr w14:val="tx1"/>
            </w14:solidFill>
          </w14:textFill>
        </w:rPr>
        <w:t>工矿</w:t>
      </w:r>
      <w:r>
        <w:rPr>
          <w:rFonts w:hint="eastAsia" w:ascii="仿宋_GB2312"/>
          <w:color w:val="000000" w:themeColor="text1"/>
          <w14:textFill>
            <w14:solidFill>
              <w14:schemeClr w14:val="tx1"/>
            </w14:solidFill>
          </w14:textFill>
        </w:rPr>
        <w:t>-</w:t>
      </w:r>
      <w:r>
        <w:rPr>
          <w:color w:val="000000" w:themeColor="text1"/>
          <w14:textFill>
            <w14:solidFill>
              <w14:schemeClr w14:val="tx1"/>
            </w14:solidFill>
          </w14:textFill>
        </w:rPr>
        <w:t>古村文化圈；依托红山镇高坪水库及周边白毛茶园为主载体的古茶文化、古桥文化及红色文化形成以古茶文化为特色的红山古茶文化圈；依托城口镇革命历史遗址、粤北长征纪念馆等红色文化资源，形成城口红色文化圈；依托长江镇广州会馆、江西会馆、湖南会馆等古代商贸建筑遗存的古商贸文化及竹产业，形成长</w:t>
      </w:r>
      <w:r>
        <w:rPr>
          <w:rFonts w:hint="eastAsia"/>
          <w:color w:val="000000" w:themeColor="text1"/>
          <w14:textFill>
            <w14:solidFill>
              <w14:schemeClr w14:val="tx1"/>
            </w14:solidFill>
          </w14:textFill>
        </w:rPr>
        <w:t>江古商贸文化圈。</w:t>
      </w:r>
    </w:p>
    <w:p w14:paraId="745FF7AA">
      <w:pPr>
        <w:ind w:firstLine="531" w:firstLineChars="177"/>
        <w:jc w:val="both"/>
        <w:rPr>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“两带”</w:t>
      </w:r>
      <w:r>
        <w:rPr>
          <w:rFonts w:hint="eastAsia"/>
          <w:color w:val="000000" w:themeColor="text1"/>
          <w14:textFill>
            <w14:solidFill>
              <w14:schemeClr w14:val="tx1"/>
            </w14:solidFill>
          </w14:textFill>
        </w:rPr>
        <w:t>指依托</w:t>
      </w:r>
      <w:r>
        <w:rPr>
          <w:rFonts w:ascii="Times New Roman" w:hAnsi="Times New Roman" w:cs="Times New Roman"/>
          <w:color w:val="000000" w:themeColor="text1"/>
          <w14:textFill>
            <w14:solidFill>
              <w14:schemeClr w14:val="tx1"/>
            </w14:solidFill>
          </w14:textFill>
        </w:rPr>
        <w:t>S517</w:t>
      </w:r>
      <w:r>
        <w:rPr>
          <w:color w:val="000000" w:themeColor="text1"/>
          <w14:textFill>
            <w14:solidFill>
              <w14:schemeClr w14:val="tx1"/>
            </w14:solidFill>
          </w14:textFill>
        </w:rPr>
        <w:t>串联红山镇、城口镇、长江镇历史文化资源，形成以红色文化资源为主题，其他文化资源为衬托的红色文旅发展带；依托</w:t>
      </w:r>
      <w:r>
        <w:rPr>
          <w:rFonts w:ascii="Times New Roman" w:hAnsi="Times New Roman" w:cs="Times New Roman"/>
          <w:color w:val="000000" w:themeColor="text1"/>
          <w14:textFill>
            <w14:solidFill>
              <w14:schemeClr w14:val="tx1"/>
            </w14:solidFill>
          </w14:textFill>
        </w:rPr>
        <w:t>G535</w:t>
      </w:r>
      <w:r>
        <w:rPr>
          <w:color w:val="000000" w:themeColor="text1"/>
          <w14:textFill>
            <w14:solidFill>
              <w14:schemeClr w14:val="tx1"/>
            </w14:solidFill>
          </w14:textFill>
        </w:rPr>
        <w:t>串联石塘镇、董塘镇、丹霞山及周边历史文化资源，形成以人文历史遗迹为主题，其他文化资源为衬托的人文古村保护发展带。</w:t>
      </w:r>
    </w:p>
    <w:p w14:paraId="76232FA3">
      <w:pPr>
        <w:widowControl/>
        <w:ind w:firstLine="600"/>
      </w:pPr>
      <w:r>
        <w:rPr>
          <w:rFonts w:ascii="仿宋_GB2312" w:cs="仿宋_GB2312"/>
          <w:color w:val="000000"/>
          <w:kern w:val="0"/>
          <w:szCs w:val="30"/>
          <w:lang w:bidi="ar"/>
        </w:rPr>
        <w:t>以</w:t>
      </w:r>
      <w:r>
        <w:rPr>
          <w:rFonts w:hint="eastAsia" w:ascii="仿宋_GB2312" w:cs="仿宋_GB2312"/>
          <w:color w:val="000000"/>
          <w:kern w:val="0"/>
          <w:szCs w:val="30"/>
          <w:lang w:bidi="ar"/>
        </w:rPr>
        <w:t>“文化</w:t>
      </w:r>
      <w:r>
        <w:rPr>
          <w:rFonts w:hint="eastAsia" w:ascii="仿宋_GB2312" w:hAnsi="Times New Roman" w:cs="Times New Roman"/>
          <w:color w:val="000000"/>
          <w:kern w:val="0"/>
          <w:szCs w:val="30"/>
          <w:lang w:bidi="ar"/>
        </w:rPr>
        <w:t>+</w:t>
      </w:r>
      <w:r>
        <w:rPr>
          <w:rFonts w:hint="eastAsia" w:ascii="仿宋_GB2312" w:cs="仿宋_GB2312"/>
          <w:color w:val="000000"/>
          <w:kern w:val="0"/>
          <w:szCs w:val="30"/>
          <w:lang w:bidi="ar"/>
        </w:rPr>
        <w:t>”模式推动文化空间与创新、旅游、商业等多类空间的融合。</w:t>
      </w:r>
      <w:r>
        <w:rPr>
          <w:rFonts w:ascii="仿宋_GB2312" w:cs="仿宋_GB2312"/>
          <w:color w:val="000000"/>
          <w:kern w:val="0"/>
          <w:szCs w:val="30"/>
          <w:lang w:bidi="ar"/>
        </w:rPr>
        <w:t>通过对</w:t>
      </w:r>
      <w:r>
        <w:rPr>
          <w:rFonts w:hint="eastAsia" w:ascii="仿宋_GB2312" w:cs="仿宋_GB2312"/>
          <w:color w:val="000000"/>
          <w:kern w:val="0"/>
          <w:szCs w:val="30"/>
          <w:lang w:bidi="ar"/>
        </w:rPr>
        <w:t>历史文化</w:t>
      </w:r>
      <w:r>
        <w:rPr>
          <w:rFonts w:ascii="仿宋_GB2312" w:cs="仿宋_GB2312"/>
          <w:color w:val="000000"/>
          <w:kern w:val="0"/>
          <w:szCs w:val="30"/>
          <w:lang w:bidi="ar"/>
        </w:rPr>
        <w:t>资源整合、梳理、分类，依托</w:t>
      </w:r>
      <w:r>
        <w:rPr>
          <w:rFonts w:hint="eastAsia" w:ascii="仿宋_GB2312" w:cs="仿宋_GB2312"/>
          <w:color w:val="000000"/>
          <w:kern w:val="0"/>
          <w:szCs w:val="30"/>
          <w:lang w:bidi="ar"/>
        </w:rPr>
        <w:t>碧道、绿道、古驿道、公路等游径</w:t>
      </w:r>
      <w:r>
        <w:rPr>
          <w:rFonts w:ascii="仿宋_GB2312" w:cs="仿宋_GB2312"/>
          <w:color w:val="000000"/>
          <w:kern w:val="0"/>
          <w:szCs w:val="30"/>
          <w:lang w:bidi="ar"/>
        </w:rPr>
        <w:t>串联，展现</w:t>
      </w:r>
      <w:r>
        <w:rPr>
          <w:rFonts w:hint="eastAsia" w:ascii="仿宋_GB2312" w:cs="仿宋_GB2312"/>
          <w:color w:val="000000"/>
          <w:kern w:val="0"/>
          <w:szCs w:val="30"/>
          <w:lang w:bidi="ar"/>
        </w:rPr>
        <w:t>仁化文化特色，谋划打造高品质的生活、人文、生态游憩空间。弘扬仁化</w:t>
      </w:r>
      <w:r>
        <w:rPr>
          <w:rFonts w:hint="eastAsia"/>
          <w:szCs w:val="28"/>
        </w:rPr>
        <w:t>客家文化、红色文化、禅宗文化、古塔文化、古村文化，培育文化精品景区、文创旅游基地等相关特色文化产业发展，实现文化发展与旅游经济的共赢。</w:t>
      </w:r>
    </w:p>
    <w:p w14:paraId="3B9DA5E5">
      <w:pPr>
        <w:pStyle w:val="6"/>
        <w:spacing w:before="163" w:after="163"/>
        <w:rPr>
          <w:b/>
        </w:rPr>
      </w:pPr>
      <w:bookmarkStart w:id="2045" w:name="_Toc143099421"/>
      <w:bookmarkEnd w:id="2045"/>
      <w:bookmarkStart w:id="2046" w:name="_Toc142858878"/>
      <w:bookmarkEnd w:id="2046"/>
      <w:bookmarkStart w:id="2047" w:name="_Toc142380949"/>
      <w:bookmarkEnd w:id="2047"/>
      <w:bookmarkStart w:id="2048" w:name="_Toc143355755"/>
      <w:bookmarkEnd w:id="2048"/>
      <w:bookmarkStart w:id="2049" w:name="_Toc143356625"/>
      <w:bookmarkEnd w:id="2049"/>
      <w:bookmarkStart w:id="2050" w:name="_Toc143260828"/>
      <w:bookmarkEnd w:id="2050"/>
      <w:bookmarkStart w:id="2051" w:name="_Toc143357219"/>
      <w:bookmarkEnd w:id="2051"/>
      <w:bookmarkStart w:id="2052" w:name="_Toc143353069"/>
      <w:bookmarkEnd w:id="2052"/>
      <w:bookmarkStart w:id="2053" w:name="_Toc143356335"/>
      <w:bookmarkEnd w:id="2053"/>
      <w:bookmarkStart w:id="2054" w:name="_Toc143355175"/>
      <w:bookmarkEnd w:id="2054"/>
      <w:bookmarkStart w:id="2055" w:name="_Toc143358381"/>
      <w:bookmarkEnd w:id="2055"/>
      <w:bookmarkStart w:id="2056" w:name="_Toc143352773"/>
      <w:bookmarkEnd w:id="2056"/>
      <w:bookmarkStart w:id="2057" w:name="_Toc142400693"/>
      <w:bookmarkEnd w:id="2057"/>
      <w:bookmarkStart w:id="2058" w:name="_Toc143354607"/>
      <w:bookmarkEnd w:id="2058"/>
      <w:bookmarkStart w:id="2059" w:name="_Toc142403158"/>
      <w:bookmarkEnd w:id="2059"/>
      <w:bookmarkStart w:id="2060" w:name="_Toc143354033"/>
      <w:bookmarkEnd w:id="2060"/>
      <w:bookmarkStart w:id="2061" w:name="_Toc143357509"/>
      <w:bookmarkEnd w:id="2061"/>
      <w:bookmarkStart w:id="2062" w:name="_Toc143356929"/>
      <w:bookmarkEnd w:id="2062"/>
      <w:bookmarkStart w:id="2063" w:name="_Toc142390449"/>
      <w:bookmarkEnd w:id="2063"/>
      <w:bookmarkStart w:id="2064" w:name="_Toc143354891"/>
      <w:bookmarkEnd w:id="2064"/>
      <w:bookmarkStart w:id="2065" w:name="_Toc143357800"/>
      <w:bookmarkEnd w:id="2065"/>
      <w:bookmarkStart w:id="2066" w:name="_Toc142381214"/>
      <w:bookmarkEnd w:id="2066"/>
      <w:bookmarkStart w:id="2067" w:name="_Toc142466955"/>
      <w:bookmarkEnd w:id="2067"/>
      <w:bookmarkStart w:id="2068" w:name="_Toc143356045"/>
      <w:bookmarkEnd w:id="2068"/>
      <w:bookmarkStart w:id="2069" w:name="_Toc142391295"/>
      <w:bookmarkEnd w:id="2069"/>
      <w:bookmarkStart w:id="2070" w:name="_Toc143099136"/>
      <w:bookmarkEnd w:id="2070"/>
      <w:bookmarkStart w:id="2071" w:name="_Toc143353747"/>
      <w:bookmarkEnd w:id="2071"/>
      <w:bookmarkStart w:id="2072" w:name="_Toc143358091"/>
      <w:bookmarkEnd w:id="2072"/>
      <w:bookmarkStart w:id="2073" w:name="_Toc142391035"/>
      <w:bookmarkEnd w:id="2073"/>
      <w:bookmarkStart w:id="2074" w:name="_Toc143354323"/>
      <w:bookmarkEnd w:id="2074"/>
      <w:bookmarkStart w:id="2075" w:name="_Toc143355465"/>
      <w:bookmarkEnd w:id="2075"/>
      <w:bookmarkStart w:id="2076" w:name="_Toc143358672"/>
      <w:bookmarkEnd w:id="2076"/>
      <w:bookmarkStart w:id="2077" w:name="_Toc142402907"/>
      <w:bookmarkEnd w:id="2077"/>
      <w:bookmarkStart w:id="2078" w:name="_Toc142495636"/>
      <w:bookmarkEnd w:id="2078"/>
      <w:bookmarkStart w:id="2079" w:name="_Toc141887928"/>
      <w:bookmarkStart w:id="2080" w:name="_Toc31857"/>
      <w:r>
        <w:t>划定历史文化保护线</w:t>
      </w:r>
      <w:bookmarkEnd w:id="2079"/>
      <w:bookmarkEnd w:id="2080"/>
    </w:p>
    <w:p w14:paraId="02C6A50A">
      <w:pPr>
        <w:ind w:firstLine="531" w:firstLineChars="177"/>
        <w:jc w:val="both"/>
      </w:pPr>
      <w:r>
        <w:rPr>
          <w:rFonts w:hint="eastAsia"/>
          <w:color w:val="000000" w:themeColor="text1"/>
          <w14:textFill>
            <w14:solidFill>
              <w14:schemeClr w14:val="tx1"/>
            </w14:solidFill>
          </w14:textFill>
        </w:rPr>
        <w:t>全县划定的历史文化保护线</w:t>
      </w:r>
      <w:r>
        <w:rPr>
          <w:color w:val="000000" w:themeColor="text1"/>
          <w14:textFill>
            <w14:solidFill>
              <w14:schemeClr w14:val="tx1"/>
            </w14:solidFill>
          </w14:textFill>
        </w:rPr>
        <w:t>主要包括</w:t>
      </w:r>
      <w:r>
        <w:rPr>
          <w:rFonts w:hint="eastAsia"/>
          <w:color w:val="000000" w:themeColor="text1"/>
          <w14:textFill>
            <w14:solidFill>
              <w14:schemeClr w14:val="tx1"/>
            </w14:solidFill>
          </w14:textFill>
        </w:rPr>
        <w:t>各级</w:t>
      </w:r>
      <w:r>
        <w:rPr>
          <w:color w:val="000000" w:themeColor="text1"/>
          <w14:textFill>
            <w14:solidFill>
              <w14:schemeClr w14:val="tx1"/>
            </w14:solidFill>
          </w14:textFill>
        </w:rPr>
        <w:t>文物保护单位的保护范围和建设控制地带</w:t>
      </w:r>
      <w:r>
        <w:rPr>
          <w:rFonts w:hint="eastAsia"/>
          <w:color w:val="000000" w:themeColor="text1"/>
          <w14:textFill>
            <w14:solidFill>
              <w14:schemeClr w14:val="tx1"/>
            </w14:solidFill>
          </w14:textFill>
        </w:rPr>
        <w:t>。</w:t>
      </w:r>
      <w:r>
        <w:br w:type="page"/>
      </w:r>
    </w:p>
    <w:p w14:paraId="11A0637F">
      <w:pPr>
        <w:pStyle w:val="4"/>
        <w:spacing w:before="326" w:after="326"/>
        <w:ind w:firstLine="726"/>
        <w:rPr>
          <w:b w:val="0"/>
          <w:bCs w:val="0"/>
          <w:color w:val="000000" w:themeColor="text1"/>
          <w14:textFill>
            <w14:solidFill>
              <w14:schemeClr w14:val="tx1"/>
            </w14:solidFill>
          </w14:textFill>
        </w:rPr>
      </w:pPr>
      <w:bookmarkStart w:id="2081" w:name="_Toc167271415"/>
      <w:r>
        <w:rPr>
          <w:rFonts w:hint="eastAsia"/>
          <w:b w:val="0"/>
          <w:bCs w:val="0"/>
          <w:color w:val="000000" w:themeColor="text1"/>
          <w14:textFill>
            <w14:solidFill>
              <w14:schemeClr w14:val="tx1"/>
            </w14:solidFill>
          </w14:textFill>
        </w:rPr>
        <w:t>构建便捷畅联的综合交通网络</w:t>
      </w:r>
      <w:bookmarkEnd w:id="2081"/>
    </w:p>
    <w:p w14:paraId="1448CC42">
      <w:pPr>
        <w:pStyle w:val="5"/>
        <w:numPr>
          <w:ilvl w:val="1"/>
          <w:numId w:val="11"/>
        </w:numPr>
        <w:spacing w:before="163" w:after="163"/>
        <w:rPr>
          <w:b/>
        </w:rPr>
      </w:pPr>
      <w:bookmarkStart w:id="2082" w:name="_Toc167271416"/>
      <w:r>
        <w:rPr>
          <w:rFonts w:hint="eastAsia"/>
        </w:rPr>
        <w:t>综合交通网络</w:t>
      </w:r>
      <w:bookmarkEnd w:id="2082"/>
    </w:p>
    <w:p w14:paraId="4218B44F">
      <w:pPr>
        <w:pStyle w:val="6"/>
        <w:spacing w:before="163" w:after="163"/>
      </w:pPr>
      <w:r>
        <w:rPr>
          <w:rFonts w:hint="eastAsia"/>
        </w:rPr>
        <w:t>综合</w:t>
      </w:r>
      <w:r>
        <w:t>交通发展目标</w:t>
      </w:r>
    </w:p>
    <w:p w14:paraId="10D55C59">
      <w:pPr>
        <w:widowControl/>
        <w:numPr>
          <w:ilvl w:val="255"/>
          <w:numId w:val="0"/>
        </w:numPr>
        <w:ind w:firstLine="600"/>
        <w:rPr>
          <w:color w:val="000000" w:themeColor="text1"/>
          <w:szCs w:val="24"/>
          <w14:textFill>
            <w14:solidFill>
              <w14:schemeClr w14:val="tx1"/>
            </w14:solidFill>
          </w14:textFill>
        </w:rPr>
      </w:pPr>
      <w:r>
        <w:rPr>
          <w:color w:val="000000" w:themeColor="text1"/>
          <w:szCs w:val="24"/>
          <w14:textFill>
            <w14:solidFill>
              <w14:schemeClr w14:val="tx1"/>
            </w14:solidFill>
          </w14:textFill>
        </w:rPr>
        <w:t>立足仁化县</w:t>
      </w:r>
      <w:r>
        <w:rPr>
          <w:rFonts w:hint="eastAsia"/>
          <w:color w:val="000000" w:themeColor="text1"/>
          <w:szCs w:val="24"/>
          <w14:textFill>
            <w14:solidFill>
              <w14:schemeClr w14:val="tx1"/>
            </w14:solidFill>
          </w14:textFill>
        </w:rPr>
        <w:t>交通发展现状，依托雄乐高速、赣韶铁路扩能改造及赣粤运河等重点项目建设，</w:t>
      </w:r>
      <w:r>
        <w:rPr>
          <w:color w:val="000000" w:themeColor="text1"/>
          <w:szCs w:val="24"/>
          <w14:textFill>
            <w14:solidFill>
              <w14:schemeClr w14:val="tx1"/>
            </w14:solidFill>
          </w14:textFill>
        </w:rPr>
        <w:t>打造为以高速、国省道干线、铁路、内河航道运输等多种运输方式组成的湘赣粤通道重要</w:t>
      </w:r>
      <w:r>
        <w:rPr>
          <w:rFonts w:hint="eastAsia"/>
          <w:color w:val="000000" w:themeColor="text1"/>
          <w:szCs w:val="24"/>
          <w14:textFill>
            <w14:solidFill>
              <w14:schemeClr w14:val="tx1"/>
            </w14:solidFill>
          </w14:textFill>
        </w:rPr>
        <w:t>支</w:t>
      </w:r>
      <w:r>
        <w:rPr>
          <w:color w:val="000000" w:themeColor="text1"/>
          <w:szCs w:val="24"/>
          <w14:textFill>
            <w14:solidFill>
              <w14:schemeClr w14:val="tx1"/>
            </w14:solidFill>
          </w14:textFill>
        </w:rPr>
        <w:t>点城市。</w:t>
      </w:r>
    </w:p>
    <w:p w14:paraId="393CB458">
      <w:pPr>
        <w:pStyle w:val="6"/>
        <w:spacing w:before="163" w:after="163"/>
        <w:rPr>
          <w:b/>
        </w:rPr>
      </w:pPr>
      <w:r>
        <w:rPr>
          <w:rFonts w:hint="eastAsia"/>
        </w:rPr>
        <w:t>铁路规划</w:t>
      </w:r>
    </w:p>
    <w:p w14:paraId="29DB2877">
      <w:pPr>
        <w:ind w:firstLine="60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预留赣韶铁路扩能改造建设空间，保障项目土地综合开发的用地规模，并根据综合开发实施时序，衔接最新专项规划。</w:t>
      </w:r>
    </w:p>
    <w:p w14:paraId="776AC904">
      <w:pPr>
        <w:pStyle w:val="6"/>
        <w:spacing w:before="163" w:after="163"/>
      </w:pPr>
      <w:r>
        <w:t>港</w:t>
      </w:r>
      <w:r>
        <w:rPr>
          <w:rFonts w:hint="eastAsia"/>
        </w:rPr>
        <w:t>口</w:t>
      </w:r>
      <w:r>
        <w:t>航</w:t>
      </w:r>
      <w:r>
        <w:rPr>
          <w:rFonts w:hint="eastAsia"/>
        </w:rPr>
        <w:t>道规划</w:t>
      </w:r>
    </w:p>
    <w:p w14:paraId="4ADE14AA">
      <w:pPr>
        <w:ind w:firstLine="600"/>
        <w:jc w:val="both"/>
      </w:pPr>
      <w:r>
        <w:rPr>
          <w:rFonts w:hint="eastAsia"/>
        </w:rPr>
        <w:t>支持</w:t>
      </w:r>
      <w:r>
        <w:t>赣粤运河</w:t>
      </w:r>
      <w:r>
        <w:rPr>
          <w:rFonts w:hint="eastAsia"/>
        </w:rPr>
        <w:t>仁化段</w:t>
      </w:r>
      <w:r>
        <w:t>建设，</w:t>
      </w:r>
      <w:r>
        <w:rPr>
          <w:rFonts w:hint="eastAsia"/>
        </w:rPr>
        <w:t>做好韶关港仁化作业区建设空间的预留管控。</w:t>
      </w:r>
      <w:r>
        <w:t>结合仁化县旅游</w:t>
      </w:r>
      <w:r>
        <w:rPr>
          <w:rFonts w:hint="eastAsia"/>
        </w:rPr>
        <w:t>资源，以“生态、旅游、休闲”为特色，</w:t>
      </w:r>
      <w:r>
        <w:t>打造锦江绿色航道</w:t>
      </w:r>
      <w:r>
        <w:rPr>
          <w:rFonts w:hint="eastAsia"/>
        </w:rPr>
        <w:t>。</w:t>
      </w:r>
    </w:p>
    <w:p w14:paraId="1C5A07C7">
      <w:pPr>
        <w:pStyle w:val="6"/>
        <w:spacing w:before="163" w:after="163"/>
      </w:pPr>
      <w:r>
        <w:t>公路</w:t>
      </w:r>
      <w:r>
        <w:rPr>
          <w:rFonts w:hint="eastAsia"/>
        </w:rPr>
        <w:t>规划</w:t>
      </w:r>
    </w:p>
    <w:p w14:paraId="19D89514">
      <w:pPr>
        <w:spacing w:before="163" w:after="163"/>
        <w:ind w:firstLine="600"/>
        <w:jc w:val="both"/>
        <w:rPr>
          <w:color w:val="000000" w:themeColor="text1"/>
          <w:szCs w:val="24"/>
          <w14:textFill>
            <w14:solidFill>
              <w14:schemeClr w14:val="tx1"/>
            </w14:solidFill>
          </w14:textFill>
        </w:rPr>
      </w:pPr>
      <w:r>
        <w:rPr>
          <w:color w:val="000000" w:themeColor="text1"/>
          <w:szCs w:val="24"/>
          <w14:textFill>
            <w14:solidFill>
              <w14:schemeClr w14:val="tx1"/>
            </w14:solidFill>
          </w14:textFill>
        </w:rPr>
        <w:t>完</w:t>
      </w:r>
      <w:r>
        <w:rPr>
          <w:rFonts w:hint="eastAsia" w:ascii="仿宋_GB2312"/>
          <w:color w:val="000000" w:themeColor="text1"/>
          <w:szCs w:val="24"/>
          <w14:textFill>
            <w14:solidFill>
              <w14:schemeClr w14:val="tx1"/>
            </w14:solidFill>
          </w14:textFill>
        </w:rPr>
        <w:t>善“两横一纵”的</w:t>
      </w:r>
      <w:r>
        <w:rPr>
          <w:color w:val="000000" w:themeColor="text1"/>
          <w:szCs w:val="24"/>
          <w14:textFill>
            <w14:solidFill>
              <w14:schemeClr w14:val="tx1"/>
            </w14:solidFill>
          </w14:textFill>
        </w:rPr>
        <w:t>高速公路</w:t>
      </w:r>
      <w:r>
        <w:rPr>
          <w:rFonts w:hint="eastAsia"/>
          <w:color w:val="000000" w:themeColor="text1"/>
          <w:szCs w:val="24"/>
          <w14:textFill>
            <w14:solidFill>
              <w14:schemeClr w14:val="tx1"/>
            </w14:solidFill>
          </w14:textFill>
        </w:rPr>
        <w:t>网络。支撑雄乐高速的规划建设，完善高速路网结构，强化与周边县市的联系。</w:t>
      </w:r>
      <w:r>
        <w:rPr>
          <w:color w:val="000000" w:themeColor="text1"/>
          <w:szCs w:val="24"/>
          <w14:textFill>
            <w14:solidFill>
              <w14:schemeClr w14:val="tx1"/>
            </w14:solidFill>
          </w14:textFill>
        </w:rPr>
        <w:t>改善现有</w:t>
      </w:r>
      <w:r>
        <w:rPr>
          <w:rFonts w:hint="eastAsia" w:ascii="仿宋_GB2312"/>
          <w:color w:val="000000" w:themeColor="text1"/>
          <w:szCs w:val="24"/>
          <w14:textFill>
            <w14:solidFill>
              <w14:schemeClr w14:val="tx1"/>
            </w14:solidFill>
          </w14:textFill>
        </w:rPr>
        <w:t>“三横三纵”国省道的干线公路路网，</w:t>
      </w:r>
      <w:r>
        <w:rPr>
          <w:rFonts w:hint="eastAsia"/>
          <w:color w:val="000000" w:themeColor="text1"/>
          <w:szCs w:val="24"/>
          <w14:textFill>
            <w14:solidFill>
              <w14:schemeClr w14:val="tx1"/>
            </w14:solidFill>
          </w14:textFill>
        </w:rPr>
        <w:t>提高道路等级和服务水平。</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14:paraId="4A817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000" w:type="pct"/>
            <w:shd w:val="clear" w:color="auto" w:fill="D8D8D8" w:themeFill="background1" w:themeFillShade="D9"/>
            <w:vAlign w:val="center"/>
          </w:tcPr>
          <w:p w14:paraId="49BFBFD5">
            <w:pPr>
              <w:snapToGrid w:val="0"/>
              <w:ind w:firstLine="0" w:firstLineChars="0"/>
              <w:jc w:val="center"/>
              <w:rPr>
                <w:rFonts w:ascii="Times New Roman" w:hAnsi="Times New Roman" w:eastAsia="黑体" w:cs="Times New Roman"/>
                <w:b/>
                <w:sz w:val="24"/>
                <w:szCs w:val="24"/>
              </w:rPr>
            </w:pPr>
            <w:r>
              <w:rPr>
                <w:rFonts w:eastAsia="黑体"/>
                <w:szCs w:val="30"/>
              </w:rPr>
              <w:t>专栏</w:t>
            </w:r>
            <w:r>
              <w:rPr>
                <w:rFonts w:ascii="Times New Roman" w:hAnsi="Times New Roman" w:eastAsia="黑体" w:cs="Times New Roman"/>
                <w:szCs w:val="30"/>
              </w:rPr>
              <w:t>9</w:t>
            </w:r>
            <w:r>
              <w:rPr>
                <w:rFonts w:ascii="Times New Roman" w:hAnsi="Times New Roman" w:cs="Times New Roman"/>
                <w:szCs w:val="30"/>
              </w:rPr>
              <w:t>-</w:t>
            </w:r>
            <w:r>
              <w:rPr>
                <w:rFonts w:ascii="Times New Roman" w:hAnsi="Times New Roman" w:eastAsia="黑体" w:cs="Times New Roman"/>
                <w:szCs w:val="30"/>
              </w:rPr>
              <w:t>1</w:t>
            </w:r>
            <w:r>
              <w:rPr>
                <w:rFonts w:hint="eastAsia" w:ascii="Times New Roman" w:hAnsi="Times New Roman" w:eastAsia="黑体" w:cs="Times New Roman"/>
                <w:szCs w:val="30"/>
              </w:rPr>
              <w:t>：</w:t>
            </w:r>
            <w:r>
              <w:rPr>
                <w:rFonts w:hint="eastAsia" w:eastAsia="黑体"/>
                <w:szCs w:val="30"/>
              </w:rPr>
              <w:t>公路路网结构</w:t>
            </w:r>
          </w:p>
        </w:tc>
      </w:tr>
      <w:tr w14:paraId="685E6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6" w:hRule="atLeast"/>
          <w:jc w:val="center"/>
        </w:trPr>
        <w:tc>
          <w:tcPr>
            <w:tcW w:w="5000" w:type="pct"/>
          </w:tcPr>
          <w:p w14:paraId="60AAD520">
            <w:pPr>
              <w:snapToGrid w:val="0"/>
              <w:spacing w:line="360" w:lineRule="auto"/>
              <w:ind w:firstLine="480"/>
              <w:jc w:val="both"/>
              <w:rPr>
                <w:bCs/>
                <w:sz w:val="24"/>
                <w:szCs w:val="24"/>
              </w:rPr>
            </w:pPr>
            <w:r>
              <w:rPr>
                <w:rFonts w:hint="eastAsia" w:ascii="Times New Roman" w:hAnsi="Times New Roman" w:cs="Times New Roman"/>
                <w:bCs/>
                <w:sz w:val="24"/>
                <w:szCs w:val="24"/>
              </w:rPr>
              <w:t>高速公路“两横”</w:t>
            </w:r>
            <w:r>
              <w:rPr>
                <w:rFonts w:ascii="Times New Roman" w:hAnsi="Times New Roman" w:cs="Times New Roman"/>
                <w:bCs/>
                <w:sz w:val="24"/>
                <w:szCs w:val="24"/>
              </w:rPr>
              <w:t>：</w:t>
            </w:r>
            <w:r>
              <w:rPr>
                <w:rFonts w:hint="eastAsia" w:ascii="Times New Roman" w:hAnsi="Times New Roman" w:cs="Times New Roman"/>
                <w:bCs/>
                <w:sz w:val="24"/>
                <w:szCs w:val="24"/>
              </w:rPr>
              <w:t>规划雄乐高速、南韶高速</w:t>
            </w:r>
            <w:r>
              <w:rPr>
                <w:rFonts w:ascii="Times New Roman" w:hAnsi="Times New Roman" w:cs="Times New Roman"/>
                <w:bCs/>
                <w:sz w:val="24"/>
                <w:szCs w:val="24"/>
              </w:rPr>
              <w:t>。</w:t>
            </w:r>
          </w:p>
          <w:p w14:paraId="730E9CE4">
            <w:pPr>
              <w:snapToGrid w:val="0"/>
              <w:spacing w:line="360" w:lineRule="auto"/>
              <w:ind w:firstLine="480"/>
              <w:jc w:val="both"/>
              <w:rPr>
                <w:bCs/>
                <w:sz w:val="24"/>
                <w:szCs w:val="24"/>
              </w:rPr>
            </w:pPr>
            <w:r>
              <w:rPr>
                <w:rFonts w:hint="eastAsia" w:cs="Times New Roman"/>
                <w:bCs/>
                <w:sz w:val="24"/>
                <w:szCs w:val="24"/>
              </w:rPr>
              <w:t>高速公路“</w:t>
            </w:r>
            <w:r>
              <w:rPr>
                <w:rFonts w:cs="Times New Roman"/>
                <w:bCs/>
                <w:sz w:val="24"/>
                <w:szCs w:val="24"/>
              </w:rPr>
              <w:t>一纵</w:t>
            </w:r>
            <w:r>
              <w:rPr>
                <w:rFonts w:hint="eastAsia" w:cs="Times New Roman"/>
                <w:bCs/>
                <w:sz w:val="24"/>
                <w:szCs w:val="24"/>
              </w:rPr>
              <w:t>”：武深高速</w:t>
            </w:r>
          </w:p>
          <w:p w14:paraId="3216DB36">
            <w:pPr>
              <w:snapToGrid w:val="0"/>
              <w:spacing w:line="360" w:lineRule="auto"/>
              <w:ind w:firstLine="480"/>
              <w:jc w:val="both"/>
              <w:rPr>
                <w:bCs/>
                <w:sz w:val="24"/>
                <w:szCs w:val="24"/>
              </w:rPr>
            </w:pPr>
            <w:r>
              <w:rPr>
                <w:rFonts w:hint="eastAsia" w:cs="Times New Roman"/>
                <w:bCs/>
                <w:sz w:val="24"/>
                <w:szCs w:val="24"/>
              </w:rPr>
              <w:t>国省道干线公路“</w:t>
            </w:r>
            <w:r>
              <w:rPr>
                <w:rFonts w:cs="Times New Roman"/>
                <w:bCs/>
                <w:sz w:val="24"/>
                <w:szCs w:val="24"/>
              </w:rPr>
              <w:t>三横</w:t>
            </w:r>
            <w:r>
              <w:rPr>
                <w:rFonts w:hint="eastAsia" w:cs="Times New Roman"/>
                <w:bCs/>
                <w:sz w:val="24"/>
                <w:szCs w:val="24"/>
              </w:rPr>
              <w:t>”：</w:t>
            </w:r>
            <w:r>
              <w:rPr>
                <w:rFonts w:hint="eastAsia" w:ascii="Times New Roman" w:hAnsi="Times New Roman" w:cs="Times New Roman"/>
                <w:bCs/>
                <w:sz w:val="24"/>
                <w:szCs w:val="24"/>
              </w:rPr>
              <w:t>省道</w:t>
            </w:r>
            <w:r>
              <w:rPr>
                <w:rFonts w:ascii="Times New Roman" w:hAnsi="Times New Roman" w:cs="Times New Roman"/>
                <w:bCs/>
                <w:sz w:val="24"/>
                <w:szCs w:val="24"/>
              </w:rPr>
              <w:t>S517</w:t>
            </w:r>
            <w:r>
              <w:rPr>
                <w:rFonts w:hint="eastAsia" w:ascii="Times New Roman" w:hAnsi="Times New Roman" w:cs="Times New Roman"/>
                <w:bCs/>
                <w:sz w:val="24"/>
                <w:szCs w:val="24"/>
              </w:rPr>
              <w:t>线红山至长江段、国道</w:t>
            </w:r>
            <w:r>
              <w:rPr>
                <w:rFonts w:ascii="Times New Roman" w:hAnsi="Times New Roman" w:cs="Times New Roman"/>
                <w:bCs/>
                <w:sz w:val="24"/>
                <w:szCs w:val="24"/>
              </w:rPr>
              <w:t>G535</w:t>
            </w:r>
            <w:r>
              <w:rPr>
                <w:rFonts w:hint="eastAsia" w:ascii="Times New Roman" w:hAnsi="Times New Roman" w:cs="Times New Roman"/>
                <w:bCs/>
                <w:sz w:val="24"/>
                <w:szCs w:val="24"/>
              </w:rPr>
              <w:t>线石塘至</w:t>
            </w:r>
            <w:r>
              <w:rPr>
                <w:rFonts w:ascii="Times New Roman" w:hAnsi="Times New Roman" w:cs="Times New Roman"/>
                <w:bCs/>
                <w:sz w:val="24"/>
                <w:szCs w:val="24"/>
              </w:rPr>
              <w:t xml:space="preserve">G106 </w:t>
            </w:r>
            <w:r>
              <w:rPr>
                <w:rFonts w:hint="eastAsia" w:ascii="Times New Roman" w:hAnsi="Times New Roman" w:cs="Times New Roman"/>
                <w:bCs/>
                <w:sz w:val="24"/>
                <w:szCs w:val="24"/>
              </w:rPr>
              <w:t>段、国道</w:t>
            </w:r>
            <w:r>
              <w:rPr>
                <w:rFonts w:ascii="Times New Roman" w:hAnsi="Times New Roman" w:cs="Times New Roman"/>
                <w:bCs/>
                <w:sz w:val="24"/>
                <w:szCs w:val="24"/>
              </w:rPr>
              <w:t>G323</w:t>
            </w:r>
            <w:r>
              <w:rPr>
                <w:rFonts w:hint="eastAsia" w:ascii="Times New Roman" w:hAnsi="Times New Roman" w:cs="Times New Roman"/>
                <w:bCs/>
                <w:sz w:val="24"/>
                <w:szCs w:val="24"/>
              </w:rPr>
              <w:t>线长坝至麻洋段。</w:t>
            </w:r>
          </w:p>
          <w:p w14:paraId="06411F60">
            <w:pPr>
              <w:snapToGrid w:val="0"/>
              <w:spacing w:line="360" w:lineRule="auto"/>
              <w:ind w:firstLine="480"/>
              <w:jc w:val="both"/>
            </w:pPr>
            <w:r>
              <w:rPr>
                <w:rFonts w:cs="Times New Roman"/>
                <w:bCs/>
                <w:sz w:val="24"/>
                <w:szCs w:val="24"/>
              </w:rPr>
              <w:t>国省道干线公路</w:t>
            </w:r>
            <w:r>
              <w:rPr>
                <w:rFonts w:hint="eastAsia" w:cs="Times New Roman"/>
                <w:bCs/>
                <w:sz w:val="24"/>
                <w:szCs w:val="24"/>
              </w:rPr>
              <w:t>“</w:t>
            </w:r>
            <w:r>
              <w:rPr>
                <w:rFonts w:cs="Times New Roman"/>
                <w:bCs/>
                <w:sz w:val="24"/>
                <w:szCs w:val="24"/>
              </w:rPr>
              <w:t>三</w:t>
            </w:r>
            <w:r>
              <w:rPr>
                <w:rFonts w:hint="eastAsia" w:cs="Times New Roman"/>
                <w:bCs/>
                <w:sz w:val="24"/>
                <w:szCs w:val="24"/>
              </w:rPr>
              <w:t>纵”</w:t>
            </w:r>
            <w:r>
              <w:rPr>
                <w:rFonts w:cs="Times New Roman"/>
                <w:bCs/>
                <w:sz w:val="24"/>
                <w:szCs w:val="24"/>
              </w:rPr>
              <w:t>：</w:t>
            </w:r>
            <w:r>
              <w:rPr>
                <w:rFonts w:hint="eastAsia" w:ascii="Times New Roman" w:hAnsi="Times New Roman" w:cs="Times New Roman"/>
                <w:bCs/>
                <w:sz w:val="24"/>
                <w:szCs w:val="24"/>
              </w:rPr>
              <w:t>国道</w:t>
            </w:r>
            <w:r>
              <w:rPr>
                <w:rFonts w:ascii="Times New Roman" w:hAnsi="Times New Roman" w:cs="Times New Roman"/>
                <w:bCs/>
                <w:sz w:val="24"/>
                <w:szCs w:val="24"/>
              </w:rPr>
              <w:t>G106</w:t>
            </w:r>
            <w:r>
              <w:rPr>
                <w:rFonts w:hint="eastAsia" w:ascii="Times New Roman" w:hAnsi="Times New Roman" w:cs="Times New Roman"/>
                <w:bCs/>
                <w:sz w:val="24"/>
                <w:szCs w:val="24"/>
              </w:rPr>
              <w:t>线长坝至城口段、省道</w:t>
            </w:r>
            <w:r>
              <w:rPr>
                <w:rFonts w:ascii="Times New Roman" w:hAnsi="Times New Roman" w:cs="Times New Roman"/>
                <w:bCs/>
                <w:sz w:val="24"/>
                <w:szCs w:val="24"/>
              </w:rPr>
              <w:t>S517</w:t>
            </w:r>
            <w:r>
              <w:rPr>
                <w:rFonts w:hint="eastAsia" w:ascii="Times New Roman" w:hAnsi="Times New Roman" w:cs="Times New Roman"/>
                <w:bCs/>
                <w:sz w:val="24"/>
                <w:szCs w:val="24"/>
              </w:rPr>
              <w:t>线塘洞至长江段—</w:t>
            </w:r>
            <w:r>
              <w:rPr>
                <w:rFonts w:ascii="Times New Roman" w:hAnsi="Times New Roman" w:cs="Times New Roman"/>
                <w:bCs/>
                <w:sz w:val="24"/>
                <w:szCs w:val="24"/>
              </w:rPr>
              <w:t>S246</w:t>
            </w:r>
            <w:r>
              <w:rPr>
                <w:rFonts w:hint="eastAsia" w:ascii="Times New Roman" w:hAnsi="Times New Roman" w:cs="Times New Roman"/>
                <w:bCs/>
                <w:sz w:val="24"/>
                <w:szCs w:val="24"/>
              </w:rPr>
              <w:t>线扶溪至水口段—</w:t>
            </w:r>
            <w:r>
              <w:rPr>
                <w:rFonts w:ascii="Times New Roman" w:hAnsi="Times New Roman" w:cs="Times New Roman"/>
                <w:bCs/>
                <w:sz w:val="24"/>
                <w:szCs w:val="24"/>
              </w:rPr>
              <w:t>S342</w:t>
            </w:r>
            <w:r>
              <w:rPr>
                <w:rFonts w:hint="eastAsia" w:ascii="Times New Roman" w:hAnsi="Times New Roman" w:cs="Times New Roman"/>
                <w:bCs/>
                <w:sz w:val="24"/>
                <w:szCs w:val="24"/>
              </w:rPr>
              <w:t>水口至闻韶段—</w:t>
            </w:r>
            <w:r>
              <w:rPr>
                <w:rFonts w:ascii="Times New Roman" w:hAnsi="Times New Roman" w:cs="Times New Roman"/>
                <w:bCs/>
                <w:sz w:val="24"/>
                <w:szCs w:val="24"/>
              </w:rPr>
              <w:t>S244</w:t>
            </w:r>
            <w:r>
              <w:rPr>
                <w:rFonts w:hint="eastAsia" w:ascii="Times New Roman" w:hAnsi="Times New Roman" w:cs="Times New Roman"/>
                <w:bCs/>
                <w:sz w:val="24"/>
                <w:szCs w:val="24"/>
              </w:rPr>
              <w:t>线龙皇坪至闻韶段、</w:t>
            </w:r>
            <w:r>
              <w:rPr>
                <w:rFonts w:ascii="Times New Roman" w:hAnsi="Times New Roman" w:cs="Times New Roman"/>
                <w:bCs/>
                <w:sz w:val="24"/>
                <w:szCs w:val="24"/>
              </w:rPr>
              <w:t>S517</w:t>
            </w:r>
            <w:r>
              <w:rPr>
                <w:rFonts w:hint="eastAsia" w:ascii="Times New Roman" w:hAnsi="Times New Roman" w:cs="Times New Roman"/>
                <w:bCs/>
                <w:sz w:val="24"/>
                <w:szCs w:val="24"/>
              </w:rPr>
              <w:t>线长江至董塘段—</w:t>
            </w:r>
            <w:r>
              <w:rPr>
                <w:rFonts w:ascii="Times New Roman" w:hAnsi="Times New Roman" w:cs="Times New Roman"/>
                <w:bCs/>
                <w:sz w:val="24"/>
                <w:szCs w:val="24"/>
              </w:rPr>
              <w:t>S246</w:t>
            </w:r>
            <w:r>
              <w:rPr>
                <w:rFonts w:hint="eastAsia" w:ascii="Times New Roman" w:hAnsi="Times New Roman" w:cs="Times New Roman"/>
                <w:bCs/>
                <w:sz w:val="24"/>
                <w:szCs w:val="24"/>
              </w:rPr>
              <w:t>线董塘至浈江段。</w:t>
            </w:r>
          </w:p>
        </w:tc>
      </w:tr>
    </w:tbl>
    <w:p w14:paraId="7FDA0707">
      <w:pPr>
        <w:spacing w:before="163" w:after="163"/>
        <w:ind w:firstLine="600"/>
        <w:jc w:val="both"/>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依托广东南岭生态旅游公路、丹霞山环线建设，进一步推进县域旅游公路建设。</w:t>
      </w:r>
    </w:p>
    <w:p w14:paraId="2F7463FE">
      <w:pPr>
        <w:spacing w:before="163" w:after="163"/>
        <w:ind w:firstLine="600"/>
        <w:jc w:val="both"/>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积极完善乡村公路基础配套设施，全面推动“四好农村路”高质量发展。</w:t>
      </w:r>
    </w:p>
    <w:p w14:paraId="7876D581">
      <w:pPr>
        <w:pStyle w:val="6"/>
        <w:spacing w:before="163" w:after="163"/>
      </w:pPr>
      <w:r>
        <w:t>区域交通枢纽</w:t>
      </w:r>
      <w:r>
        <w:rPr>
          <w:rFonts w:hint="eastAsia"/>
        </w:rPr>
        <w:t>规划</w:t>
      </w:r>
    </w:p>
    <w:p w14:paraId="506A9FA5">
      <w:pPr>
        <w:ind w:firstLine="600"/>
        <w:rPr>
          <w:color w:val="000000" w:themeColor="text1"/>
          <w:szCs w:val="24"/>
          <w14:textFill>
            <w14:solidFill>
              <w14:schemeClr w14:val="tx1"/>
            </w14:solidFill>
          </w14:textFill>
        </w:rPr>
      </w:pPr>
      <w:r>
        <w:rPr>
          <w:color w:val="000000" w:themeColor="text1"/>
          <w:szCs w:val="24"/>
          <w14:textFill>
            <w14:solidFill>
              <w14:schemeClr w14:val="tx1"/>
            </w14:solidFill>
          </w14:textFill>
        </w:rPr>
        <w:t>推进客运与旅游资源的深度融合</w:t>
      </w:r>
      <w:r>
        <w:rPr>
          <w:rFonts w:hint="eastAsia"/>
          <w:color w:val="000000" w:themeColor="text1"/>
          <w:szCs w:val="24"/>
          <w14:textFill>
            <w14:solidFill>
              <w14:schemeClr w14:val="tx1"/>
            </w14:solidFill>
          </w14:textFill>
        </w:rPr>
        <w:t>，扩建赣韶铁路丹霞山站，规划建设丹霞山客运站、周田客运站，将丹霞山站打造为铁路、汽车客运为一体的客运枢纽场站。依托凡口铅锌矿，致力将董塘镇打造为铁路货运、公路货运为一体的货运枢纽站。</w:t>
      </w:r>
    </w:p>
    <w:p w14:paraId="0400A519">
      <w:pPr>
        <w:ind w:firstLine="531" w:firstLineChars="177"/>
        <w:jc w:val="both"/>
        <w:rPr>
          <w:color w:val="000000" w:themeColor="text1"/>
          <w:u w:val="single"/>
          <w14:textFill>
            <w14:solidFill>
              <w14:schemeClr w14:val="tx1"/>
            </w14:solidFill>
          </w14:textFill>
        </w:rPr>
      </w:pPr>
    </w:p>
    <w:p w14:paraId="7E27576F">
      <w:pPr>
        <w:pStyle w:val="4"/>
        <w:spacing w:before="326" w:after="326"/>
        <w:ind w:firstLine="726"/>
        <w:rPr>
          <w:b w:val="0"/>
          <w:bCs w:val="0"/>
          <w:color w:val="000000" w:themeColor="text1"/>
          <w14:textFill>
            <w14:solidFill>
              <w14:schemeClr w14:val="tx1"/>
            </w14:solidFill>
          </w14:textFill>
        </w:rPr>
      </w:pPr>
      <w:bookmarkStart w:id="2083" w:name="_Toc167271417"/>
      <w:bookmarkStart w:id="2084" w:name="_Toc132305834"/>
      <w:bookmarkStart w:id="2085" w:name="_Toc3352"/>
      <w:bookmarkStart w:id="2086" w:name="_Toc141887929"/>
      <w:r>
        <w:rPr>
          <w:rFonts w:hint="eastAsia"/>
          <w:b w:val="0"/>
          <w:bCs w:val="0"/>
          <w:color w:val="000000" w:themeColor="text1"/>
          <w14:textFill>
            <w14:solidFill>
              <w14:schemeClr w14:val="tx1"/>
            </w14:solidFill>
          </w14:textFill>
        </w:rPr>
        <w:t>筑牢基础设施支撑保障体系</w:t>
      </w:r>
      <w:bookmarkEnd w:id="2083"/>
      <w:bookmarkEnd w:id="2084"/>
      <w:bookmarkEnd w:id="2085"/>
      <w:bookmarkEnd w:id="2086"/>
    </w:p>
    <w:p w14:paraId="2E939DE4">
      <w:pPr>
        <w:pStyle w:val="5"/>
        <w:numPr>
          <w:ilvl w:val="1"/>
          <w:numId w:val="12"/>
        </w:numPr>
        <w:spacing w:before="163" w:after="163"/>
        <w:rPr>
          <w:b/>
        </w:rPr>
      </w:pPr>
      <w:bookmarkStart w:id="2087" w:name="_Toc141887932"/>
      <w:bookmarkStart w:id="2088" w:name="_Toc132305837"/>
      <w:bookmarkStart w:id="2089" w:name="_Toc167271418"/>
      <w:bookmarkStart w:id="2090" w:name="_Toc10710"/>
      <w:r>
        <w:rPr>
          <w:rFonts w:hint="eastAsia"/>
        </w:rPr>
        <w:t>基础设施体系</w:t>
      </w:r>
      <w:bookmarkEnd w:id="2087"/>
      <w:bookmarkEnd w:id="2088"/>
      <w:bookmarkEnd w:id="2089"/>
      <w:bookmarkEnd w:id="2090"/>
    </w:p>
    <w:p w14:paraId="209366FC">
      <w:pPr>
        <w:pStyle w:val="6"/>
        <w:spacing w:before="163" w:after="163"/>
        <w:rPr>
          <w:b/>
        </w:rPr>
      </w:pPr>
      <w:r>
        <w:rPr>
          <w:rFonts w:hint="eastAsia"/>
        </w:rPr>
        <w:t>供水规划</w:t>
      </w:r>
    </w:p>
    <w:p w14:paraId="31944CE7">
      <w:pPr>
        <w:ind w:firstLine="600"/>
        <w:jc w:val="both"/>
      </w:pPr>
      <w:r>
        <w:rPr>
          <w:rFonts w:hint="eastAsia"/>
          <w:color w:val="000000" w:themeColor="text1"/>
          <w:szCs w:val="24"/>
          <w14:textFill>
            <w14:solidFill>
              <w14:schemeClr w14:val="tx1"/>
            </w14:solidFill>
          </w14:textFill>
        </w:rPr>
        <w:t>以高坪水库作为主要水源，澌溪河水库作为备用水源，提高供水保证率</w:t>
      </w:r>
      <w:r>
        <w:rPr>
          <w:color w:val="000000" w:themeColor="text1"/>
          <w:szCs w:val="24"/>
          <w14:textFill>
            <w14:solidFill>
              <w14:schemeClr w14:val="tx1"/>
            </w14:solidFill>
          </w14:textFill>
        </w:rPr>
        <w:t>。</w:t>
      </w:r>
      <w:r>
        <w:rPr>
          <w:rFonts w:hint="eastAsia"/>
          <w:color w:val="000000" w:themeColor="text1"/>
          <w:szCs w:val="24"/>
          <w14:textFill>
            <w14:solidFill>
              <w14:schemeClr w14:val="tx1"/>
            </w14:solidFill>
          </w14:textFill>
        </w:rPr>
        <w:t>完善县域供水设施建设，扩大公共供水管网覆盖范围，提高公共供水供给能力。</w:t>
      </w:r>
    </w:p>
    <w:p w14:paraId="5AB94412">
      <w:pPr>
        <w:pStyle w:val="6"/>
        <w:spacing w:before="163" w:after="163"/>
        <w:rPr>
          <w:b/>
        </w:rPr>
      </w:pPr>
      <w:r>
        <w:rPr>
          <w:rFonts w:hint="eastAsia"/>
        </w:rPr>
        <w:t>污水规划</w:t>
      </w:r>
    </w:p>
    <w:p w14:paraId="497E5736">
      <w:pPr>
        <w:ind w:firstLine="6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完善雨污水分流、收集、处理系统，加快推进污水管网及污水处理相关设施建设与改造，提高污水收集、处理及再生利用率，有效保护区域水环境。</w:t>
      </w:r>
    </w:p>
    <w:p w14:paraId="755A4D32">
      <w:pPr>
        <w:pStyle w:val="6"/>
        <w:spacing w:before="163" w:after="163"/>
        <w:rPr>
          <w:b/>
        </w:rPr>
      </w:pPr>
      <w:r>
        <w:rPr>
          <w:rFonts w:hint="eastAsia"/>
        </w:rPr>
        <w:t>雨水规划</w:t>
      </w:r>
    </w:p>
    <w:p w14:paraId="471FE464">
      <w:pPr>
        <w:ind w:firstLine="6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加快对城镇建成区易涝点整治，整治中心城区、各镇镇区易涝点</w:t>
      </w:r>
      <w:r>
        <w:rPr>
          <w:color w:val="000000" w:themeColor="text1"/>
          <w14:textFill>
            <w14:solidFill>
              <w14:schemeClr w14:val="tx1"/>
            </w14:solidFill>
          </w14:textFill>
        </w:rPr>
        <w:t>。对易涝点的雨水口和排水管渠进行改造，科学合理设置大型排水</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雨水</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管</w:t>
      </w:r>
      <w:r>
        <w:rPr>
          <w:rFonts w:hint="eastAsia"/>
          <w:color w:val="000000" w:themeColor="text1"/>
          <w14:textFill>
            <w14:solidFill>
              <w14:schemeClr w14:val="tx1"/>
            </w14:solidFill>
          </w14:textFill>
        </w:rPr>
        <w:t>渠</w:t>
      </w:r>
      <w:r>
        <w:rPr>
          <w:color w:val="000000" w:themeColor="text1"/>
          <w14:textFill>
            <w14:solidFill>
              <w14:schemeClr w14:val="tx1"/>
            </w14:solidFill>
          </w14:textFill>
        </w:rPr>
        <w:t>。对易涝点的排水防涝泵站进行升级改造或增设机排能力，充分利用绿地、广场</w:t>
      </w:r>
      <w:r>
        <w:rPr>
          <w:rFonts w:hint="eastAsia"/>
          <w:color w:val="000000" w:themeColor="text1"/>
          <w14:textFill>
            <w14:solidFill>
              <w14:schemeClr w14:val="tx1"/>
            </w14:solidFill>
          </w14:textFill>
        </w:rPr>
        <w:t>等</w:t>
      </w:r>
      <w:r>
        <w:rPr>
          <w:color w:val="000000" w:themeColor="text1"/>
          <w14:textFill>
            <w14:solidFill>
              <w14:schemeClr w14:val="tx1"/>
            </w14:solidFill>
          </w14:textFill>
        </w:rPr>
        <w:t>空间建设雨水调蓄设施，</w:t>
      </w:r>
      <w:r>
        <w:rPr>
          <w:rFonts w:hint="eastAsia"/>
          <w:color w:val="000000" w:themeColor="text1"/>
          <w14:textFill>
            <w14:solidFill>
              <w14:schemeClr w14:val="tx1"/>
            </w14:solidFill>
          </w14:textFill>
        </w:rPr>
        <w:t>推进海绵城市建设，</w:t>
      </w:r>
      <w:r>
        <w:rPr>
          <w:color w:val="000000" w:themeColor="text1"/>
          <w14:textFill>
            <w14:solidFill>
              <w14:schemeClr w14:val="tx1"/>
            </w14:solidFill>
          </w14:textFill>
        </w:rPr>
        <w:t>配套建设雨水泵站自动控制系统和遥测遥控及预警预报系统。结合自然地形地貌、城市内河、次干道路、大型排水明渠干沟建设，建设雨洪行泄通道。建设雨情监测体系，提高内涝预报预警能力。</w:t>
      </w:r>
    </w:p>
    <w:p w14:paraId="3DA196F0">
      <w:pPr>
        <w:pStyle w:val="6"/>
        <w:spacing w:before="163" w:after="163"/>
      </w:pPr>
      <w:r>
        <w:rPr>
          <w:rFonts w:hint="eastAsia"/>
        </w:rPr>
        <w:t>燃气规划</w:t>
      </w:r>
    </w:p>
    <w:p w14:paraId="4FDBAA9A">
      <w:pPr>
        <w:ind w:firstLine="600"/>
        <w:jc w:val="both"/>
      </w:pPr>
      <w:r>
        <w:rPr>
          <w:color w:val="000000" w:themeColor="text1"/>
          <w14:textFill>
            <w14:solidFill>
              <w14:schemeClr w14:val="tx1"/>
            </w14:solidFill>
          </w14:textFill>
        </w:rPr>
        <w:t>规划采用西气东输二线气源，</w:t>
      </w:r>
      <w:r>
        <w:rPr>
          <w:rFonts w:hint="eastAsia"/>
          <w:color w:val="000000" w:themeColor="text1"/>
          <w14:textFill>
            <w14:solidFill>
              <w14:schemeClr w14:val="tx1"/>
            </w14:solidFill>
          </w14:textFill>
        </w:rPr>
        <w:t>通过</w:t>
      </w:r>
      <w:r>
        <w:rPr>
          <w:color w:val="000000" w:themeColor="text1"/>
          <w14:textFill>
            <w14:solidFill>
              <w14:schemeClr w14:val="tx1"/>
            </w14:solidFill>
          </w14:textFill>
        </w:rPr>
        <w:t>省管网</w:t>
      </w:r>
      <w:r>
        <w:rPr>
          <w:rFonts w:hint="eastAsia"/>
          <w:color w:val="000000" w:themeColor="text1"/>
          <w14:textFill>
            <w14:solidFill>
              <w14:schemeClr w14:val="tx1"/>
            </w14:solidFill>
          </w14:textFill>
        </w:rPr>
        <w:t>连通仁化大桥阀室</w:t>
      </w:r>
      <w:r>
        <w:rPr>
          <w:color w:val="000000" w:themeColor="text1"/>
          <w14:textFill>
            <w14:solidFill>
              <w14:schemeClr w14:val="tx1"/>
            </w14:solidFill>
          </w14:textFill>
        </w:rPr>
        <w:t>，逐步提高全县</w:t>
      </w:r>
      <w:r>
        <w:rPr>
          <w:rFonts w:hint="eastAsia"/>
          <w:color w:val="000000" w:themeColor="text1"/>
          <w14:textFill>
            <w14:solidFill>
              <w14:schemeClr w14:val="tx1"/>
            </w14:solidFill>
          </w14:textFill>
        </w:rPr>
        <w:t>供气安全及</w:t>
      </w:r>
      <w:r>
        <w:rPr>
          <w:color w:val="000000" w:themeColor="text1"/>
          <w14:textFill>
            <w14:solidFill>
              <w14:schemeClr w14:val="tx1"/>
            </w14:solidFill>
          </w14:textFill>
        </w:rPr>
        <w:t>管道天然气覆盖率，稳步</w:t>
      </w:r>
      <w:r>
        <w:rPr>
          <w:rFonts w:hint="eastAsia"/>
          <w:color w:val="000000" w:themeColor="text1"/>
          <w14:textFill>
            <w14:solidFill>
              <w14:schemeClr w14:val="tx1"/>
            </w14:solidFill>
          </w14:textFill>
        </w:rPr>
        <w:t>提高</w:t>
      </w:r>
      <w:r>
        <w:rPr>
          <w:color w:val="000000" w:themeColor="text1"/>
          <w14:textFill>
            <w14:solidFill>
              <w14:schemeClr w14:val="tx1"/>
            </w14:solidFill>
          </w14:textFill>
        </w:rPr>
        <w:t>居民和工商业用气</w:t>
      </w:r>
      <w:r>
        <w:rPr>
          <w:rFonts w:hint="eastAsia"/>
          <w:color w:val="000000" w:themeColor="text1"/>
          <w14:textFill>
            <w14:solidFill>
              <w14:schemeClr w14:val="tx1"/>
            </w14:solidFill>
          </w14:textFill>
        </w:rPr>
        <w:t>率</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加大供气系统老旧基础设施改造力度，加强对供气系统中存在事故隐患的基础设施进行维修、更换和升级改造的同时，对系统中材质落后并存在漏损隐患的管网与设施进行改造。规划新建天然气</w:t>
      </w:r>
      <w:r>
        <w:rPr>
          <w:color w:val="000000" w:themeColor="text1"/>
          <w14:textFill>
            <w14:solidFill>
              <w14:schemeClr w14:val="tx1"/>
            </w14:solidFill>
          </w14:textFill>
        </w:rPr>
        <w:t>储气站</w:t>
      </w:r>
      <w:r>
        <w:rPr>
          <w:rFonts w:hint="eastAsia"/>
          <w:color w:val="000000" w:themeColor="text1"/>
          <w14:textFill>
            <w14:solidFill>
              <w14:schemeClr w14:val="tx1"/>
            </w14:solidFill>
          </w14:textFill>
        </w:rPr>
        <w:t>、调压站提升供气安全</w:t>
      </w:r>
      <w:r>
        <w:rPr>
          <w:color w:val="000000" w:themeColor="text1"/>
          <w14:textFill>
            <w14:solidFill>
              <w14:schemeClr w14:val="tx1"/>
            </w14:solidFill>
          </w14:textFill>
        </w:rPr>
        <w:t>，完善全域供气管网建设。</w:t>
      </w:r>
    </w:p>
    <w:p w14:paraId="4A5E80D1">
      <w:pPr>
        <w:pStyle w:val="6"/>
        <w:spacing w:before="163" w:after="163"/>
      </w:pPr>
      <w:r>
        <w:rPr>
          <w:rFonts w:hint="eastAsia"/>
        </w:rPr>
        <w:t>环卫规划</w:t>
      </w:r>
    </w:p>
    <w:p w14:paraId="2C45D001">
      <w:pPr>
        <w:ind w:firstLine="6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完善城镇生活垃圾收集、转运、处置体系。至</w:t>
      </w:r>
      <w:r>
        <w:rPr>
          <w:rFonts w:ascii="Times New Roman" w:hAnsi="Times New Roman" w:cs="Times New Roman"/>
          <w:color w:val="000000" w:themeColor="text1"/>
          <w14:textFill>
            <w14:solidFill>
              <w14:schemeClr w14:val="tx1"/>
            </w14:solidFill>
          </w14:textFill>
        </w:rPr>
        <w:t>2035</w:t>
      </w:r>
      <w:r>
        <w:rPr>
          <w:rFonts w:hint="eastAsia"/>
          <w:color w:val="000000" w:themeColor="text1"/>
          <w14:textFill>
            <w14:solidFill>
              <w14:schemeClr w14:val="tx1"/>
            </w14:solidFill>
          </w14:textFill>
        </w:rPr>
        <w:t>年，城镇生活垃圾处理率达到</w:t>
      </w:r>
      <w:r>
        <w:rPr>
          <w:rFonts w:ascii="Times New Roman" w:hAnsi="Times New Roman" w:cs="Times New Roman"/>
          <w:color w:val="000000" w:themeColor="text1"/>
          <w14:textFill>
            <w14:solidFill>
              <w14:schemeClr w14:val="tx1"/>
            </w14:solidFill>
          </w14:textFill>
        </w:rPr>
        <w:t>100%</w:t>
      </w:r>
      <w:r>
        <w:rPr>
          <w:rFonts w:hint="eastAsia"/>
          <w:color w:val="000000" w:themeColor="text1"/>
          <w14:textFill>
            <w14:solidFill>
              <w14:schemeClr w14:val="tx1"/>
            </w14:solidFill>
          </w14:textFill>
        </w:rPr>
        <w:t>。规划新建固体废弃物（建筑垃圾）消纳场、餐厨垃圾处理站。逐步推进生活垃圾减量化和资源化利用，提高生活垃圾无害化处理水平，促进仁化县城乡环境卫生管理事业可持续发展。</w:t>
      </w:r>
    </w:p>
    <w:p w14:paraId="0AF81370">
      <w:pPr>
        <w:ind w:firstLine="6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生活垃圾卫生填埋场、建筑垃圾填埋场不得设置在水源保护区、地下蕴矿区及影响城市安全的区域内，距居民点及人畜供水点不应小于</w:t>
      </w:r>
      <w:r>
        <w:rPr>
          <w:rFonts w:ascii="Times New Roman" w:hAnsi="Times New Roman" w:cs="Times New Roman"/>
          <w:color w:val="000000" w:themeColor="text1"/>
          <w14:textFill>
            <w14:solidFill>
              <w14:schemeClr w14:val="tx1"/>
            </w14:solidFill>
          </w14:textFill>
        </w:rPr>
        <w:t>0</w:t>
      </w:r>
      <w:r>
        <w:rPr>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5</w:t>
      </w:r>
      <w:r>
        <w:rPr>
          <w:color w:val="000000" w:themeColor="text1"/>
          <w14:textFill>
            <w14:solidFill>
              <w14:schemeClr w14:val="tx1"/>
            </w14:solidFill>
          </w14:textFill>
        </w:rPr>
        <w:t>公里，沿边界应设置宽度不小于</w:t>
      </w:r>
      <w:r>
        <w:rPr>
          <w:rFonts w:ascii="Times New Roman" w:hAnsi="Times New Roman" w:cs="Times New Roman"/>
          <w:color w:val="000000" w:themeColor="text1"/>
          <w14:textFill>
            <w14:solidFill>
              <w14:schemeClr w14:val="tx1"/>
            </w14:solidFill>
          </w14:textFill>
        </w:rPr>
        <w:t>10</w:t>
      </w:r>
      <w:r>
        <w:rPr>
          <w:color w:val="000000" w:themeColor="text1"/>
          <w14:textFill>
            <w14:solidFill>
              <w14:schemeClr w14:val="tx1"/>
            </w14:solidFill>
          </w14:textFill>
        </w:rPr>
        <w:t>米的绿化隔离带；餐厨垃圾集中处理设施用地边界距居住用地等区域不应小于</w:t>
      </w:r>
      <w:r>
        <w:rPr>
          <w:rFonts w:ascii="Times New Roman" w:hAnsi="Times New Roman" w:cs="Times New Roman"/>
          <w:color w:val="000000" w:themeColor="text1"/>
          <w14:textFill>
            <w14:solidFill>
              <w14:schemeClr w14:val="tx1"/>
            </w14:solidFill>
          </w14:textFill>
        </w:rPr>
        <w:t>0</w:t>
      </w:r>
      <w:r>
        <w:rPr>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5</w:t>
      </w:r>
      <w:r>
        <w:rPr>
          <w:color w:val="000000" w:themeColor="text1"/>
          <w14:textFill>
            <w14:solidFill>
              <w14:schemeClr w14:val="tx1"/>
            </w14:solidFill>
          </w14:textFill>
        </w:rPr>
        <w:t>公里，单独设置时，沿边界应设置宽度不小于</w:t>
      </w:r>
      <w:r>
        <w:rPr>
          <w:rFonts w:ascii="Times New Roman" w:hAnsi="Times New Roman" w:cs="Times New Roman"/>
          <w:color w:val="000000" w:themeColor="text1"/>
          <w14:textFill>
            <w14:solidFill>
              <w14:schemeClr w14:val="tx1"/>
            </w14:solidFill>
          </w14:textFill>
        </w:rPr>
        <w:t>10</w:t>
      </w:r>
      <w:r>
        <w:rPr>
          <w:color w:val="000000" w:themeColor="text1"/>
          <w14:textFill>
            <w14:solidFill>
              <w14:schemeClr w14:val="tx1"/>
            </w14:solidFill>
          </w14:textFill>
        </w:rPr>
        <w:t>米的绿化隔离带。</w:t>
      </w:r>
    </w:p>
    <w:p w14:paraId="25EA70F5">
      <w:pPr>
        <w:pStyle w:val="6"/>
        <w:spacing w:before="163" w:after="163"/>
        <w:rPr>
          <w:b/>
        </w:rPr>
      </w:pPr>
      <w:r>
        <w:rPr>
          <w:rFonts w:hint="eastAsia"/>
        </w:rPr>
        <w:t>供电规划</w:t>
      </w:r>
    </w:p>
    <w:p w14:paraId="69129BCA">
      <w:pPr>
        <w:ind w:firstLine="600"/>
        <w:jc w:val="both"/>
      </w:pPr>
      <w:r>
        <w:rPr>
          <w:rFonts w:hint="eastAsia"/>
          <w:color w:val="000000" w:themeColor="text1"/>
          <w:szCs w:val="24"/>
          <w14:textFill>
            <w14:solidFill>
              <w14:schemeClr w14:val="tx1"/>
            </w14:solidFill>
          </w14:textFill>
        </w:rPr>
        <w:t>深入推进能源革命，加强煤炭清洁高效利用，加快规划建设新型能源体系，统筹水电开发和生态保护，加强能源产供储销体系建设，推动实现“双碳”目标。加强跨区域骨干能源输送网络建设，优化建设电网主网架和跨区域输电通道。</w:t>
      </w:r>
      <w:bookmarkStart w:id="2091" w:name="_Hlk167264680"/>
      <w:r>
        <w:rPr>
          <w:rFonts w:hint="eastAsia"/>
          <w:color w:val="000000" w:themeColor="text1"/>
          <w:szCs w:val="24"/>
          <w14:textFill>
            <w14:solidFill>
              <w14:schemeClr w14:val="tx1"/>
            </w14:solidFill>
          </w14:textFill>
        </w:rPr>
        <w:t>规划预留</w:t>
      </w:r>
      <w:r>
        <w:rPr>
          <w:rFonts w:ascii="Times New Roman" w:hAnsi="Times New Roman" w:cs="Times New Roman"/>
          <w:color w:val="000000" w:themeColor="text1"/>
          <w:szCs w:val="24"/>
          <w14:textFill>
            <w14:solidFill>
              <w14:schemeClr w14:val="tx1"/>
            </w14:solidFill>
          </w14:textFill>
        </w:rPr>
        <w:t>110kV、220kV</w:t>
      </w:r>
      <w:r>
        <w:rPr>
          <w:color w:val="000000" w:themeColor="text1"/>
          <w:szCs w:val="24"/>
          <w14:textFill>
            <w14:solidFill>
              <w14:schemeClr w14:val="tx1"/>
            </w14:solidFill>
          </w14:textFill>
        </w:rPr>
        <w:t>和</w:t>
      </w:r>
      <w:r>
        <w:rPr>
          <w:rFonts w:ascii="Times New Roman" w:hAnsi="Times New Roman" w:cs="Times New Roman"/>
          <w:color w:val="000000" w:themeColor="text1"/>
          <w:szCs w:val="24"/>
          <w14:textFill>
            <w14:solidFill>
              <w14:schemeClr w14:val="tx1"/>
            </w14:solidFill>
          </w14:textFill>
        </w:rPr>
        <w:t>500kV</w:t>
      </w:r>
      <w:r>
        <w:rPr>
          <w:color w:val="000000" w:themeColor="text1"/>
          <w:szCs w:val="24"/>
          <w14:textFill>
            <w14:solidFill>
              <w14:schemeClr w14:val="tx1"/>
            </w14:solidFill>
          </w14:textFill>
        </w:rPr>
        <w:t>架空线高压廊道控制宽度不低于</w:t>
      </w:r>
      <w:r>
        <w:rPr>
          <w:rFonts w:ascii="Times New Roman" w:hAnsi="Times New Roman" w:cs="Times New Roman"/>
          <w:color w:val="000000" w:themeColor="text1"/>
          <w:szCs w:val="24"/>
          <w14:textFill>
            <w14:solidFill>
              <w14:schemeClr w14:val="tx1"/>
            </w14:solidFill>
          </w14:textFill>
        </w:rPr>
        <w:t>25</w:t>
      </w:r>
      <w:r>
        <w:rPr>
          <w:color w:val="000000" w:themeColor="text1"/>
          <w:szCs w:val="24"/>
          <w14:textFill>
            <w14:solidFill>
              <w14:schemeClr w14:val="tx1"/>
            </w14:solidFill>
          </w14:textFill>
        </w:rPr>
        <w:t>米、</w:t>
      </w:r>
      <w:r>
        <w:rPr>
          <w:rFonts w:ascii="Times New Roman" w:hAnsi="Times New Roman" w:cs="Times New Roman"/>
          <w:color w:val="000000" w:themeColor="text1"/>
          <w:szCs w:val="24"/>
          <w14:textFill>
            <w14:solidFill>
              <w14:schemeClr w14:val="tx1"/>
            </w14:solidFill>
          </w14:textFill>
        </w:rPr>
        <w:t>40</w:t>
      </w:r>
      <w:r>
        <w:rPr>
          <w:color w:val="000000" w:themeColor="text1"/>
          <w:szCs w:val="24"/>
          <w14:textFill>
            <w14:solidFill>
              <w14:schemeClr w14:val="tx1"/>
            </w14:solidFill>
          </w14:textFill>
        </w:rPr>
        <w:t>米和</w:t>
      </w:r>
      <w:r>
        <w:rPr>
          <w:rFonts w:ascii="Times New Roman" w:hAnsi="Times New Roman" w:cs="Times New Roman"/>
          <w:color w:val="000000" w:themeColor="text1"/>
          <w:szCs w:val="24"/>
          <w14:textFill>
            <w14:solidFill>
              <w14:schemeClr w14:val="tx1"/>
            </w14:solidFill>
          </w14:textFill>
        </w:rPr>
        <w:t>75</w:t>
      </w:r>
      <w:r>
        <w:rPr>
          <w:color w:val="000000" w:themeColor="text1"/>
          <w:szCs w:val="24"/>
          <w14:textFill>
            <w14:solidFill>
              <w14:schemeClr w14:val="tx1"/>
            </w14:solidFill>
          </w14:textFill>
        </w:rPr>
        <w:t>米。</w:t>
      </w:r>
      <w:bookmarkEnd w:id="2091"/>
    </w:p>
    <w:p w14:paraId="433FED30">
      <w:pPr>
        <w:pStyle w:val="6"/>
        <w:spacing w:before="163" w:after="163"/>
        <w:rPr>
          <w:b/>
        </w:rPr>
      </w:pPr>
      <w:r>
        <w:rPr>
          <w:rFonts w:hint="eastAsia"/>
        </w:rPr>
        <w:t>通信规划</w:t>
      </w:r>
    </w:p>
    <w:p w14:paraId="0441A4DC">
      <w:pPr>
        <w:ind w:firstLine="600"/>
        <w:rPr>
          <w:rFonts w:cs="Times New Roman"/>
        </w:rPr>
      </w:pPr>
      <w:r>
        <w:rPr>
          <w:rFonts w:ascii="Times New Roman" w:hAnsi="Times New Roman"/>
          <w:color w:val="000000" w:themeColor="text1"/>
          <w:szCs w:val="24"/>
          <w14:textFill>
            <w14:solidFill>
              <w14:schemeClr w14:val="tx1"/>
            </w14:solidFill>
          </w14:textFill>
        </w:rPr>
        <w:t>加强通信光缆、局</w:t>
      </w:r>
      <w:r>
        <w:rPr>
          <w:rFonts w:hint="eastAsia" w:ascii="Times New Roman" w:hAnsi="Times New Roman"/>
          <w:color w:val="000000" w:themeColor="text1"/>
          <w:szCs w:val="24"/>
          <w14:textFill>
            <w14:solidFill>
              <w14:schemeClr w14:val="tx1"/>
            </w14:solidFill>
          </w14:textFill>
        </w:rPr>
        <w:t>站、机</w:t>
      </w:r>
      <w:r>
        <w:rPr>
          <w:rFonts w:ascii="Times New Roman" w:hAnsi="Times New Roman"/>
          <w:color w:val="000000" w:themeColor="text1"/>
          <w:szCs w:val="24"/>
          <w14:textFill>
            <w14:solidFill>
              <w14:schemeClr w14:val="tx1"/>
            </w14:solidFill>
          </w14:textFill>
        </w:rPr>
        <w:t>房、基站等信息通信设施建设</w:t>
      </w:r>
      <w:r>
        <w:rPr>
          <w:rFonts w:hint="eastAsia" w:ascii="Times New Roman" w:hAnsi="Times New Roman"/>
          <w:color w:val="000000" w:themeColor="text1"/>
          <w:szCs w:val="24"/>
          <w14:textFill>
            <w14:solidFill>
              <w14:schemeClr w14:val="tx1"/>
            </w14:solidFill>
          </w14:textFill>
        </w:rPr>
        <w:t>，完善千兆光纤网络基础设施布局，进一步推动新一代通信基础设施建设，</w:t>
      </w:r>
      <w:r>
        <w:rPr>
          <w:rFonts w:ascii="Times New Roman" w:hAnsi="Times New Roman"/>
          <w:color w:val="000000" w:themeColor="text1"/>
          <w:szCs w:val="24"/>
          <w14:textFill>
            <w14:solidFill>
              <w14:schemeClr w14:val="tx1"/>
            </w14:solidFill>
          </w14:textFill>
        </w:rPr>
        <w:t>促进大数据、物联网、云计算等现代信息技术与市政基础设施的深度融合</w:t>
      </w:r>
      <w:r>
        <w:rPr>
          <w:rFonts w:hint="eastAsia" w:ascii="Times New Roman" w:hAnsi="Times New Roman"/>
          <w:color w:val="000000" w:themeColor="text1"/>
          <w:szCs w:val="24"/>
          <w14:textFill>
            <w14:solidFill>
              <w14:schemeClr w14:val="tx1"/>
            </w14:solidFill>
          </w14:textFill>
        </w:rPr>
        <w:t>。</w:t>
      </w:r>
      <w:r>
        <w:rPr>
          <w:rFonts w:hint="eastAsia" w:cs="Times New Roman"/>
        </w:rPr>
        <w:t>近期全面部署</w:t>
      </w:r>
      <w:r>
        <w:rPr>
          <w:rFonts w:ascii="Times New Roman" w:hAnsi="Times New Roman" w:cs="Times New Roman"/>
        </w:rPr>
        <w:t>5G</w:t>
      </w:r>
      <w:r>
        <w:rPr>
          <w:rFonts w:hint="eastAsia" w:cs="Times New Roman"/>
        </w:rPr>
        <w:t>、千兆光纤网络、</w:t>
      </w:r>
      <w:r>
        <w:rPr>
          <w:rFonts w:ascii="Times New Roman" w:hAnsi="Times New Roman" w:cs="Times New Roman"/>
        </w:rPr>
        <w:t>IPv6</w:t>
      </w:r>
      <w:r>
        <w:rPr>
          <w:rFonts w:hint="eastAsia" w:cs="Times New Roman"/>
        </w:rPr>
        <w:t>、移动物联网、卫星通信网络等新一代通信网络基础设施，建成</w:t>
      </w:r>
      <w:r>
        <w:rPr>
          <w:rFonts w:ascii="Times New Roman" w:hAnsi="Times New Roman" w:cs="Times New Roman"/>
        </w:rPr>
        <w:t>5G</w:t>
      </w:r>
      <w:r>
        <w:rPr>
          <w:rFonts w:hint="eastAsia" w:ascii="仿宋_GB2312" w:cs="Times New Roman"/>
        </w:rPr>
        <w:t>+</w:t>
      </w:r>
      <w:r>
        <w:rPr>
          <w:rFonts w:hint="eastAsia" w:cs="Times New Roman"/>
        </w:rPr>
        <w:t>千兆光网的</w:t>
      </w:r>
      <w:r>
        <w:rPr>
          <w:rFonts w:hint="eastAsia" w:ascii="仿宋_GB2312" w:cs="Times New Roman"/>
        </w:rPr>
        <w:t>“</w:t>
      </w:r>
      <w:r>
        <w:rPr>
          <w:rFonts w:hint="eastAsia" w:cs="Times New Roman"/>
        </w:rPr>
        <w:t>双千兆</w:t>
      </w:r>
      <w:r>
        <w:rPr>
          <w:rFonts w:hint="eastAsia" w:ascii="仿宋_GB2312" w:cs="Times New Roman"/>
        </w:rPr>
        <w:t>”</w:t>
      </w:r>
      <w:r>
        <w:rPr>
          <w:rFonts w:hint="eastAsia" w:cs="Times New Roman"/>
        </w:rPr>
        <w:t>城市；远期衔接</w:t>
      </w:r>
      <w:r>
        <w:rPr>
          <w:rFonts w:ascii="Times New Roman" w:hAnsi="Times New Roman" w:cs="Times New Roman"/>
        </w:rPr>
        <w:t>6G</w:t>
      </w:r>
      <w:r>
        <w:rPr>
          <w:rFonts w:hint="eastAsia" w:cs="Times New Roman"/>
        </w:rPr>
        <w:t>，加快构建并形成以技术创新为驱动、以新一代通信网络为基础、以数据和算力设施为核心、以融合基础设施为突破的新型数字基础设施体系。</w:t>
      </w:r>
    </w:p>
    <w:p w14:paraId="46FE7417">
      <w:pPr>
        <w:pStyle w:val="6"/>
        <w:spacing w:before="163" w:after="163"/>
      </w:pPr>
      <w:r>
        <w:rPr>
          <w:rFonts w:hint="eastAsia"/>
        </w:rPr>
        <w:t>地下管线规划</w:t>
      </w:r>
    </w:p>
    <w:p w14:paraId="52C99938">
      <w:pPr>
        <w:ind w:firstLine="600"/>
        <w:jc w:val="both"/>
        <w:rPr>
          <w:rFonts w:ascii="仿宋_GB2312" w:hAnsi="等线" w:cs="仿宋_GB2312"/>
          <w:color w:val="000000"/>
          <w:kern w:val="0"/>
          <w:szCs w:val="30"/>
        </w:rPr>
      </w:pPr>
      <w:r>
        <w:rPr>
          <w:rFonts w:hint="eastAsia" w:cs="Times New Roman"/>
          <w:szCs w:val="30"/>
        </w:rPr>
        <w:t>加强地下管线综合规划与建设统筹，结合各类绿地控制预留市政管线廊道，推进道路与管线同步建设，形成全县地下管线</w:t>
      </w:r>
      <w:r>
        <w:rPr>
          <w:rFonts w:hint="eastAsia" w:ascii="仿宋_GB2312" w:cs="Times New Roman"/>
          <w:szCs w:val="30"/>
        </w:rPr>
        <w:t>“</w:t>
      </w:r>
      <w:r>
        <w:rPr>
          <w:rFonts w:hint="eastAsia" w:cs="Times New Roman"/>
          <w:szCs w:val="30"/>
        </w:rPr>
        <w:t>一张图</w:t>
      </w:r>
      <w:r>
        <w:rPr>
          <w:rFonts w:hint="eastAsia" w:ascii="仿宋_GB2312" w:cs="Times New Roman"/>
          <w:szCs w:val="30"/>
        </w:rPr>
        <w:t>”</w:t>
      </w:r>
      <w:r>
        <w:rPr>
          <w:rFonts w:hint="eastAsia" w:cs="Times New Roman"/>
          <w:szCs w:val="30"/>
        </w:rPr>
        <w:t>。</w:t>
      </w:r>
      <w:r>
        <w:rPr>
          <w:rFonts w:hint="eastAsia"/>
        </w:rPr>
        <w:t>构建“科学、先进、适宜、安全”的地下综合管网，优化和节约集约利用地下空间资源，提升市政基础设施建设水平，促进城市建设发展。</w:t>
      </w:r>
    </w:p>
    <w:p w14:paraId="4998FF39">
      <w:pPr>
        <w:pStyle w:val="6"/>
        <w:spacing w:before="163" w:after="163"/>
      </w:pPr>
      <w:r>
        <w:rPr>
          <w:rFonts w:hint="eastAsia"/>
        </w:rPr>
        <w:t>智慧城市规划</w:t>
      </w:r>
    </w:p>
    <w:p w14:paraId="38F8BBFE">
      <w:pPr>
        <w:spacing w:line="384" w:lineRule="auto"/>
        <w:ind w:right="109" w:firstLine="600"/>
        <w:jc w:val="both"/>
        <w:rPr>
          <w:rFonts w:ascii="仿宋_GB2312" w:hAnsi="等线" w:cs="仿宋_GB2312"/>
          <w:color w:val="000000"/>
          <w:kern w:val="0"/>
          <w:szCs w:val="30"/>
        </w:rPr>
      </w:pPr>
      <w:r>
        <w:rPr>
          <w:rFonts w:ascii="Times New Roman" w:hAnsi="Times New Roman"/>
          <w:color w:val="000000" w:themeColor="text1"/>
          <w:szCs w:val="24"/>
          <w14:textFill>
            <w14:solidFill>
              <w14:schemeClr w14:val="tx1"/>
            </w14:solidFill>
          </w14:textFill>
        </w:rPr>
        <w:t>发展智慧道路</w:t>
      </w:r>
      <w:r>
        <w:rPr>
          <w:rFonts w:hint="eastAsia" w:ascii="Times New Roman" w:hAnsi="Times New Roman"/>
          <w:color w:val="000000" w:themeColor="text1"/>
          <w:szCs w:val="24"/>
          <w14:textFill>
            <w14:solidFill>
              <w14:schemeClr w14:val="tx1"/>
            </w14:solidFill>
          </w14:textFill>
        </w:rPr>
        <w:t>，</w:t>
      </w:r>
      <w:r>
        <w:rPr>
          <w:rFonts w:ascii="Times New Roman" w:hAnsi="Times New Roman"/>
          <w:color w:val="000000" w:themeColor="text1"/>
          <w:szCs w:val="24"/>
          <w14:textFill>
            <w14:solidFill>
              <w14:schemeClr w14:val="tx1"/>
            </w14:solidFill>
          </w14:textFill>
        </w:rPr>
        <w:t>建立道路设施与通行主体之间信息交互机制</w:t>
      </w:r>
      <w:r>
        <w:rPr>
          <w:rFonts w:hint="eastAsia" w:ascii="Times New Roman" w:hAnsi="Times New Roman"/>
          <w:color w:val="000000" w:themeColor="text1"/>
          <w:szCs w:val="24"/>
          <w14:textFill>
            <w14:solidFill>
              <w14:schemeClr w14:val="tx1"/>
            </w14:solidFill>
          </w14:textFill>
        </w:rPr>
        <w:t>，</w:t>
      </w:r>
      <w:r>
        <w:rPr>
          <w:rFonts w:ascii="Times New Roman" w:hAnsi="Times New Roman"/>
          <w:color w:val="000000" w:themeColor="text1"/>
          <w:szCs w:val="24"/>
          <w14:textFill>
            <w14:solidFill>
              <w14:schemeClr w14:val="tx1"/>
            </w14:solidFill>
          </w14:textFill>
        </w:rPr>
        <w:t>提高通行效率</w:t>
      </w:r>
      <w:r>
        <w:rPr>
          <w:rFonts w:hint="eastAsia" w:ascii="Times New Roman" w:hAnsi="Times New Roman"/>
          <w:color w:val="000000" w:themeColor="text1"/>
          <w:szCs w:val="24"/>
          <w14:textFill>
            <w14:solidFill>
              <w14:schemeClr w14:val="tx1"/>
            </w14:solidFill>
          </w14:textFill>
        </w:rPr>
        <w:t>。</w:t>
      </w:r>
      <w:r>
        <w:rPr>
          <w:rFonts w:ascii="Times New Roman" w:hAnsi="Times New Roman"/>
          <w:color w:val="000000" w:themeColor="text1"/>
          <w:szCs w:val="24"/>
          <w14:textFill>
            <w14:solidFill>
              <w14:schemeClr w14:val="tx1"/>
            </w14:solidFill>
          </w14:textFill>
        </w:rPr>
        <w:t>发展智慧水务</w:t>
      </w:r>
      <w:r>
        <w:rPr>
          <w:rFonts w:hint="eastAsia" w:ascii="Times New Roman" w:hAnsi="Times New Roman"/>
          <w:color w:val="000000" w:themeColor="text1"/>
          <w:szCs w:val="24"/>
          <w14:textFill>
            <w14:solidFill>
              <w14:schemeClr w14:val="tx1"/>
            </w14:solidFill>
          </w14:textFill>
        </w:rPr>
        <w:t>，</w:t>
      </w:r>
      <w:r>
        <w:rPr>
          <w:rFonts w:ascii="Times New Roman" w:hAnsi="Times New Roman"/>
          <w:color w:val="000000" w:themeColor="text1"/>
          <w:szCs w:val="24"/>
          <w14:textFill>
            <w14:solidFill>
              <w14:schemeClr w14:val="tx1"/>
            </w14:solidFill>
          </w14:textFill>
        </w:rPr>
        <w:t>构建覆盖供排水全过程</w:t>
      </w:r>
      <w:r>
        <w:rPr>
          <w:rFonts w:hint="eastAsia" w:ascii="Times New Roman" w:hAnsi="Times New Roman"/>
          <w:color w:val="000000" w:themeColor="text1"/>
          <w:szCs w:val="24"/>
          <w14:textFill>
            <w14:solidFill>
              <w14:schemeClr w14:val="tx1"/>
            </w14:solidFill>
          </w14:textFill>
        </w:rPr>
        <w:t>，</w:t>
      </w:r>
      <w:r>
        <w:rPr>
          <w:rFonts w:ascii="Times New Roman" w:hAnsi="Times New Roman"/>
          <w:color w:val="000000" w:themeColor="text1"/>
          <w:szCs w:val="24"/>
          <w14:textFill>
            <w14:solidFill>
              <w14:schemeClr w14:val="tx1"/>
            </w14:solidFill>
          </w14:textFill>
        </w:rPr>
        <w:t>涵盖水量、水质、水压、水设施的信息采集、处理与控制体系</w:t>
      </w:r>
      <w:r>
        <w:rPr>
          <w:rFonts w:hint="eastAsia" w:ascii="Times New Roman" w:hAnsi="Times New Roman"/>
          <w:color w:val="000000" w:themeColor="text1"/>
          <w:szCs w:val="24"/>
          <w14:textFill>
            <w14:solidFill>
              <w14:schemeClr w14:val="tx1"/>
            </w14:solidFill>
          </w14:textFill>
        </w:rPr>
        <w:t>。</w:t>
      </w:r>
      <w:r>
        <w:rPr>
          <w:rFonts w:ascii="Times New Roman" w:hAnsi="Times New Roman"/>
          <w:color w:val="000000" w:themeColor="text1"/>
          <w:szCs w:val="24"/>
          <w14:textFill>
            <w14:solidFill>
              <w14:schemeClr w14:val="tx1"/>
            </w14:solidFill>
          </w14:textFill>
        </w:rPr>
        <w:t>发展智慧管网</w:t>
      </w:r>
      <w:r>
        <w:rPr>
          <w:rFonts w:hint="eastAsia" w:ascii="Times New Roman" w:hAnsi="Times New Roman"/>
          <w:color w:val="000000" w:themeColor="text1"/>
          <w:szCs w:val="24"/>
          <w14:textFill>
            <w14:solidFill>
              <w14:schemeClr w14:val="tx1"/>
            </w14:solidFill>
          </w14:textFill>
        </w:rPr>
        <w:t>，</w:t>
      </w:r>
      <w:r>
        <w:rPr>
          <w:rFonts w:ascii="Times New Roman" w:hAnsi="Times New Roman"/>
          <w:color w:val="000000" w:themeColor="text1"/>
          <w:szCs w:val="24"/>
          <w14:textFill>
            <w14:solidFill>
              <w14:schemeClr w14:val="tx1"/>
            </w14:solidFill>
          </w14:textFill>
        </w:rPr>
        <w:t>实现城市地下空间、地下综合管廊、地下管网管理信息化和运行智能化</w:t>
      </w:r>
      <w:r>
        <w:rPr>
          <w:rFonts w:hint="eastAsia" w:ascii="Times New Roman" w:hAnsi="Times New Roman"/>
          <w:color w:val="000000" w:themeColor="text1"/>
          <w:szCs w:val="24"/>
          <w14:textFill>
            <w14:solidFill>
              <w14:schemeClr w14:val="tx1"/>
            </w14:solidFill>
          </w14:textFill>
        </w:rPr>
        <w:t>。</w:t>
      </w:r>
      <w:r>
        <w:rPr>
          <w:rFonts w:ascii="Times New Roman" w:hAnsi="Times New Roman"/>
          <w:color w:val="000000" w:themeColor="text1"/>
          <w:szCs w:val="24"/>
          <w14:textFill>
            <w14:solidFill>
              <w14:schemeClr w14:val="tx1"/>
            </w14:solidFill>
          </w14:textFill>
        </w:rPr>
        <w:t>发展智慧环卫</w:t>
      </w:r>
      <w:r>
        <w:rPr>
          <w:rFonts w:hint="eastAsia" w:ascii="Times New Roman" w:hAnsi="Times New Roman"/>
          <w:color w:val="000000" w:themeColor="text1"/>
          <w:szCs w:val="24"/>
          <w14:textFill>
            <w14:solidFill>
              <w14:schemeClr w14:val="tx1"/>
            </w14:solidFill>
          </w14:textFill>
        </w:rPr>
        <w:t>，</w:t>
      </w:r>
      <w:r>
        <w:rPr>
          <w:rFonts w:ascii="Times New Roman" w:hAnsi="Times New Roman"/>
          <w:color w:val="000000" w:themeColor="text1"/>
          <w:szCs w:val="24"/>
          <w14:textFill>
            <w14:solidFill>
              <w14:schemeClr w14:val="tx1"/>
            </w14:solidFill>
          </w14:textFill>
        </w:rPr>
        <w:t>合理设计规划环卫管理模式</w:t>
      </w:r>
      <w:r>
        <w:rPr>
          <w:rFonts w:hint="eastAsia" w:ascii="Times New Roman" w:hAnsi="Times New Roman"/>
          <w:color w:val="000000" w:themeColor="text1"/>
          <w:szCs w:val="24"/>
          <w14:textFill>
            <w14:solidFill>
              <w14:schemeClr w14:val="tx1"/>
            </w14:solidFill>
          </w14:textFill>
        </w:rPr>
        <w:t>，</w:t>
      </w:r>
      <w:r>
        <w:rPr>
          <w:rFonts w:ascii="Times New Roman" w:hAnsi="Times New Roman"/>
          <w:color w:val="000000" w:themeColor="text1"/>
          <w:szCs w:val="24"/>
          <w14:textFill>
            <w14:solidFill>
              <w14:schemeClr w14:val="tx1"/>
            </w14:solidFill>
          </w14:textFill>
        </w:rPr>
        <w:t>提升环卫作业质量</w:t>
      </w:r>
      <w:r>
        <w:rPr>
          <w:rFonts w:hint="eastAsia" w:ascii="Times New Roman" w:hAnsi="Times New Roman"/>
          <w:color w:val="000000" w:themeColor="text1"/>
          <w:szCs w:val="24"/>
          <w14:textFill>
            <w14:solidFill>
              <w14:schemeClr w14:val="tx1"/>
            </w14:solidFill>
          </w14:textFill>
        </w:rPr>
        <w:t>。</w:t>
      </w:r>
      <w:r>
        <w:rPr>
          <w:rFonts w:ascii="Times New Roman" w:hAnsi="Times New Roman"/>
          <w:color w:val="000000" w:themeColor="text1"/>
          <w:szCs w:val="24"/>
          <w14:textFill>
            <w14:solidFill>
              <w14:schemeClr w14:val="tx1"/>
            </w14:solidFill>
          </w14:textFill>
        </w:rPr>
        <w:t>发展智慧能源</w:t>
      </w:r>
      <w:r>
        <w:rPr>
          <w:rFonts w:hint="eastAsia" w:ascii="Times New Roman" w:hAnsi="Times New Roman"/>
          <w:color w:val="000000" w:themeColor="text1"/>
          <w:szCs w:val="24"/>
          <w14:textFill>
            <w14:solidFill>
              <w14:schemeClr w14:val="tx1"/>
            </w14:solidFill>
          </w14:textFill>
        </w:rPr>
        <w:t>，</w:t>
      </w:r>
      <w:r>
        <w:rPr>
          <w:rFonts w:ascii="Times New Roman" w:hAnsi="Times New Roman"/>
          <w:color w:val="000000" w:themeColor="text1"/>
          <w:szCs w:val="24"/>
          <w14:textFill>
            <w14:solidFill>
              <w14:schemeClr w14:val="tx1"/>
            </w14:solidFill>
          </w14:textFill>
        </w:rPr>
        <w:t>对能源供需实施精细化控制</w:t>
      </w:r>
      <w:r>
        <w:rPr>
          <w:rFonts w:hint="eastAsia" w:ascii="Times New Roman" w:hAnsi="Times New Roman"/>
          <w:color w:val="000000" w:themeColor="text1"/>
          <w:szCs w:val="24"/>
          <w14:textFill>
            <w14:solidFill>
              <w14:schemeClr w14:val="tx1"/>
            </w14:solidFill>
          </w14:textFill>
        </w:rPr>
        <w:t>，</w:t>
      </w:r>
      <w:r>
        <w:rPr>
          <w:rFonts w:ascii="Times New Roman" w:hAnsi="Times New Roman"/>
          <w:color w:val="000000" w:themeColor="text1"/>
          <w:szCs w:val="24"/>
          <w14:textFill>
            <w14:solidFill>
              <w14:schemeClr w14:val="tx1"/>
            </w14:solidFill>
          </w14:textFill>
        </w:rPr>
        <w:t>促进节能减排</w:t>
      </w:r>
      <w:r>
        <w:rPr>
          <w:rFonts w:hint="eastAsia" w:ascii="Times New Roman" w:hAnsi="Times New Roman"/>
          <w:color w:val="000000" w:themeColor="text1"/>
          <w:szCs w:val="24"/>
          <w14:textFill>
            <w14:solidFill>
              <w14:schemeClr w14:val="tx1"/>
            </w14:solidFill>
          </w14:textFill>
        </w:rPr>
        <w:t>，</w:t>
      </w:r>
      <w:r>
        <w:rPr>
          <w:rFonts w:ascii="Times New Roman" w:hAnsi="Times New Roman"/>
          <w:color w:val="000000" w:themeColor="text1"/>
          <w:szCs w:val="24"/>
          <w14:textFill>
            <w14:solidFill>
              <w14:schemeClr w14:val="tx1"/>
            </w14:solidFill>
          </w14:textFill>
        </w:rPr>
        <w:t>提高能源供应安全保障水平</w:t>
      </w:r>
      <w:r>
        <w:rPr>
          <w:rFonts w:hint="eastAsia" w:ascii="Times New Roman" w:hAnsi="Times New Roman"/>
          <w:color w:val="000000" w:themeColor="text1"/>
          <w:szCs w:val="24"/>
          <w14:textFill>
            <w14:solidFill>
              <w14:schemeClr w14:val="tx1"/>
            </w14:solidFill>
          </w14:textFill>
        </w:rPr>
        <w:t>。</w:t>
      </w:r>
      <w:r>
        <w:rPr>
          <w:rFonts w:ascii="Times New Roman" w:hAnsi="Times New Roman"/>
          <w:color w:val="000000" w:themeColor="text1"/>
          <w:szCs w:val="24"/>
          <w14:textFill>
            <w14:solidFill>
              <w14:schemeClr w14:val="tx1"/>
            </w14:solidFill>
          </w14:textFill>
        </w:rPr>
        <w:t>加强各类市政设施管理数字化平台建设和功能整合</w:t>
      </w:r>
      <w:r>
        <w:rPr>
          <w:rFonts w:hint="eastAsia" w:ascii="Times New Roman" w:hAnsi="Times New Roman"/>
          <w:color w:val="000000" w:themeColor="text1"/>
          <w:szCs w:val="24"/>
          <w14:textFill>
            <w14:solidFill>
              <w14:schemeClr w14:val="tx1"/>
            </w14:solidFill>
          </w14:textFill>
        </w:rPr>
        <w:t>，</w:t>
      </w:r>
      <w:r>
        <w:rPr>
          <w:rFonts w:ascii="Times New Roman" w:hAnsi="Times New Roman"/>
          <w:color w:val="000000" w:themeColor="text1"/>
          <w:szCs w:val="24"/>
          <w14:textFill>
            <w14:solidFill>
              <w14:schemeClr w14:val="tx1"/>
            </w14:solidFill>
          </w14:textFill>
        </w:rPr>
        <w:t>建设综合性城市运行管理数据库</w:t>
      </w:r>
      <w:r>
        <w:rPr>
          <w:rFonts w:hint="eastAsia" w:ascii="Times New Roman" w:hAnsi="Times New Roman"/>
          <w:color w:val="000000" w:themeColor="text1"/>
          <w:szCs w:val="24"/>
          <w14:textFill>
            <w14:solidFill>
              <w14:schemeClr w14:val="tx1"/>
            </w14:solidFill>
          </w14:textFill>
        </w:rPr>
        <w:t>，</w:t>
      </w:r>
      <w:r>
        <w:rPr>
          <w:rFonts w:ascii="Times New Roman" w:hAnsi="Times New Roman"/>
          <w:color w:val="000000" w:themeColor="text1"/>
          <w:szCs w:val="24"/>
          <w14:textFill>
            <w14:solidFill>
              <w14:schemeClr w14:val="tx1"/>
            </w14:solidFill>
          </w14:textFill>
        </w:rPr>
        <w:t>实现多源信息整合和共享</w:t>
      </w:r>
      <w:r>
        <w:rPr>
          <w:rFonts w:hint="eastAsia" w:ascii="Times New Roman" w:hAnsi="Times New Roman"/>
          <w:color w:val="000000" w:themeColor="text1"/>
          <w:szCs w:val="24"/>
          <w14:textFill>
            <w14:solidFill>
              <w14:schemeClr w14:val="tx1"/>
            </w14:solidFill>
          </w14:textFill>
        </w:rPr>
        <w:t>。</w:t>
      </w:r>
    </w:p>
    <w:bookmarkEnd w:id="2031"/>
    <w:bookmarkEnd w:id="2032"/>
    <w:bookmarkEnd w:id="2033"/>
    <w:bookmarkEnd w:id="2034"/>
    <w:p w14:paraId="2544D461">
      <w:pPr>
        <w:pStyle w:val="5"/>
        <w:spacing w:before="163" w:after="163"/>
        <w:rPr>
          <w:b/>
        </w:rPr>
      </w:pPr>
      <w:bookmarkStart w:id="2092" w:name="_Toc167271419"/>
      <w:bookmarkStart w:id="2093" w:name="_Toc141887940"/>
      <w:bookmarkStart w:id="2094" w:name="_Toc132305845"/>
      <w:bookmarkStart w:id="2095" w:name="_Toc21699"/>
      <w:r>
        <w:rPr>
          <w:rFonts w:hint="eastAsia"/>
        </w:rPr>
        <w:t>韧性安全与防灾减灾体系</w:t>
      </w:r>
      <w:bookmarkEnd w:id="2092"/>
      <w:bookmarkEnd w:id="2093"/>
      <w:bookmarkEnd w:id="2094"/>
      <w:bookmarkEnd w:id="2095"/>
    </w:p>
    <w:p w14:paraId="459805AD">
      <w:pPr>
        <w:pStyle w:val="6"/>
        <w:spacing w:before="163" w:after="163"/>
        <w:rPr>
          <w:b/>
        </w:rPr>
      </w:pPr>
      <w:bookmarkStart w:id="2096" w:name="_Toc141887941"/>
      <w:bookmarkStart w:id="2097" w:name="_Toc25044"/>
      <w:bookmarkStart w:id="2098" w:name="_Toc132305846"/>
      <w:r>
        <w:rPr>
          <w:rFonts w:hint="eastAsia"/>
        </w:rPr>
        <w:t>城市综合防灾目标</w:t>
      </w:r>
      <w:bookmarkEnd w:id="2096"/>
      <w:bookmarkEnd w:id="2097"/>
    </w:p>
    <w:p w14:paraId="44979792">
      <w:pPr>
        <w:ind w:firstLine="600"/>
        <w:jc w:val="both"/>
        <w:rPr>
          <w:rFonts w:ascii="Times New Roman" w:hAnsi="Times New Roman" w:cs="Times New Roman"/>
        </w:rPr>
      </w:pPr>
      <w:r>
        <w:rPr>
          <w:rFonts w:hint="eastAsia" w:ascii="Times New Roman" w:hAnsi="Times New Roman" w:cs="Times New Roman"/>
        </w:rPr>
        <w:t>规划构建灾前充分预防、灾时迅速响应、灾后妥善安置的综合防灾减灾体系，有效保护人民生命财产安全，提高城市整体防灾抗毁和救援能力，鼓励按照“平急两用”理念探索公共基础设施建设，有效增强城市韧性。</w:t>
      </w:r>
    </w:p>
    <w:bookmarkEnd w:id="2098"/>
    <w:p w14:paraId="4C140943">
      <w:pPr>
        <w:pStyle w:val="6"/>
        <w:spacing w:before="163" w:after="163"/>
        <w:rPr>
          <w:b/>
        </w:rPr>
      </w:pPr>
      <w:r>
        <w:rPr>
          <w:rFonts w:hint="eastAsia"/>
        </w:rPr>
        <w:t>防洪排涝规划</w:t>
      </w:r>
    </w:p>
    <w:p w14:paraId="1B95BFF8">
      <w:pPr>
        <w:ind w:firstLine="600"/>
        <w:jc w:val="both"/>
      </w:pPr>
      <w:r>
        <w:rPr>
          <w:rFonts w:ascii="Times New Roman" w:hAnsi="Times New Roman" w:cs="Times New Roman"/>
        </w:rPr>
        <w:t>中心城区防洪标准按50年一遇，镇区按20年一遇标准设防，</w:t>
      </w:r>
      <w:r>
        <w:rPr>
          <w:rFonts w:hint="eastAsia" w:ascii="Times New Roman" w:hAnsi="Times New Roman" w:cs="Times New Roman"/>
        </w:rPr>
        <w:t>其他区域</w:t>
      </w:r>
      <w:r>
        <w:rPr>
          <w:rFonts w:ascii="Times New Roman" w:hAnsi="Times New Roman" w:cs="Times New Roman"/>
        </w:rPr>
        <w:t>10年一遇。</w:t>
      </w:r>
      <w:r>
        <w:rPr>
          <w:rFonts w:hint="eastAsia" w:ascii="Times New Roman" w:hAnsi="Times New Roman" w:cs="Times New Roman"/>
        </w:rPr>
        <w:t>中心城区和其余镇区均采用</w:t>
      </w:r>
      <w:r>
        <w:rPr>
          <w:rFonts w:ascii="Times New Roman" w:hAnsi="Times New Roman" w:cs="Times New Roman"/>
        </w:rPr>
        <w:t>20年一遇暴雨不成灾的排涝标准，特殊地区的治涝按保护对象要求确定。</w:t>
      </w:r>
    </w:p>
    <w:p w14:paraId="2CC60144">
      <w:pPr>
        <w:ind w:firstLine="600"/>
        <w:jc w:val="both"/>
        <w:rPr>
          <w:rFonts w:ascii="Times New Roman" w:hAnsi="Times New Roman" w:cs="Times New Roman"/>
        </w:rPr>
      </w:pPr>
      <w:r>
        <w:rPr>
          <w:rFonts w:hint="eastAsia" w:ascii="Times New Roman" w:hAnsi="Times New Roman" w:cs="Times New Roman"/>
        </w:rPr>
        <w:t>根据上级规划要求落实以蓄滞洪区、行洪排涝通道、蓄洪水库、调蓄湖、河湖湿地等为主体的洪涝风险控制线，为洪水滞蓄和行泄预留足够的自然空间，提高防洪排涝能力。加强临时蓄滞洪区建设与管理，提升超标准洪水防御能力；</w:t>
      </w:r>
      <w:r>
        <w:rPr>
          <w:rFonts w:ascii="Times New Roman" w:hAnsi="Times New Roman" w:cs="Times New Roman"/>
        </w:rPr>
        <w:t>全面推进</w:t>
      </w:r>
      <w:r>
        <w:rPr>
          <w:rFonts w:hint="eastAsia" w:ascii="Times New Roman" w:hAnsi="Times New Roman" w:cs="Times New Roman"/>
        </w:rPr>
        <w:t>浈江、锦江等干流和</w:t>
      </w:r>
      <w:r>
        <w:rPr>
          <w:rFonts w:ascii="Times New Roman" w:hAnsi="Times New Roman" w:cs="Times New Roman"/>
        </w:rPr>
        <w:t>中小河流治理</w:t>
      </w:r>
      <w:r>
        <w:rPr>
          <w:rFonts w:hint="eastAsia" w:ascii="Times New Roman" w:hAnsi="Times New Roman" w:cs="Times New Roman"/>
        </w:rPr>
        <w:t>工程</w:t>
      </w:r>
      <w:r>
        <w:rPr>
          <w:rFonts w:ascii="Times New Roman" w:hAnsi="Times New Roman" w:cs="Times New Roman"/>
        </w:rPr>
        <w:t>，</w:t>
      </w:r>
      <w:r>
        <w:rPr>
          <w:rFonts w:hint="eastAsia" w:ascii="Times New Roman" w:hAnsi="Times New Roman" w:cs="Times New Roman"/>
        </w:rPr>
        <w:t>以及</w:t>
      </w:r>
      <w:r>
        <w:rPr>
          <w:rFonts w:ascii="Times New Roman" w:hAnsi="Times New Roman" w:cs="Times New Roman"/>
        </w:rPr>
        <w:t>水库除险加固</w:t>
      </w:r>
      <w:r>
        <w:rPr>
          <w:rFonts w:hint="eastAsia" w:ascii="Times New Roman" w:hAnsi="Times New Roman" w:cs="Times New Roman"/>
        </w:rPr>
        <w:t>、</w:t>
      </w:r>
      <w:r>
        <w:rPr>
          <w:rFonts w:ascii="Times New Roman" w:hAnsi="Times New Roman" w:cs="Times New Roman"/>
        </w:rPr>
        <w:t>改造及新建防洪堤</w:t>
      </w:r>
      <w:r>
        <w:rPr>
          <w:rFonts w:hint="eastAsia" w:ascii="Times New Roman" w:hAnsi="Times New Roman" w:cs="Times New Roman"/>
        </w:rPr>
        <w:t>工程。</w:t>
      </w:r>
    </w:p>
    <w:p w14:paraId="6860A9EC">
      <w:pPr>
        <w:pStyle w:val="6"/>
        <w:spacing w:before="163" w:after="163"/>
      </w:pPr>
      <w:r>
        <w:rPr>
          <w:rFonts w:hint="eastAsia"/>
        </w:rPr>
        <w:t>抗震规划</w:t>
      </w:r>
    </w:p>
    <w:p w14:paraId="72CE05ED">
      <w:pPr>
        <w:ind w:firstLine="600"/>
        <w:jc w:val="both"/>
        <w:rPr>
          <w:rFonts w:ascii="Times New Roman" w:hAnsi="Times New Roman" w:cs="Times New Roman"/>
        </w:rPr>
      </w:pPr>
      <w:r>
        <w:rPr>
          <w:rFonts w:hint="eastAsia" w:ascii="Times New Roman" w:hAnsi="Times New Roman" w:cs="Times New Roman"/>
        </w:rPr>
        <w:t>在规划区遭遇地震烈度</w:t>
      </w:r>
      <w:r>
        <w:rPr>
          <w:rFonts w:ascii="Times New Roman" w:hAnsi="Times New Roman" w:cs="Times New Roman"/>
        </w:rPr>
        <w:t>VI时，城市基础设施基本正常，一般建设工程可能发生破坏但基本不影响城市整体功能，重要工矿企业能很快恢复生产或运营。</w:t>
      </w:r>
    </w:p>
    <w:p w14:paraId="735F2145">
      <w:pPr>
        <w:ind w:firstLine="600"/>
        <w:jc w:val="both"/>
        <w:rPr>
          <w:rFonts w:ascii="Times New Roman" w:hAnsi="Times New Roman" w:cs="Times New Roman"/>
        </w:rPr>
      </w:pPr>
      <w:r>
        <w:rPr>
          <w:rFonts w:hint="eastAsia" w:ascii="Times New Roman" w:hAnsi="Times New Roman" w:cs="Times New Roman"/>
        </w:rPr>
        <w:t>根据《中国地震动参数区划图》（</w:t>
      </w:r>
      <w:r>
        <w:rPr>
          <w:rFonts w:ascii="Times New Roman" w:hAnsi="Times New Roman" w:cs="Times New Roman"/>
        </w:rPr>
        <w:t>GB18306</w:t>
      </w:r>
      <w:r>
        <w:rPr>
          <w:rFonts w:hint="eastAsia" w:ascii="仿宋_GB2312" w:hAnsi="Times New Roman" w:cs="Times New Roman"/>
        </w:rPr>
        <w:t>-</w:t>
      </w:r>
      <w:r>
        <w:rPr>
          <w:rFonts w:ascii="Times New Roman" w:hAnsi="Times New Roman" w:cs="Times New Roman"/>
        </w:rPr>
        <w:t>2015），规划区一般性建设工程抗震设防烈度应为VI度，Ⅱ类场地基本地震动峰值加速度0.05g。新建、改建、扩建的重大建设工程和可能发生严重次生灾害的重要建设工程，应严格</w:t>
      </w:r>
      <w:bookmarkStart w:id="2099" w:name="_Hlk142857179"/>
      <w:r>
        <w:rPr>
          <w:rFonts w:ascii="Times New Roman" w:hAnsi="Times New Roman" w:cs="Times New Roman"/>
        </w:rPr>
        <w:t>按照</w:t>
      </w:r>
      <w:r>
        <w:rPr>
          <w:rFonts w:hint="eastAsia" w:ascii="Times New Roman" w:hAnsi="Times New Roman" w:cs="Times New Roman"/>
        </w:rPr>
        <w:t>相关标准及规范</w:t>
      </w:r>
      <w:r>
        <w:rPr>
          <w:rFonts w:ascii="Times New Roman" w:hAnsi="Times New Roman" w:cs="Times New Roman"/>
        </w:rPr>
        <w:t>要求</w:t>
      </w:r>
      <w:bookmarkEnd w:id="2099"/>
      <w:r>
        <w:rPr>
          <w:rFonts w:ascii="Times New Roman" w:hAnsi="Times New Roman" w:cs="Times New Roman"/>
        </w:rPr>
        <w:t>，采取相应提高抗震能力的措施。新建、改建、扩建的需开展地震安全性评价的建设工程必须按照相关法律法规要求进行地震安全性评价，并按照审定的抗震设防要求进行抗震设防。</w:t>
      </w:r>
    </w:p>
    <w:p w14:paraId="6455E717">
      <w:pPr>
        <w:pStyle w:val="6"/>
        <w:spacing w:before="163" w:after="163"/>
      </w:pPr>
      <w:r>
        <w:t>地质灾害防治规划</w:t>
      </w:r>
    </w:p>
    <w:p w14:paraId="10AE32E2">
      <w:pPr>
        <w:ind w:firstLine="600"/>
        <w:jc w:val="both"/>
        <w:rPr>
          <w:rFonts w:ascii="Times New Roman" w:hAnsi="Times New Roman" w:cs="Times New Roman"/>
        </w:rPr>
      </w:pPr>
      <w:r>
        <w:rPr>
          <w:rFonts w:ascii="Times New Roman" w:hAnsi="Times New Roman" w:cs="Times New Roman"/>
        </w:rPr>
        <w:t>近期以有效控制人为诱发的地质灾害日益突出的趋势为目标；远期达到基本改变仁化地质灾害日趋严重的局面，全面降低全县地质灾害发生频率和损失。</w:t>
      </w:r>
    </w:p>
    <w:p w14:paraId="2DA923C1">
      <w:pPr>
        <w:ind w:firstLine="600"/>
        <w:jc w:val="both"/>
        <w:rPr>
          <w:rFonts w:ascii="Times New Roman" w:hAnsi="Times New Roman" w:cs="Times New Roman"/>
        </w:rPr>
      </w:pPr>
      <w:r>
        <w:rPr>
          <w:rFonts w:ascii="Times New Roman" w:hAnsi="Times New Roman" w:cs="Times New Roman"/>
        </w:rPr>
        <w:t>对地质灾害进行深入排查，并按轻重缓急次序防治</w:t>
      </w:r>
      <w:r>
        <w:rPr>
          <w:rFonts w:hint="eastAsia" w:ascii="Times New Roman" w:hAnsi="Times New Roman" w:cs="Times New Roman"/>
        </w:rPr>
        <w:t>，</w:t>
      </w:r>
      <w:r>
        <w:rPr>
          <w:rFonts w:ascii="Times New Roman" w:hAnsi="Times New Roman" w:cs="Times New Roman"/>
        </w:rPr>
        <w:t>加强国土空间开发利用管控，</w:t>
      </w:r>
      <w:r>
        <w:rPr>
          <w:rFonts w:hint="eastAsia" w:ascii="Times New Roman" w:hAnsi="Times New Roman" w:cs="Times New Roman"/>
        </w:rPr>
        <w:t>主要包括丹霞街道、周田、董塘、城口、长江、扶溪、闻韶、红山等镇（街）的崩塌及滑坡灾害易发区，石塘、董塘等镇的地面塌陷灾害易发区，红山、大桥等镇的地面沉降灾害易发区。</w:t>
      </w:r>
      <w:r>
        <w:rPr>
          <w:rFonts w:ascii="Times New Roman" w:hAnsi="Times New Roman" w:cs="Times New Roman"/>
        </w:rPr>
        <w:t>在地质灾害风险区开展建设行为前应进行灾害风险评估，控制不适宜的建设活动</w:t>
      </w:r>
      <w:r>
        <w:rPr>
          <w:rFonts w:hint="eastAsia" w:ascii="Times New Roman" w:hAnsi="Times New Roman" w:cs="Times New Roman"/>
        </w:rPr>
        <w:t>开展。</w:t>
      </w:r>
      <w:r>
        <w:rPr>
          <w:rFonts w:ascii="Times New Roman" w:hAnsi="Times New Roman" w:cs="Times New Roman"/>
        </w:rPr>
        <w:t>加强地质灾害防治知识教育，建立群测群防网络。</w:t>
      </w:r>
    </w:p>
    <w:p w14:paraId="2B3DCDEA">
      <w:pPr>
        <w:pStyle w:val="6"/>
        <w:spacing w:before="163" w:after="163"/>
      </w:pPr>
      <w:r>
        <w:rPr>
          <w:rFonts w:hint="eastAsia"/>
        </w:rPr>
        <w:t>消防规划</w:t>
      </w:r>
    </w:p>
    <w:p w14:paraId="0C23525B">
      <w:pPr>
        <w:ind w:firstLine="600"/>
        <w:jc w:val="both"/>
        <w:rPr>
          <w:rFonts w:ascii="Times New Roman" w:hAnsi="Times New Roman" w:cs="Times New Roman"/>
          <w:lang w:bidi="ar"/>
        </w:rPr>
      </w:pPr>
      <w:r>
        <w:rPr>
          <w:rFonts w:hint="eastAsia" w:ascii="Times New Roman" w:hAnsi="Times New Roman" w:cs="Times New Roman"/>
        </w:rPr>
        <w:t>城市建设</w:t>
      </w:r>
      <w:r>
        <w:rPr>
          <w:rFonts w:ascii="Times New Roman" w:hAnsi="Times New Roman" w:cs="Times New Roman"/>
        </w:rPr>
        <w:t>范围</w:t>
      </w:r>
      <w:r>
        <w:rPr>
          <w:rFonts w:hint="eastAsia" w:ascii="Times New Roman" w:hAnsi="Times New Roman" w:cs="Times New Roman"/>
        </w:rPr>
        <w:t>内按照接警后</w:t>
      </w:r>
      <w:r>
        <w:rPr>
          <w:rFonts w:ascii="Times New Roman" w:hAnsi="Times New Roman" w:cs="Times New Roman"/>
        </w:rPr>
        <w:t>5</w:t>
      </w:r>
      <w:r>
        <w:rPr>
          <w:rFonts w:hint="eastAsia" w:ascii="Times New Roman" w:hAnsi="Times New Roman" w:cs="Times New Roman"/>
        </w:rPr>
        <w:t>分钟内能到达辖区边缘为原则布局城市消防站，消防站辖区面积不应大于</w:t>
      </w:r>
      <w:r>
        <w:rPr>
          <w:rFonts w:ascii="Times New Roman" w:hAnsi="Times New Roman" w:cs="Times New Roman"/>
        </w:rPr>
        <w:t>7</w:t>
      </w:r>
      <w:r>
        <w:rPr>
          <w:rFonts w:hint="eastAsia" w:ascii="Times New Roman" w:hAnsi="Times New Roman" w:cs="Times New Roman"/>
        </w:rPr>
        <w:t>平方公里</w:t>
      </w:r>
      <w:r>
        <w:rPr>
          <w:rFonts w:ascii="Times New Roman" w:hAnsi="Times New Roman" w:cs="Times New Roman"/>
        </w:rPr>
        <w:t>。</w:t>
      </w:r>
      <w:r>
        <w:rPr>
          <w:rFonts w:hint="eastAsia" w:ascii="Times New Roman" w:hAnsi="Times New Roman" w:cs="Times New Roman"/>
        </w:rPr>
        <w:t>商业密集区、耐火等级低的建筑密集区、老城区、历史地段根据需要补充建设小型消防站</w:t>
      </w:r>
      <w:r>
        <w:rPr>
          <w:rFonts w:ascii="Times New Roman" w:hAnsi="Times New Roman" w:cs="Times New Roman"/>
        </w:rPr>
        <w:t>；</w:t>
      </w:r>
      <w:r>
        <w:rPr>
          <w:rFonts w:ascii="Times New Roman" w:hAnsi="Times New Roman" w:cs="Times New Roman"/>
          <w:lang w:bidi="ar"/>
        </w:rPr>
        <w:t>各镇逐步增加和完善政府专职消防队；</w:t>
      </w:r>
      <w:r>
        <w:rPr>
          <w:rFonts w:ascii="Times New Roman" w:hAnsi="Times New Roman" w:cs="Times New Roman"/>
        </w:rPr>
        <w:t>农村居民点配备必要的消</w:t>
      </w:r>
      <w:r>
        <w:rPr>
          <w:rFonts w:hint="eastAsia" w:ascii="Times New Roman" w:hAnsi="Times New Roman" w:cs="Times New Roman"/>
          <w:lang w:bidi="ar"/>
        </w:rPr>
        <w:t>防设施。</w:t>
      </w:r>
    </w:p>
    <w:p w14:paraId="132D89A7">
      <w:pPr>
        <w:pStyle w:val="6"/>
        <w:spacing w:before="163" w:after="163"/>
      </w:pPr>
      <w:r>
        <w:rPr>
          <w:rFonts w:hint="eastAsia"/>
        </w:rPr>
        <w:t>人防工程规划</w:t>
      </w:r>
    </w:p>
    <w:p w14:paraId="6EC3F1A1">
      <w:pPr>
        <w:ind w:firstLine="600"/>
        <w:jc w:val="both"/>
        <w:rPr>
          <w:rFonts w:ascii="Times New Roman" w:hAnsi="Times New Roman" w:cs="Times New Roman"/>
        </w:rPr>
      </w:pPr>
      <w:r>
        <w:rPr>
          <w:rFonts w:ascii="Times New Roman" w:hAnsi="Times New Roman" w:cs="Times New Roman"/>
        </w:rPr>
        <w:t>以三类人防重点城市为标准，以平战结合</w:t>
      </w:r>
      <w:r>
        <w:rPr>
          <w:rFonts w:hint="eastAsia" w:ascii="Times New Roman" w:hAnsi="Times New Roman" w:cs="Times New Roman"/>
        </w:rPr>
        <w:t>、</w:t>
      </w:r>
      <w:r>
        <w:rPr>
          <w:rFonts w:ascii="Times New Roman" w:hAnsi="Times New Roman" w:cs="Times New Roman"/>
        </w:rPr>
        <w:t>平急结合为原则，构筑全面完善的人防总体防护体系和工程体系。</w:t>
      </w:r>
    </w:p>
    <w:p w14:paraId="6A329D6E">
      <w:pPr>
        <w:ind w:firstLine="600"/>
        <w:jc w:val="both"/>
        <w:rPr>
          <w:rFonts w:ascii="Times New Roman" w:hAnsi="Times New Roman" w:cs="Times New Roman"/>
          <w:highlight w:val="yellow"/>
        </w:rPr>
      </w:pPr>
      <w:r>
        <w:rPr>
          <w:rFonts w:hint="eastAsia" w:ascii="Times New Roman" w:hAnsi="Times New Roman" w:cs="Times New Roman"/>
        </w:rPr>
        <w:t>分类布局建设符合不同功能区要求的城市人防工程设施，人防工程互联互通，构建完整的城市地下防护网络体系。综合管廊、大型地下空间、通道或隧道等其他地下设施应兼顾人民防空要求，除单建人防工程、地下市政工程、综合管廊外，其他独立开发地下空间项目应按照不少于</w:t>
      </w:r>
      <w:r>
        <w:rPr>
          <w:rFonts w:ascii="Times New Roman" w:hAnsi="Times New Roman" w:cs="Times New Roman"/>
        </w:rPr>
        <w:t>30%的标准修建兼顾设防人民防空工程。规划建设1处人防指挥工程；</w:t>
      </w:r>
      <w:r>
        <w:rPr>
          <w:rFonts w:hint="eastAsia" w:ascii="Times New Roman" w:hAnsi="Times New Roman" w:cs="Times New Roman"/>
        </w:rPr>
        <w:t>按人均</w:t>
      </w:r>
      <w:r>
        <w:rPr>
          <w:rFonts w:ascii="Times New Roman" w:hAnsi="Times New Roman" w:cs="Times New Roman"/>
        </w:rPr>
        <w:t>1平方米的标准建设防护避难工程</w:t>
      </w:r>
      <w:r>
        <w:rPr>
          <w:rFonts w:hint="eastAsia" w:ascii="Times New Roman" w:hAnsi="Times New Roman" w:cs="Times New Roman"/>
        </w:rPr>
        <w:t>，人防设施具体标准下一步在人防工程建设专项规划中落实</w:t>
      </w:r>
      <w:r>
        <w:rPr>
          <w:rFonts w:ascii="Times New Roman" w:hAnsi="Times New Roman" w:cs="Times New Roman"/>
        </w:rPr>
        <w:t>；合理配备指挥工程、医疗救护工程、防空专业队工程、人员掩蔽工程和配套工程；形成以指挥工程为核心，以人员掩蔽工程为主体，其他工程为保障的人防工程体系。</w:t>
      </w:r>
    </w:p>
    <w:p w14:paraId="18673876">
      <w:pPr>
        <w:pStyle w:val="6"/>
        <w:spacing w:before="163" w:after="163"/>
      </w:pPr>
      <w:r>
        <w:t>气象防灾减灾</w:t>
      </w:r>
      <w:r>
        <w:rPr>
          <w:rFonts w:hint="eastAsia"/>
        </w:rPr>
        <w:t>规划</w:t>
      </w:r>
    </w:p>
    <w:p w14:paraId="58E45016">
      <w:pPr>
        <w:widowControl/>
        <w:ind w:firstLine="600"/>
        <w:rPr>
          <w:rFonts w:ascii="Times New Roman" w:hAnsi="Times New Roman" w:cs="Times New Roman"/>
        </w:rPr>
      </w:pPr>
      <w:r>
        <w:rPr>
          <w:rFonts w:hint="eastAsia" w:ascii="Times New Roman" w:hAnsi="Times New Roman" w:cs="Times New Roman"/>
        </w:rPr>
        <w:t>建设信息</w:t>
      </w:r>
      <w:r>
        <w:rPr>
          <w:rFonts w:ascii="仿宋_GB2312" w:cs="仿宋_GB2312"/>
          <w:color w:val="000000"/>
          <w:kern w:val="0"/>
          <w:szCs w:val="30"/>
          <w:lang w:bidi="ar"/>
        </w:rPr>
        <w:t>开放共享、多源数据融合、</w:t>
      </w:r>
      <w:r>
        <w:rPr>
          <w:rFonts w:hint="eastAsia" w:ascii="仿宋_GB2312" w:cs="仿宋_GB2312"/>
          <w:color w:val="000000"/>
          <w:kern w:val="0"/>
          <w:szCs w:val="30"/>
          <w:lang w:bidi="ar"/>
        </w:rPr>
        <w:t>应急处置</w:t>
      </w:r>
      <w:r>
        <w:rPr>
          <w:rFonts w:ascii="仿宋_GB2312" w:cs="仿宋_GB2312"/>
          <w:color w:val="000000"/>
          <w:kern w:val="0"/>
          <w:szCs w:val="30"/>
          <w:lang w:bidi="ar"/>
        </w:rPr>
        <w:t>高效便捷</w:t>
      </w:r>
      <w:r>
        <w:rPr>
          <w:rFonts w:hint="eastAsia" w:ascii="仿宋_GB2312" w:cs="仿宋_GB2312"/>
          <w:color w:val="000000"/>
          <w:kern w:val="0"/>
          <w:szCs w:val="30"/>
          <w:lang w:bidi="ar"/>
        </w:rPr>
        <w:t>的</w:t>
      </w:r>
      <w:r>
        <w:rPr>
          <w:rFonts w:ascii="Times New Roman" w:hAnsi="Times New Roman" w:cs="Times New Roman"/>
        </w:rPr>
        <w:t>气象防灾减灾体系。</w:t>
      </w:r>
    </w:p>
    <w:p w14:paraId="3A228B17">
      <w:pPr>
        <w:widowControl/>
        <w:ind w:firstLine="600"/>
        <w:rPr>
          <w:rFonts w:ascii="仿宋_GB2312" w:cs="仿宋_GB2312"/>
          <w:color w:val="000000"/>
          <w:kern w:val="0"/>
          <w:szCs w:val="30"/>
          <w:lang w:bidi="ar"/>
        </w:rPr>
      </w:pPr>
      <w:r>
        <w:rPr>
          <w:rFonts w:hint="eastAsia" w:ascii="Times New Roman" w:hAnsi="Times New Roman" w:cs="Times New Roman"/>
        </w:rPr>
        <w:t>构建气象灾害应急预警和主动响应机制，完善突发事件预警信息发布系统，健全气象保障公共安全机制，重点增强应对主要分布在红山、石塘、董塘等镇的高危险台风致灾，主要分布在丹霞街道、闻韶、黄坑、周田等镇（街）的高危险暴雨致灾，主要分布在董塘镇的高危险干旱致灾，主要分布在大桥、周田、石塘、董塘等镇的高危险高温致灾以及主要分布在董塘、大桥等镇的高危险雷电灾害等重大气象灾害主动响应和联动处置的能力，</w:t>
      </w:r>
      <w:r>
        <w:rPr>
          <w:rFonts w:ascii="仿宋_GB2312" w:cs="仿宋_GB2312"/>
          <w:color w:val="000000"/>
          <w:kern w:val="0"/>
          <w:szCs w:val="30"/>
          <w:lang w:bidi="ar"/>
        </w:rPr>
        <w:t>构建</w:t>
      </w:r>
      <w:r>
        <w:rPr>
          <w:rFonts w:hint="eastAsia" w:ascii="仿宋_GB2312" w:cs="仿宋_GB2312"/>
          <w:color w:val="000000"/>
          <w:kern w:val="0"/>
          <w:szCs w:val="30"/>
          <w:lang w:bidi="ar"/>
        </w:rPr>
        <w:t>市</w:t>
      </w:r>
      <w:r>
        <w:rPr>
          <w:rFonts w:hint="eastAsia" w:ascii="仿宋_GB2312" w:hAnsi="仿宋" w:cs="仿宋_GB2312"/>
          <w:color w:val="000000"/>
          <w:kern w:val="0"/>
          <w:szCs w:val="30"/>
          <w:lang w:bidi="ar"/>
        </w:rPr>
        <w:t>—县—镇—村</w:t>
      </w:r>
      <w:r>
        <w:rPr>
          <w:rFonts w:hint="eastAsia" w:ascii="仿宋_GB2312" w:cs="仿宋_GB2312"/>
          <w:color w:val="000000"/>
          <w:kern w:val="0"/>
          <w:szCs w:val="30"/>
          <w:lang w:bidi="ar"/>
        </w:rPr>
        <w:t>相互衔接的突发事件预警信息发布平台</w:t>
      </w:r>
      <w:r>
        <w:rPr>
          <w:rFonts w:ascii="Times New Roman" w:hAnsi="Times New Roman" w:cs="Times New Roman"/>
        </w:rPr>
        <w:t>，提高气象灾害监测、预警、评估和信息发布能力，提高气象灾害防御及应急处置能力</w:t>
      </w:r>
      <w:r>
        <w:rPr>
          <w:rFonts w:hint="eastAsia" w:ascii="仿宋_GB2312" w:cs="仿宋_GB2312"/>
          <w:color w:val="000000"/>
          <w:kern w:val="0"/>
          <w:szCs w:val="30"/>
          <w:lang w:bidi="ar"/>
        </w:rPr>
        <w:t>。</w:t>
      </w:r>
    </w:p>
    <w:p w14:paraId="2BB5AAF8">
      <w:pPr>
        <w:pStyle w:val="6"/>
        <w:spacing w:before="163" w:after="163"/>
      </w:pPr>
      <w:r>
        <w:t>卫生防疫</w:t>
      </w:r>
      <w:r>
        <w:rPr>
          <w:rFonts w:hint="eastAsia"/>
        </w:rPr>
        <w:t>规划</w:t>
      </w:r>
    </w:p>
    <w:p w14:paraId="4D06AD47">
      <w:pPr>
        <w:ind w:firstLine="600"/>
        <w:rPr>
          <w:rFonts w:ascii="Times New Roman" w:hAnsi="Times New Roman" w:cs="Times New Roman"/>
        </w:rPr>
      </w:pPr>
      <w:r>
        <w:rPr>
          <w:rFonts w:hint="eastAsia" w:ascii="Times New Roman" w:hAnsi="Times New Roman" w:cs="Times New Roman"/>
        </w:rPr>
        <w:t>健全重大疫情救治体系，提高突发、重大传染病防控水平，防范化解重大公共卫生风险，提升应对突发公共卫生事件能力。</w:t>
      </w:r>
    </w:p>
    <w:p w14:paraId="49B5C58F">
      <w:pPr>
        <w:ind w:firstLine="600"/>
        <w:rPr>
          <w:rFonts w:eastAsia="宋体"/>
        </w:rPr>
      </w:pPr>
      <w:r>
        <w:rPr>
          <w:rFonts w:hint="eastAsia" w:ascii="Times New Roman" w:hAnsi="Times New Roman" w:cs="Times New Roman"/>
        </w:rPr>
        <w:t>加强仁化县发热门诊和感染性疾病哨点建设，完善突发急性传染病防治监测网络，结合广场、绿地等开敞空间，预留传染病防治设施等公共卫生防疫用地空间，为突发重大公共卫生事件提供医疗应急保障，推进公共设施平灾、平疫结合利用。</w:t>
      </w:r>
    </w:p>
    <w:p w14:paraId="0B1FB17E">
      <w:pPr>
        <w:pStyle w:val="6"/>
        <w:spacing w:before="163" w:after="163"/>
        <w:rPr>
          <w:rFonts w:eastAsia="宋体"/>
        </w:rPr>
      </w:pPr>
      <w:r>
        <w:rPr>
          <w:rFonts w:hint="eastAsia"/>
        </w:rPr>
        <w:t>应急避难体系规划</w:t>
      </w:r>
    </w:p>
    <w:p w14:paraId="0AF878D0">
      <w:pPr>
        <w:ind w:firstLine="600"/>
        <w:jc w:val="both"/>
        <w:rPr>
          <w:rFonts w:ascii="Times New Roman" w:hAnsi="Times New Roman" w:cs="Times New Roman"/>
        </w:rPr>
      </w:pPr>
      <w:r>
        <w:rPr>
          <w:rFonts w:hint="eastAsia" w:ascii="Times New Roman" w:hAnsi="Times New Roman" w:cs="Times New Roman"/>
        </w:rPr>
        <w:t>规划结合公园绿地、广场、学校操场等开敞空间和体育场馆等公共设施合理布局避难疏散场所，以15分钟社区生活圈为基础构建城市健康安全管理单元，完善应急空间网络。推进公共建筑及酒店、物流基地等“平急两用”公共基础设施建设，提升城市应急响应和应急保障能力。结合道路、抗震与人防的要求，设立疏散救援通道，构建以高速公路、国省道为主干疏散通道，以其他道路为补充的应急交通系统。与城市出入口、中心避震疏散场所、县政府抗震救灾指挥中心相连的救灾主干道有效宽度不小于</w:t>
      </w:r>
      <w:r>
        <w:rPr>
          <w:rFonts w:ascii="Times New Roman" w:hAnsi="Times New Roman" w:cs="Times New Roman"/>
        </w:rPr>
        <w:t>15</w:t>
      </w:r>
      <w:r>
        <w:rPr>
          <w:rFonts w:hint="eastAsia" w:ascii="Times New Roman" w:hAnsi="Times New Roman" w:cs="Times New Roman"/>
        </w:rPr>
        <w:t>米。</w:t>
      </w:r>
    </w:p>
    <w:p w14:paraId="61D2CBEE">
      <w:pPr>
        <w:ind w:firstLine="600"/>
        <w:jc w:val="both"/>
        <w:rPr>
          <w:rFonts w:ascii="Times New Roman" w:hAnsi="Times New Roman" w:cs="Times New Roman"/>
        </w:rPr>
      </w:pPr>
      <w:r>
        <w:rPr>
          <w:rFonts w:hint="eastAsia" w:ascii="Times New Roman" w:hAnsi="Times New Roman" w:cs="Times New Roman"/>
        </w:rPr>
        <w:t>严格按照国家、省的政策规定和文件要求，做好现有化工企业的生产管理工作，持续推进化工企业的安全整治和条件提升；引</w:t>
      </w:r>
      <w:r>
        <w:rPr>
          <w:rFonts w:ascii="Times New Roman" w:hAnsi="Times New Roman" w:cs="Times New Roman"/>
        </w:rPr>
        <w:t>导新建化工厂区高起点规划、高标准建设、高水平管理</w:t>
      </w:r>
      <w:r>
        <w:rPr>
          <w:rFonts w:hint="eastAsia" w:ascii="Times New Roman" w:hAnsi="Times New Roman" w:cs="Times New Roman"/>
        </w:rPr>
        <w:t>。预留大型危险品存储用地，科学划定安全防护和缓冲空间。加强易燃易爆、危险化学品、危险货物堆场、输油输气等重点行业、重点领域安全监管，禁止在安全防护距离内布局商业、居住、公共服务等设施，对不符合安全防护距离要求的危险化学品生产企业进行改造达标、搬迁或关闭退出。</w:t>
      </w:r>
    </w:p>
    <w:p w14:paraId="3EBB539C">
      <w:pPr>
        <w:pStyle w:val="4"/>
        <w:spacing w:before="326" w:after="326"/>
        <w:ind w:firstLine="726"/>
        <w:rPr>
          <w:b w:val="0"/>
          <w:bCs w:val="0"/>
          <w:color w:val="000000" w:themeColor="text1"/>
          <w14:textFill>
            <w14:solidFill>
              <w14:schemeClr w14:val="tx1"/>
            </w14:solidFill>
          </w14:textFill>
        </w:rPr>
      </w:pPr>
      <w:bookmarkStart w:id="2100" w:name="_Toc167271420"/>
      <w:r>
        <w:rPr>
          <w:rFonts w:hint="eastAsia"/>
          <w:b w:val="0"/>
          <w:bCs w:val="0"/>
          <w:color w:val="000000" w:themeColor="text1"/>
          <w14:textFill>
            <w14:solidFill>
              <w14:schemeClr w14:val="tx1"/>
            </w14:solidFill>
          </w14:textFill>
        </w:rPr>
        <w:t>统筹全域自然资源</w:t>
      </w:r>
      <w:bookmarkEnd w:id="1552"/>
      <w:r>
        <w:rPr>
          <w:rFonts w:hint="eastAsia"/>
          <w:b w:val="0"/>
          <w:bCs w:val="0"/>
          <w:color w:val="000000" w:themeColor="text1"/>
          <w14:textFill>
            <w14:solidFill>
              <w14:schemeClr w14:val="tx1"/>
            </w14:solidFill>
          </w14:textFill>
        </w:rPr>
        <w:t>保护利用</w:t>
      </w:r>
      <w:bookmarkEnd w:id="2035"/>
      <w:bookmarkEnd w:id="2036"/>
      <w:bookmarkEnd w:id="2037"/>
      <w:bookmarkEnd w:id="2100"/>
    </w:p>
    <w:p w14:paraId="429D8D5A">
      <w:pPr>
        <w:pStyle w:val="5"/>
        <w:numPr>
          <w:ilvl w:val="1"/>
          <w:numId w:val="13"/>
        </w:numPr>
        <w:spacing w:before="163" w:after="163"/>
        <w:rPr>
          <w:b/>
        </w:rPr>
      </w:pPr>
      <w:bookmarkStart w:id="2101" w:name="_Toc143356645"/>
      <w:bookmarkEnd w:id="2101"/>
      <w:bookmarkStart w:id="2102" w:name="_Toc143357527"/>
      <w:bookmarkEnd w:id="2102"/>
      <w:bookmarkStart w:id="2103" w:name="_Toc143358690"/>
      <w:bookmarkEnd w:id="2103"/>
      <w:bookmarkStart w:id="2104" w:name="_Toc143099440"/>
      <w:bookmarkEnd w:id="2104"/>
      <w:bookmarkStart w:id="2105" w:name="_Toc143352794"/>
      <w:bookmarkEnd w:id="2105"/>
      <w:bookmarkStart w:id="2106" w:name="_Toc143099154"/>
      <w:bookmarkEnd w:id="2106"/>
      <w:bookmarkStart w:id="2107" w:name="_Toc143354912"/>
      <w:bookmarkEnd w:id="2107"/>
      <w:bookmarkStart w:id="2108" w:name="_Toc143353088"/>
      <w:bookmarkEnd w:id="2108"/>
      <w:bookmarkStart w:id="2109" w:name="_Toc143354341"/>
      <w:bookmarkEnd w:id="2109"/>
      <w:bookmarkStart w:id="2110" w:name="_Toc143357242"/>
      <w:bookmarkEnd w:id="2110"/>
      <w:bookmarkStart w:id="2111" w:name="_Toc143357818"/>
      <w:bookmarkEnd w:id="2111"/>
      <w:bookmarkStart w:id="2112" w:name="_Toc143260851"/>
      <w:bookmarkEnd w:id="2112"/>
      <w:bookmarkStart w:id="2113" w:name="_Toc143099159"/>
      <w:bookmarkEnd w:id="2113"/>
      <w:bookmarkStart w:id="2114" w:name="_Toc143355776"/>
      <w:bookmarkEnd w:id="2114"/>
      <w:bookmarkStart w:id="2115" w:name="_Toc143260849"/>
      <w:bookmarkEnd w:id="2115"/>
      <w:bookmarkStart w:id="2116" w:name="_Toc143356354"/>
      <w:bookmarkEnd w:id="2116"/>
      <w:bookmarkStart w:id="2117" w:name="_Toc143099160"/>
      <w:bookmarkEnd w:id="2117"/>
      <w:bookmarkStart w:id="2118" w:name="_Toc143353768"/>
      <w:bookmarkEnd w:id="2118"/>
      <w:bookmarkStart w:id="2119" w:name="_Toc143354628"/>
      <w:bookmarkEnd w:id="2119"/>
      <w:bookmarkStart w:id="2120" w:name="_Toc143355775"/>
      <w:bookmarkEnd w:id="2120"/>
      <w:bookmarkStart w:id="2121" w:name="_Toc143357240"/>
      <w:bookmarkEnd w:id="2121"/>
      <w:bookmarkStart w:id="2122" w:name="_Toc142858897"/>
      <w:bookmarkEnd w:id="2122"/>
      <w:bookmarkStart w:id="2123" w:name="_Toc143354625"/>
      <w:bookmarkEnd w:id="2123"/>
      <w:bookmarkStart w:id="2124" w:name="_Toc143356643"/>
      <w:bookmarkEnd w:id="2124"/>
      <w:bookmarkStart w:id="2125" w:name="_Toc143357820"/>
      <w:bookmarkEnd w:id="2125"/>
      <w:bookmarkStart w:id="2126" w:name="_Toc143358403"/>
      <w:bookmarkEnd w:id="2126"/>
      <w:bookmarkStart w:id="2127" w:name="_Toc143358693"/>
      <w:bookmarkEnd w:id="2127"/>
      <w:bookmarkStart w:id="2128" w:name="_Toc143260848"/>
      <w:bookmarkEnd w:id="2128"/>
      <w:bookmarkStart w:id="2129" w:name="_Toc143353767"/>
      <w:bookmarkEnd w:id="2129"/>
      <w:bookmarkStart w:id="2130" w:name="_Toc143353087"/>
      <w:bookmarkEnd w:id="2130"/>
      <w:bookmarkStart w:id="2131" w:name="_Toc143260850"/>
      <w:bookmarkEnd w:id="2131"/>
      <w:bookmarkStart w:id="2132" w:name="_Toc142858900"/>
      <w:bookmarkEnd w:id="2132"/>
      <w:bookmarkStart w:id="2133" w:name="_Toc143352796"/>
      <w:bookmarkEnd w:id="2133"/>
      <w:bookmarkStart w:id="2134" w:name="_Toc143358110"/>
      <w:bookmarkEnd w:id="2134"/>
      <w:bookmarkStart w:id="2135" w:name="_Toc143358399"/>
      <w:bookmarkEnd w:id="2135"/>
      <w:bookmarkStart w:id="2136" w:name="_Toc143356950"/>
      <w:bookmarkEnd w:id="2136"/>
      <w:bookmarkStart w:id="2137" w:name="_Toc143356647"/>
      <w:bookmarkEnd w:id="2137"/>
      <w:bookmarkStart w:id="2138" w:name="_Toc143358402"/>
      <w:bookmarkEnd w:id="2138"/>
      <w:bookmarkStart w:id="2139" w:name="_Toc143353765"/>
      <w:bookmarkEnd w:id="2139"/>
      <w:bookmarkStart w:id="2140" w:name="_Toc143353089"/>
      <w:bookmarkEnd w:id="2140"/>
      <w:bookmarkStart w:id="2141" w:name="_Toc143356063"/>
      <w:bookmarkEnd w:id="2141"/>
      <w:bookmarkStart w:id="2142" w:name="_Toc143358113"/>
      <w:bookmarkEnd w:id="2142"/>
      <w:bookmarkStart w:id="2143" w:name="_Toc143354911"/>
      <w:bookmarkEnd w:id="2143"/>
      <w:bookmarkStart w:id="2144" w:name="_Toc143354343"/>
      <w:bookmarkEnd w:id="2144"/>
      <w:bookmarkStart w:id="2145" w:name="_Toc143355196"/>
      <w:bookmarkEnd w:id="2145"/>
      <w:bookmarkStart w:id="2146" w:name="_Toc143357238"/>
      <w:bookmarkEnd w:id="2146"/>
      <w:bookmarkStart w:id="2147" w:name="_Toc143355485"/>
      <w:bookmarkEnd w:id="2147"/>
      <w:bookmarkStart w:id="2148" w:name="_Toc143357529"/>
      <w:bookmarkEnd w:id="2148"/>
      <w:bookmarkStart w:id="2149" w:name="_Toc143354630"/>
      <w:bookmarkEnd w:id="2149"/>
      <w:bookmarkStart w:id="2150" w:name="_Toc143356355"/>
      <w:bookmarkEnd w:id="2150"/>
      <w:bookmarkStart w:id="2151" w:name="_Toc143354910"/>
      <w:bookmarkEnd w:id="2151"/>
      <w:bookmarkStart w:id="2152" w:name="_Toc143357528"/>
      <w:bookmarkEnd w:id="2152"/>
      <w:bookmarkStart w:id="2153" w:name="_Toc143099445"/>
      <w:bookmarkEnd w:id="2153"/>
      <w:bookmarkStart w:id="2154" w:name="_Toc143355774"/>
      <w:bookmarkEnd w:id="2154"/>
      <w:bookmarkStart w:id="2155" w:name="_Toc143358692"/>
      <w:bookmarkEnd w:id="2155"/>
      <w:bookmarkStart w:id="2156" w:name="_Toc143354631"/>
      <w:bookmarkEnd w:id="2156"/>
      <w:bookmarkStart w:id="2157" w:name="_Toc143356947"/>
      <w:bookmarkEnd w:id="2157"/>
      <w:bookmarkStart w:id="2158" w:name="_Toc143357824"/>
      <w:bookmarkEnd w:id="2158"/>
      <w:bookmarkStart w:id="2159" w:name="_Toc143358111"/>
      <w:bookmarkEnd w:id="2159"/>
      <w:bookmarkStart w:id="2160" w:name="_Toc143357530"/>
      <w:bookmarkEnd w:id="2160"/>
      <w:bookmarkStart w:id="2161" w:name="_Toc143356650"/>
      <w:bookmarkEnd w:id="2161"/>
      <w:bookmarkStart w:id="2162" w:name="_Toc143099439"/>
      <w:bookmarkEnd w:id="2162"/>
      <w:bookmarkStart w:id="2163" w:name="_Toc143354627"/>
      <w:bookmarkEnd w:id="2163"/>
      <w:bookmarkStart w:id="2164" w:name="_Toc143357822"/>
      <w:bookmarkEnd w:id="2164"/>
      <w:bookmarkStart w:id="2165" w:name="_Toc143354626"/>
      <w:bookmarkEnd w:id="2165"/>
      <w:bookmarkStart w:id="2166" w:name="_Toc143355484"/>
      <w:bookmarkEnd w:id="2166"/>
      <w:bookmarkStart w:id="2167" w:name="_Toc143355488"/>
      <w:bookmarkEnd w:id="2167"/>
      <w:bookmarkStart w:id="2168" w:name="_Toc143355197"/>
      <w:bookmarkEnd w:id="2168"/>
      <w:bookmarkStart w:id="2169" w:name="_Toc143356067"/>
      <w:bookmarkEnd w:id="2169"/>
      <w:bookmarkStart w:id="2170" w:name="_Toc143353772"/>
      <w:bookmarkEnd w:id="2170"/>
      <w:bookmarkStart w:id="2171" w:name="_Toc143353769"/>
      <w:bookmarkEnd w:id="2171"/>
      <w:bookmarkStart w:id="2172" w:name="_Toc143353770"/>
      <w:bookmarkEnd w:id="2172"/>
      <w:bookmarkStart w:id="2173" w:name="_Toc143354057"/>
      <w:bookmarkEnd w:id="2173"/>
      <w:bookmarkStart w:id="2174" w:name="_Toc143356948"/>
      <w:bookmarkEnd w:id="2174"/>
      <w:bookmarkStart w:id="2175" w:name="_Toc143358404"/>
      <w:bookmarkEnd w:id="2175"/>
      <w:bookmarkStart w:id="2176" w:name="_Toc143352793"/>
      <w:bookmarkEnd w:id="2176"/>
      <w:bookmarkStart w:id="2177" w:name="_Toc143353093"/>
      <w:bookmarkEnd w:id="2177"/>
      <w:bookmarkStart w:id="2178" w:name="_Toc143354342"/>
      <w:bookmarkEnd w:id="2178"/>
      <w:bookmarkStart w:id="2179" w:name="_Toc143099158"/>
      <w:bookmarkEnd w:id="2179"/>
      <w:bookmarkStart w:id="2180" w:name="_Toc143354058"/>
      <w:bookmarkEnd w:id="2180"/>
      <w:bookmarkStart w:id="2181" w:name="_Toc143353090"/>
      <w:bookmarkEnd w:id="2181"/>
      <w:bookmarkStart w:id="2182" w:name="_Toc143099444"/>
      <w:bookmarkEnd w:id="2182"/>
      <w:bookmarkStart w:id="2183" w:name="_Toc142858896"/>
      <w:bookmarkEnd w:id="2183"/>
      <w:bookmarkStart w:id="2184" w:name="_Toc143356644"/>
      <w:bookmarkEnd w:id="2184"/>
      <w:bookmarkStart w:id="2185" w:name="_Toc143358114"/>
      <w:bookmarkEnd w:id="2185"/>
      <w:bookmarkStart w:id="2186" w:name="_Toc143352795"/>
      <w:bookmarkEnd w:id="2186"/>
      <w:bookmarkStart w:id="2187" w:name="_Toc143355195"/>
      <w:bookmarkEnd w:id="2187"/>
      <w:bookmarkStart w:id="2188" w:name="_Toc143354056"/>
      <w:bookmarkEnd w:id="2188"/>
      <w:bookmarkStart w:id="2189" w:name="_Toc143099443"/>
      <w:bookmarkEnd w:id="2189"/>
      <w:bookmarkStart w:id="2190" w:name="_Toc143357531"/>
      <w:bookmarkEnd w:id="2190"/>
      <w:bookmarkStart w:id="2191" w:name="_Toc143354345"/>
      <w:bookmarkEnd w:id="2191"/>
      <w:bookmarkStart w:id="2192" w:name="_Toc143358694"/>
      <w:bookmarkEnd w:id="2192"/>
      <w:bookmarkStart w:id="2193" w:name="_Toc143356951"/>
      <w:bookmarkEnd w:id="2193"/>
      <w:bookmarkStart w:id="2194" w:name="_Toc143354051"/>
      <w:bookmarkEnd w:id="2194"/>
      <w:bookmarkStart w:id="2195" w:name="_Toc143099441"/>
      <w:bookmarkEnd w:id="2195"/>
      <w:bookmarkStart w:id="2196" w:name="_Toc143357244"/>
      <w:bookmarkEnd w:id="2196"/>
      <w:bookmarkStart w:id="2197" w:name="_Toc143354052"/>
      <w:bookmarkEnd w:id="2197"/>
      <w:bookmarkStart w:id="2198" w:name="_Toc143353771"/>
      <w:bookmarkEnd w:id="2198"/>
      <w:bookmarkStart w:id="2199" w:name="_Toc143354348"/>
      <w:bookmarkEnd w:id="2199"/>
      <w:bookmarkStart w:id="2200" w:name="_Toc143356357"/>
      <w:bookmarkEnd w:id="2200"/>
      <w:bookmarkStart w:id="2201" w:name="_Toc143358695"/>
      <w:bookmarkEnd w:id="2201"/>
      <w:bookmarkStart w:id="2202" w:name="_Toc142858901"/>
      <w:bookmarkEnd w:id="2202"/>
      <w:bookmarkStart w:id="2203" w:name="_Toc143358691"/>
      <w:bookmarkEnd w:id="2203"/>
      <w:bookmarkStart w:id="2204" w:name="_Toc143354054"/>
      <w:bookmarkEnd w:id="2204"/>
      <w:bookmarkStart w:id="2205" w:name="_Toc143357239"/>
      <w:bookmarkEnd w:id="2205"/>
      <w:bookmarkStart w:id="2206" w:name="_Toc143357826"/>
      <w:bookmarkEnd w:id="2206"/>
      <w:bookmarkStart w:id="2207" w:name="_Toc142858899"/>
      <w:bookmarkEnd w:id="2207"/>
      <w:bookmarkStart w:id="2208" w:name="_Toc143354914"/>
      <w:bookmarkEnd w:id="2208"/>
      <w:bookmarkStart w:id="2209" w:name="_Toc143355777"/>
      <w:bookmarkEnd w:id="2209"/>
      <w:bookmarkStart w:id="2210" w:name="_Toc143354053"/>
      <w:bookmarkEnd w:id="2210"/>
      <w:bookmarkStart w:id="2211" w:name="_Toc143354633"/>
      <w:bookmarkEnd w:id="2211"/>
      <w:bookmarkStart w:id="2212" w:name="_Toc143354915"/>
      <w:bookmarkEnd w:id="2212"/>
      <w:bookmarkStart w:id="2213" w:name="_Toc143354917"/>
      <w:bookmarkEnd w:id="2213"/>
      <w:bookmarkStart w:id="2214" w:name="_Toc143356065"/>
      <w:bookmarkEnd w:id="2214"/>
      <w:bookmarkStart w:id="2215" w:name="_Toc143358400"/>
      <w:bookmarkEnd w:id="2215"/>
      <w:bookmarkStart w:id="2216" w:name="_Toc143099161"/>
      <w:bookmarkEnd w:id="2216"/>
      <w:bookmarkStart w:id="2217" w:name="_Toc143354059"/>
      <w:bookmarkEnd w:id="2217"/>
      <w:bookmarkStart w:id="2218" w:name="_Toc143356064"/>
      <w:bookmarkEnd w:id="2218"/>
      <w:bookmarkStart w:id="2219" w:name="_Toc143099155"/>
      <w:bookmarkEnd w:id="2219"/>
      <w:bookmarkStart w:id="2220" w:name="_Toc143354349"/>
      <w:bookmarkEnd w:id="2220"/>
      <w:bookmarkStart w:id="2221" w:name="_Toc143354632"/>
      <w:bookmarkEnd w:id="2221"/>
      <w:bookmarkStart w:id="2222" w:name="_Toc143355487"/>
      <w:bookmarkEnd w:id="2222"/>
      <w:bookmarkStart w:id="2223" w:name="_Toc143356360"/>
      <w:bookmarkEnd w:id="2223"/>
      <w:bookmarkStart w:id="2224" w:name="_Toc143354055"/>
      <w:bookmarkEnd w:id="2224"/>
      <w:bookmarkStart w:id="2225" w:name="_Toc143357535"/>
      <w:bookmarkEnd w:id="2225"/>
      <w:bookmarkStart w:id="2226" w:name="_Toc143355490"/>
      <w:bookmarkEnd w:id="2226"/>
      <w:bookmarkStart w:id="2227" w:name="_Toc143356353"/>
      <w:bookmarkEnd w:id="2227"/>
      <w:bookmarkStart w:id="2228" w:name="_Toc143352797"/>
      <w:bookmarkEnd w:id="2228"/>
      <w:bookmarkStart w:id="2229" w:name="_Toc143357533"/>
      <w:bookmarkEnd w:id="2229"/>
      <w:bookmarkStart w:id="2230" w:name="_Toc143355193"/>
      <w:bookmarkEnd w:id="2230"/>
      <w:bookmarkStart w:id="2231" w:name="_Toc143357534"/>
      <w:bookmarkEnd w:id="2231"/>
      <w:bookmarkStart w:id="2232" w:name="_Toc143356648"/>
      <w:bookmarkEnd w:id="2232"/>
      <w:bookmarkStart w:id="2233" w:name="_Toc143356361"/>
      <w:bookmarkEnd w:id="2233"/>
      <w:bookmarkStart w:id="2234" w:name="_Toc143355778"/>
      <w:bookmarkEnd w:id="2234"/>
      <w:bookmarkStart w:id="2235" w:name="_Toc143354909"/>
      <w:bookmarkEnd w:id="2235"/>
      <w:bookmarkStart w:id="2236" w:name="_Toc143354629"/>
      <w:bookmarkEnd w:id="2236"/>
      <w:bookmarkStart w:id="2237" w:name="_Toc143355773"/>
      <w:bookmarkEnd w:id="2237"/>
      <w:bookmarkStart w:id="2238" w:name="_Toc143352798"/>
      <w:bookmarkEnd w:id="2238"/>
      <w:bookmarkStart w:id="2239" w:name="_Toc143357819"/>
      <w:bookmarkEnd w:id="2239"/>
      <w:bookmarkStart w:id="2240" w:name="_Toc143356069"/>
      <w:bookmarkEnd w:id="2240"/>
      <w:bookmarkStart w:id="2241" w:name="_Toc143352799"/>
      <w:bookmarkEnd w:id="2241"/>
      <w:bookmarkStart w:id="2242" w:name="_Toc142858904"/>
      <w:bookmarkEnd w:id="2242"/>
      <w:bookmarkStart w:id="2243" w:name="_Toc143355489"/>
      <w:bookmarkEnd w:id="2243"/>
      <w:bookmarkStart w:id="2244" w:name="_Toc143355201"/>
      <w:bookmarkEnd w:id="2244"/>
      <w:bookmarkStart w:id="2245" w:name="_Toc143353766"/>
      <w:bookmarkEnd w:id="2245"/>
      <w:bookmarkStart w:id="2246" w:name="_Toc143357241"/>
      <w:bookmarkEnd w:id="2246"/>
      <w:bookmarkStart w:id="2247" w:name="_Toc143355198"/>
      <w:bookmarkEnd w:id="2247"/>
      <w:bookmarkStart w:id="2248" w:name="_Toc143099162"/>
      <w:bookmarkEnd w:id="2248"/>
      <w:bookmarkStart w:id="2249" w:name="_Toc143358116"/>
      <w:bookmarkEnd w:id="2249"/>
      <w:bookmarkStart w:id="2250" w:name="_Toc143357823"/>
      <w:bookmarkEnd w:id="2250"/>
      <w:bookmarkStart w:id="2251" w:name="_Toc143355199"/>
      <w:bookmarkEnd w:id="2251"/>
      <w:bookmarkStart w:id="2252" w:name="_Toc143356358"/>
      <w:bookmarkEnd w:id="2252"/>
      <w:bookmarkStart w:id="2253" w:name="_Toc143358117"/>
      <w:bookmarkEnd w:id="2253"/>
      <w:bookmarkStart w:id="2254" w:name="_Toc143358115"/>
      <w:bookmarkEnd w:id="2254"/>
      <w:bookmarkStart w:id="2255" w:name="_Toc143355779"/>
      <w:bookmarkEnd w:id="2255"/>
      <w:bookmarkStart w:id="2256" w:name="_Toc143099156"/>
      <w:bookmarkEnd w:id="2256"/>
      <w:bookmarkStart w:id="2257" w:name="_Toc143356649"/>
      <w:bookmarkEnd w:id="2257"/>
      <w:bookmarkStart w:id="2258" w:name="_Toc143099447"/>
      <w:bookmarkEnd w:id="2258"/>
      <w:bookmarkStart w:id="2259" w:name="_Toc143355780"/>
      <w:bookmarkEnd w:id="2259"/>
      <w:bookmarkStart w:id="2260" w:name="_Toc143354916"/>
      <w:bookmarkEnd w:id="2260"/>
      <w:bookmarkStart w:id="2261" w:name="_Toc143357245"/>
      <w:bookmarkEnd w:id="2261"/>
      <w:bookmarkStart w:id="2262" w:name="_Toc142858902"/>
      <w:bookmarkEnd w:id="2262"/>
      <w:bookmarkStart w:id="2263" w:name="_Toc143355483"/>
      <w:bookmarkEnd w:id="2263"/>
      <w:bookmarkStart w:id="2264" w:name="_Toc143354913"/>
      <w:bookmarkEnd w:id="2264"/>
      <w:bookmarkStart w:id="2265" w:name="_Toc143356953"/>
      <w:bookmarkEnd w:id="2265"/>
      <w:bookmarkStart w:id="2266" w:name="_Toc143355781"/>
      <w:bookmarkEnd w:id="2266"/>
      <w:bookmarkStart w:id="2267" w:name="_Toc143353094"/>
      <w:bookmarkEnd w:id="2267"/>
      <w:bookmarkStart w:id="2268" w:name="_Toc143260852"/>
      <w:bookmarkEnd w:id="2268"/>
      <w:bookmarkStart w:id="2269" w:name="_Toc142858903"/>
      <w:bookmarkEnd w:id="2269"/>
      <w:bookmarkStart w:id="2270" w:name="_Toc143358698"/>
      <w:bookmarkEnd w:id="2270"/>
      <w:bookmarkStart w:id="2271" w:name="_Toc143353773"/>
      <w:bookmarkEnd w:id="2271"/>
      <w:bookmarkStart w:id="2272" w:name="_Toc143358405"/>
      <w:bookmarkEnd w:id="2272"/>
      <w:bookmarkStart w:id="2273" w:name="_Toc143358406"/>
      <w:bookmarkEnd w:id="2273"/>
      <w:bookmarkStart w:id="2274" w:name="_Toc143356359"/>
      <w:bookmarkEnd w:id="2274"/>
      <w:bookmarkStart w:id="2275" w:name="_Toc143358112"/>
      <w:bookmarkEnd w:id="2275"/>
      <w:bookmarkStart w:id="2276" w:name="_Toc143356646"/>
      <w:bookmarkEnd w:id="2276"/>
      <w:bookmarkStart w:id="2277" w:name="_Toc143355200"/>
      <w:bookmarkEnd w:id="2277"/>
      <w:bookmarkStart w:id="2278" w:name="_Toc143356949"/>
      <w:bookmarkEnd w:id="2278"/>
      <w:bookmarkStart w:id="2279" w:name="_Toc143355194"/>
      <w:bookmarkEnd w:id="2279"/>
      <w:bookmarkStart w:id="2280" w:name="_Toc143355491"/>
      <w:bookmarkEnd w:id="2280"/>
      <w:bookmarkStart w:id="2281" w:name="_Toc143358696"/>
      <w:bookmarkEnd w:id="2281"/>
      <w:bookmarkStart w:id="2282" w:name="_Toc143260847"/>
      <w:bookmarkEnd w:id="2282"/>
      <w:bookmarkStart w:id="2283" w:name="_Toc143357825"/>
      <w:bookmarkEnd w:id="2283"/>
      <w:bookmarkStart w:id="2284" w:name="_Toc143352791"/>
      <w:bookmarkEnd w:id="2284"/>
      <w:bookmarkStart w:id="2285" w:name="_Toc143356651"/>
      <w:bookmarkEnd w:id="2285"/>
      <w:bookmarkStart w:id="2286" w:name="_Toc143099442"/>
      <w:bookmarkEnd w:id="2286"/>
      <w:bookmarkStart w:id="2287" w:name="_Toc143354347"/>
      <w:bookmarkEnd w:id="2287"/>
      <w:bookmarkStart w:id="2288" w:name="_Toc143358697"/>
      <w:bookmarkEnd w:id="2288"/>
      <w:bookmarkStart w:id="2289" w:name="_Toc143099446"/>
      <w:bookmarkEnd w:id="2289"/>
      <w:bookmarkStart w:id="2290" w:name="_Toc143260853"/>
      <w:bookmarkEnd w:id="2290"/>
      <w:bookmarkStart w:id="2291" w:name="_Toc143356952"/>
      <w:bookmarkEnd w:id="2291"/>
      <w:bookmarkStart w:id="2292" w:name="_Toc143356356"/>
      <w:bookmarkEnd w:id="2292"/>
      <w:bookmarkStart w:id="2293" w:name="_Toc143260854"/>
      <w:bookmarkEnd w:id="2293"/>
      <w:bookmarkStart w:id="2294" w:name="_Toc143260846"/>
      <w:bookmarkEnd w:id="2294"/>
      <w:bookmarkStart w:id="2295" w:name="_Toc143355486"/>
      <w:bookmarkEnd w:id="2295"/>
      <w:bookmarkStart w:id="2296" w:name="_Toc143356070"/>
      <w:bookmarkEnd w:id="2296"/>
      <w:bookmarkStart w:id="2297" w:name="_Toc143357237"/>
      <w:bookmarkEnd w:id="2297"/>
      <w:bookmarkStart w:id="2298" w:name="_Toc143356068"/>
      <w:bookmarkEnd w:id="2298"/>
      <w:bookmarkStart w:id="2299" w:name="_Toc143354346"/>
      <w:bookmarkEnd w:id="2299"/>
      <w:bookmarkStart w:id="2300" w:name="_Toc143356071"/>
      <w:bookmarkEnd w:id="2300"/>
      <w:bookmarkStart w:id="2301" w:name="_Toc143353095"/>
      <w:bookmarkEnd w:id="2301"/>
      <w:bookmarkStart w:id="2302" w:name="_Toc143356066"/>
      <w:bookmarkEnd w:id="2302"/>
      <w:bookmarkStart w:id="2303" w:name="_Toc143353091"/>
      <w:bookmarkEnd w:id="2303"/>
      <w:bookmarkStart w:id="2304" w:name="_Toc143356955"/>
      <w:bookmarkEnd w:id="2304"/>
      <w:bookmarkStart w:id="2305" w:name="_Toc143358401"/>
      <w:bookmarkEnd w:id="2305"/>
      <w:bookmarkStart w:id="2306" w:name="_Toc143356954"/>
      <w:bookmarkEnd w:id="2306"/>
      <w:bookmarkStart w:id="2307" w:name="_Toc143357243"/>
      <w:bookmarkEnd w:id="2307"/>
      <w:bookmarkStart w:id="2308" w:name="_Toc143358407"/>
      <w:bookmarkEnd w:id="2308"/>
      <w:bookmarkStart w:id="2309" w:name="_Toc143358109"/>
      <w:bookmarkEnd w:id="2309"/>
      <w:bookmarkStart w:id="2310" w:name="_Toc143352792"/>
      <w:bookmarkEnd w:id="2310"/>
      <w:bookmarkStart w:id="2311" w:name="_Toc143357532"/>
      <w:bookmarkEnd w:id="2311"/>
      <w:bookmarkStart w:id="2312" w:name="_Toc143099157"/>
      <w:bookmarkEnd w:id="2312"/>
      <w:bookmarkStart w:id="2313" w:name="_Toc143353092"/>
      <w:bookmarkEnd w:id="2313"/>
      <w:bookmarkStart w:id="2314" w:name="_Toc142858898"/>
      <w:bookmarkEnd w:id="2314"/>
      <w:bookmarkStart w:id="2315" w:name="_Toc143354344"/>
      <w:bookmarkEnd w:id="2315"/>
      <w:bookmarkStart w:id="2316" w:name="_Toc143357821"/>
      <w:bookmarkEnd w:id="2316"/>
      <w:bookmarkStart w:id="2317" w:name="_Toc167271421"/>
      <w:bookmarkStart w:id="2318" w:name="_Toc68625524"/>
      <w:bookmarkStart w:id="2319" w:name="_Toc141887947"/>
      <w:bookmarkStart w:id="2320" w:name="_Toc4570"/>
      <w:bookmarkStart w:id="2321" w:name="_Toc132305851"/>
      <w:bookmarkStart w:id="2322" w:name="_Toc88472380"/>
      <w:r>
        <w:rPr>
          <w:rFonts w:hint="eastAsia"/>
        </w:rPr>
        <w:t>保护与利用耕地资源</w:t>
      </w:r>
      <w:bookmarkEnd w:id="2317"/>
      <w:bookmarkEnd w:id="2318"/>
      <w:bookmarkEnd w:id="2319"/>
      <w:bookmarkEnd w:id="2320"/>
      <w:bookmarkEnd w:id="2321"/>
      <w:bookmarkEnd w:id="2322"/>
      <w:bookmarkStart w:id="2323" w:name="_Toc143356655"/>
      <w:bookmarkEnd w:id="2323"/>
      <w:bookmarkStart w:id="2324" w:name="_Toc143260857"/>
      <w:bookmarkEnd w:id="2324"/>
      <w:bookmarkStart w:id="2325" w:name="_Toc143357830"/>
      <w:bookmarkEnd w:id="2325"/>
      <w:bookmarkStart w:id="2326" w:name="_Toc143355204"/>
      <w:bookmarkEnd w:id="2326"/>
      <w:bookmarkStart w:id="2327" w:name="_Toc143357248"/>
      <w:bookmarkEnd w:id="2327"/>
      <w:bookmarkStart w:id="2328" w:name="_Toc143354636"/>
      <w:bookmarkEnd w:id="2328"/>
      <w:bookmarkStart w:id="2329" w:name="_Toc143358703"/>
      <w:bookmarkEnd w:id="2329"/>
      <w:bookmarkStart w:id="2330" w:name="_Toc142466979"/>
      <w:bookmarkEnd w:id="2330"/>
      <w:bookmarkStart w:id="2331" w:name="_Toc144390000"/>
      <w:bookmarkEnd w:id="2331"/>
      <w:bookmarkStart w:id="2332" w:name="_Toc142858907"/>
      <w:bookmarkEnd w:id="2332"/>
      <w:bookmarkStart w:id="2333" w:name="_Toc143353098"/>
      <w:bookmarkEnd w:id="2333"/>
      <w:bookmarkStart w:id="2334" w:name="_Toc143357831"/>
      <w:bookmarkEnd w:id="2334"/>
      <w:bookmarkStart w:id="2335" w:name="_Toc142466978"/>
      <w:bookmarkEnd w:id="2335"/>
      <w:bookmarkStart w:id="2336" w:name="_Toc143354920"/>
      <w:bookmarkEnd w:id="2336"/>
      <w:bookmarkStart w:id="2337" w:name="_Toc142402930"/>
      <w:bookmarkEnd w:id="2337"/>
      <w:bookmarkStart w:id="2338" w:name="_Toc143353778"/>
      <w:bookmarkEnd w:id="2338"/>
      <w:bookmarkStart w:id="2339" w:name="_Toc143099166"/>
      <w:bookmarkEnd w:id="2339"/>
      <w:bookmarkStart w:id="2340" w:name="_Toc143357538"/>
      <w:bookmarkEnd w:id="2340"/>
      <w:bookmarkStart w:id="2341" w:name="_Toc142403181"/>
      <w:bookmarkEnd w:id="2341"/>
      <w:bookmarkStart w:id="2342" w:name="_Toc142403180"/>
      <w:bookmarkEnd w:id="2342"/>
      <w:bookmarkStart w:id="2343" w:name="_Toc143358701"/>
      <w:bookmarkEnd w:id="2343"/>
      <w:bookmarkStart w:id="2344" w:name="_Toc142391319"/>
      <w:bookmarkEnd w:id="2344"/>
      <w:bookmarkStart w:id="2345" w:name="_Toc142391317"/>
      <w:bookmarkEnd w:id="2345"/>
      <w:bookmarkStart w:id="2346" w:name="_Toc142390473"/>
      <w:bookmarkEnd w:id="2346"/>
      <w:bookmarkStart w:id="2347" w:name="_Toc143355784"/>
      <w:bookmarkEnd w:id="2347"/>
      <w:bookmarkStart w:id="2348" w:name="_Toc143357829"/>
      <w:bookmarkEnd w:id="2348"/>
      <w:bookmarkStart w:id="2349" w:name="_Toc143356365"/>
      <w:bookmarkEnd w:id="2349"/>
      <w:bookmarkStart w:id="2350" w:name="_Toc143356656"/>
      <w:bookmarkEnd w:id="2350"/>
      <w:bookmarkStart w:id="2351" w:name="_Toc143358120"/>
      <w:bookmarkEnd w:id="2351"/>
      <w:bookmarkStart w:id="2352" w:name="_Toc142391058"/>
      <w:bookmarkEnd w:id="2352"/>
      <w:bookmarkStart w:id="2353" w:name="_Toc142495660"/>
      <w:bookmarkEnd w:id="2353"/>
      <w:bookmarkStart w:id="2354" w:name="_Toc142391318"/>
      <w:bookmarkEnd w:id="2354"/>
      <w:bookmarkStart w:id="2355" w:name="_Toc142402931"/>
      <w:bookmarkEnd w:id="2355"/>
      <w:bookmarkStart w:id="2356" w:name="_Toc142381236"/>
      <w:bookmarkEnd w:id="2356"/>
      <w:bookmarkStart w:id="2357" w:name="_Toc143353100"/>
      <w:bookmarkEnd w:id="2357"/>
      <w:bookmarkStart w:id="2358" w:name="_Toc142381238"/>
      <w:bookmarkEnd w:id="2358"/>
      <w:bookmarkStart w:id="2359" w:name="_Toc143354922"/>
      <w:bookmarkEnd w:id="2359"/>
      <w:bookmarkStart w:id="2360" w:name="_Toc143354638"/>
      <w:bookmarkEnd w:id="2360"/>
      <w:bookmarkStart w:id="2361" w:name="_Toc143353776"/>
      <w:bookmarkEnd w:id="2361"/>
      <w:bookmarkStart w:id="2362" w:name="_Toc143099450"/>
      <w:bookmarkEnd w:id="2362"/>
      <w:bookmarkStart w:id="2363" w:name="_Toc142400715"/>
      <w:bookmarkEnd w:id="2363"/>
      <w:bookmarkStart w:id="2364" w:name="_Toc143358121"/>
      <w:bookmarkEnd w:id="2364"/>
      <w:bookmarkStart w:id="2365" w:name="_Toc143358702"/>
      <w:bookmarkEnd w:id="2365"/>
      <w:bookmarkStart w:id="2366" w:name="_Toc142495659"/>
      <w:bookmarkEnd w:id="2366"/>
      <w:bookmarkStart w:id="2367" w:name="_Toc143260859"/>
      <w:bookmarkEnd w:id="2367"/>
      <w:bookmarkStart w:id="2368" w:name="_Toc143357540"/>
      <w:bookmarkEnd w:id="2368"/>
      <w:bookmarkStart w:id="2369" w:name="_Toc143352803"/>
      <w:bookmarkEnd w:id="2369"/>
      <w:bookmarkStart w:id="2370" w:name="_Toc143358411"/>
      <w:bookmarkEnd w:id="2370"/>
      <w:bookmarkStart w:id="2371" w:name="_Toc143358122"/>
      <w:bookmarkEnd w:id="2371"/>
      <w:bookmarkStart w:id="2372" w:name="_Toc142403182"/>
      <w:bookmarkEnd w:id="2372"/>
      <w:bookmarkStart w:id="2373" w:name="_Toc143356364"/>
      <w:bookmarkEnd w:id="2373"/>
      <w:bookmarkStart w:id="2374" w:name="_Toc143099452"/>
      <w:bookmarkEnd w:id="2374"/>
      <w:bookmarkStart w:id="2375" w:name="_Toc143354353"/>
      <w:bookmarkEnd w:id="2375"/>
      <w:bookmarkStart w:id="2376" w:name="_Toc142391057"/>
      <w:bookmarkEnd w:id="2376"/>
      <w:bookmarkStart w:id="2377" w:name="_Toc143354062"/>
      <w:bookmarkEnd w:id="2377"/>
      <w:bookmarkStart w:id="2378" w:name="_Toc143355786"/>
      <w:bookmarkEnd w:id="2378"/>
      <w:bookmarkStart w:id="2379" w:name="_Toc143355495"/>
      <w:bookmarkEnd w:id="2379"/>
      <w:bookmarkStart w:id="2380" w:name="_Toc143354637"/>
      <w:bookmarkEnd w:id="2380"/>
      <w:bookmarkStart w:id="2381" w:name="_Toc143355494"/>
      <w:bookmarkEnd w:id="2381"/>
      <w:bookmarkStart w:id="2382" w:name="_Toc142466977"/>
      <w:bookmarkEnd w:id="2382"/>
      <w:bookmarkStart w:id="2383" w:name="_Toc143354921"/>
      <w:bookmarkEnd w:id="2383"/>
      <w:bookmarkStart w:id="2384" w:name="_Toc143358412"/>
      <w:bookmarkEnd w:id="2384"/>
      <w:bookmarkStart w:id="2385" w:name="_Toc143355496"/>
      <w:bookmarkEnd w:id="2385"/>
      <w:bookmarkStart w:id="2386" w:name="_Toc143358410"/>
      <w:bookmarkEnd w:id="2386"/>
      <w:bookmarkStart w:id="2387" w:name="_Toc143099167"/>
      <w:bookmarkEnd w:id="2387"/>
      <w:bookmarkStart w:id="2388" w:name="_Toc143356959"/>
      <w:bookmarkEnd w:id="2388"/>
      <w:bookmarkStart w:id="2389" w:name="_Toc144390001"/>
      <w:bookmarkEnd w:id="2389"/>
      <w:bookmarkStart w:id="2390" w:name="_Toc142495658"/>
      <w:bookmarkEnd w:id="2390"/>
      <w:bookmarkStart w:id="2391" w:name="_Toc142391059"/>
      <w:bookmarkEnd w:id="2391"/>
      <w:bookmarkStart w:id="2392" w:name="_Toc144721947"/>
      <w:bookmarkEnd w:id="2392"/>
      <w:bookmarkStart w:id="2393" w:name="_Toc143099451"/>
      <w:bookmarkEnd w:id="2393"/>
      <w:bookmarkStart w:id="2394" w:name="_Toc142380971"/>
      <w:bookmarkEnd w:id="2394"/>
      <w:bookmarkStart w:id="2395" w:name="_Toc143354352"/>
      <w:bookmarkEnd w:id="2395"/>
      <w:bookmarkStart w:id="2396" w:name="_Toc143357539"/>
      <w:bookmarkEnd w:id="2396"/>
      <w:bookmarkStart w:id="2397" w:name="_Toc143353777"/>
      <w:bookmarkEnd w:id="2397"/>
      <w:bookmarkStart w:id="2398" w:name="_Toc142380972"/>
      <w:bookmarkEnd w:id="2398"/>
      <w:bookmarkStart w:id="2399" w:name="_Toc142380973"/>
      <w:bookmarkEnd w:id="2399"/>
      <w:bookmarkStart w:id="2400" w:name="_Toc142390472"/>
      <w:bookmarkEnd w:id="2400"/>
      <w:bookmarkStart w:id="2401" w:name="_Toc143356075"/>
      <w:bookmarkEnd w:id="2401"/>
      <w:bookmarkStart w:id="2402" w:name="_Toc143356654"/>
      <w:bookmarkEnd w:id="2402"/>
      <w:bookmarkStart w:id="2403" w:name="_Toc142400717"/>
      <w:bookmarkEnd w:id="2403"/>
      <w:bookmarkStart w:id="2404" w:name="_Toc143353099"/>
      <w:bookmarkEnd w:id="2404"/>
      <w:bookmarkStart w:id="2405" w:name="_Toc143356958"/>
      <w:bookmarkEnd w:id="2405"/>
      <w:bookmarkStart w:id="2406" w:name="_Toc143355206"/>
      <w:bookmarkEnd w:id="2406"/>
      <w:bookmarkStart w:id="2407" w:name="_Toc143357249"/>
      <w:bookmarkEnd w:id="2407"/>
      <w:bookmarkStart w:id="2408" w:name="_Toc142400716"/>
      <w:bookmarkEnd w:id="2408"/>
      <w:bookmarkStart w:id="2409" w:name="_Toc142402929"/>
      <w:bookmarkEnd w:id="2409"/>
      <w:bookmarkStart w:id="2410" w:name="_Toc143355205"/>
      <w:bookmarkEnd w:id="2410"/>
      <w:bookmarkStart w:id="2411" w:name="_Toc142858909"/>
      <w:bookmarkEnd w:id="2411"/>
      <w:bookmarkStart w:id="2412" w:name="_Toc144721946"/>
      <w:bookmarkEnd w:id="2412"/>
      <w:bookmarkStart w:id="2413" w:name="_Toc143355785"/>
      <w:bookmarkEnd w:id="2413"/>
      <w:bookmarkStart w:id="2414" w:name="_Toc143260858"/>
      <w:bookmarkEnd w:id="2414"/>
      <w:bookmarkStart w:id="2415" w:name="_Toc143357250"/>
      <w:bookmarkEnd w:id="2415"/>
      <w:bookmarkStart w:id="2416" w:name="_Toc143356366"/>
      <w:bookmarkEnd w:id="2416"/>
      <w:bookmarkStart w:id="2417" w:name="_Toc143354063"/>
      <w:bookmarkEnd w:id="2417"/>
      <w:bookmarkStart w:id="2418" w:name="_Toc143354354"/>
      <w:bookmarkEnd w:id="2418"/>
      <w:bookmarkStart w:id="2419" w:name="_Toc143356960"/>
      <w:bookmarkEnd w:id="2419"/>
      <w:bookmarkStart w:id="2420" w:name="_Toc142381237"/>
      <w:bookmarkEnd w:id="2420"/>
      <w:bookmarkStart w:id="2421" w:name="_Toc142390471"/>
      <w:bookmarkEnd w:id="2421"/>
      <w:bookmarkStart w:id="2422" w:name="_Toc143352802"/>
      <w:bookmarkEnd w:id="2422"/>
      <w:bookmarkStart w:id="2423" w:name="_Toc143354064"/>
      <w:bookmarkEnd w:id="2423"/>
      <w:bookmarkStart w:id="2424" w:name="_Toc143356076"/>
      <w:bookmarkEnd w:id="2424"/>
      <w:bookmarkStart w:id="2425" w:name="_Toc142858908"/>
      <w:bookmarkEnd w:id="2425"/>
      <w:bookmarkStart w:id="2426" w:name="_Toc143099165"/>
      <w:bookmarkEnd w:id="2426"/>
      <w:bookmarkStart w:id="2427" w:name="_Toc143356074"/>
      <w:bookmarkEnd w:id="2427"/>
      <w:bookmarkStart w:id="2428" w:name="_Toc143352804"/>
      <w:bookmarkEnd w:id="2428"/>
      <w:bookmarkStart w:id="2429" w:name="_Toc16796"/>
      <w:bookmarkStart w:id="2430" w:name="_Toc141887950"/>
    </w:p>
    <w:p w14:paraId="2F486E03">
      <w:pPr>
        <w:pStyle w:val="6"/>
        <w:spacing w:before="163" w:after="163"/>
        <w:rPr>
          <w:b/>
        </w:rPr>
      </w:pPr>
      <w:r>
        <w:rPr>
          <w:rFonts w:hint="eastAsia"/>
        </w:rPr>
        <w:t>严守耕地和永久基本农田保护红线</w:t>
      </w:r>
    </w:p>
    <w:p w14:paraId="7E05BFBB">
      <w:pPr>
        <w:ind w:firstLine="600"/>
      </w:pPr>
      <w:r>
        <w:rPr>
          <w:rFonts w:hint="eastAsia"/>
        </w:rPr>
        <w:t>严守耕地和永久基本农田保护红线，保障粮食安全、保障粮食主要农产品基本种植面积，重点保护丹霞街道与董塘、长江等镇的优质集中耕地，严格落实耕地保护任务，坚决遏制耕</w:t>
      </w:r>
      <w:r>
        <w:rPr>
          <w:rFonts w:hint="eastAsia" w:ascii="仿宋_GB2312"/>
        </w:rPr>
        <w:t>地“非农化”、严格管控“非粮化”，严控</w:t>
      </w:r>
      <w:r>
        <w:rPr>
          <w:rFonts w:hint="eastAsia"/>
        </w:rPr>
        <w:t>各类非农业建设占用耕地，严控耕地地类用途改变。</w:t>
      </w:r>
    </w:p>
    <w:p w14:paraId="68FE3052">
      <w:pPr>
        <w:pStyle w:val="6"/>
        <w:spacing w:before="163" w:after="163"/>
        <w:rPr>
          <w:b/>
        </w:rPr>
      </w:pPr>
      <w:r>
        <w:rPr>
          <w:rFonts w:hint="eastAsia"/>
        </w:rPr>
        <w:t>严格落实</w:t>
      </w:r>
      <w:r>
        <w:rPr>
          <w:rFonts w:hint="eastAsia" w:ascii="黑体" w:hAnsi="黑体"/>
        </w:rPr>
        <w:t>耕地“占补平衡”</w:t>
      </w:r>
      <w:bookmarkEnd w:id="2429"/>
      <w:bookmarkEnd w:id="2430"/>
      <w:r>
        <w:rPr>
          <w:rFonts w:hint="eastAsia"/>
        </w:rPr>
        <w:t>措施</w:t>
      </w:r>
    </w:p>
    <w:p w14:paraId="39991ED7">
      <w:pPr>
        <w:ind w:firstLine="600"/>
        <w:rPr>
          <w:color w:val="000000" w:themeColor="text1"/>
          <w14:textFill>
            <w14:solidFill>
              <w14:schemeClr w14:val="tx1"/>
            </w14:solidFill>
          </w14:textFill>
        </w:rPr>
      </w:pPr>
      <w:r>
        <w:rPr>
          <w:rFonts w:hint="eastAsia"/>
          <w:color w:val="000000" w:themeColor="text1"/>
          <w14:textFill>
            <w14:solidFill>
              <w14:schemeClr w14:val="tx1"/>
            </w14:solidFill>
          </w14:textFill>
        </w:rPr>
        <w:t>非农建设占用耕地必须全面落实“占一补一、占优补优、占水田补水田”的占补平衡要求；经同意以承诺方式落实耕地占补平衡的，必须按期兑现承诺。除少数特殊紧急的国家重点项目并经自然资源部同意外，一律不得以先占后补承诺方式落实耕地占补平衡责任；激励开垦耕地后备资源及耕地恢复潜力资源，有效增加耕地面积，确保实有耕地数量基本稳定；通过组织实施土地整理复垦开发及高标准农田建设，形成能长期稳定利用的新增耕地用于占补平衡。</w:t>
      </w:r>
    </w:p>
    <w:p w14:paraId="50BD4E06">
      <w:pPr>
        <w:pStyle w:val="6"/>
        <w:spacing w:before="163" w:after="163"/>
        <w:rPr>
          <w:b/>
        </w:rPr>
      </w:pPr>
      <w:r>
        <w:rPr>
          <w:rFonts w:hint="eastAsia"/>
        </w:rPr>
        <w:t>严格落实</w:t>
      </w:r>
      <w:r>
        <w:rPr>
          <w:rFonts w:hint="eastAsia" w:ascii="黑体" w:hAnsi="黑体"/>
        </w:rPr>
        <w:t>耕地“进出平衡”</w:t>
      </w:r>
      <w:r>
        <w:rPr>
          <w:rFonts w:hint="eastAsia"/>
        </w:rPr>
        <w:t>措施</w:t>
      </w:r>
    </w:p>
    <w:p w14:paraId="3E536613">
      <w:pPr>
        <w:ind w:firstLine="600"/>
      </w:pPr>
      <w:r>
        <w:rPr>
          <w:rFonts w:hint="eastAsia" w:cs="Times New Roman"/>
        </w:rPr>
        <w:t>严格管控一般耕地转为其他农用地以及农业设施建设用地，确需转变用途的，必须严格落实年度耕地“进出平衡”方案，并组织实施。即除国家安排的生态退耕、自然灾害损毁难以复耕、河湖水面自然扩大造成耕地永久淹没外，耕地转为林地、草地、园地等其他农用地及农业设施建设用地的，应当通过统筹林地、草地、园地等其他农用地及农业设施建设用地整治为耕地等方式，补足同等数量、质量的可以长期稳定利用的耕地。“进出平衡”优先在县域范围内落实；新增设施农业用地严禁占用永久基本农田，确需使用一般耕地的新增设施农业用地，纳入年度耕地进出平衡总体方案。</w:t>
      </w:r>
    </w:p>
    <w:p w14:paraId="0E6FBE30">
      <w:pPr>
        <w:pStyle w:val="6"/>
        <w:spacing w:before="163" w:after="163"/>
        <w:rPr>
          <w:b/>
        </w:rPr>
      </w:pPr>
      <w:bookmarkStart w:id="2431" w:name="_Toc143357543"/>
      <w:bookmarkEnd w:id="2431"/>
      <w:bookmarkStart w:id="2432" w:name="_Toc143357254"/>
      <w:bookmarkEnd w:id="2432"/>
      <w:bookmarkStart w:id="2433" w:name="_Toc142391062"/>
      <w:bookmarkEnd w:id="2433"/>
      <w:bookmarkStart w:id="2434" w:name="_Toc142380978"/>
      <w:bookmarkEnd w:id="2434"/>
      <w:bookmarkStart w:id="2435" w:name="_Toc143356659"/>
      <w:bookmarkEnd w:id="2435"/>
      <w:bookmarkStart w:id="2436" w:name="_Toc142402934"/>
      <w:bookmarkEnd w:id="2436"/>
      <w:bookmarkStart w:id="2437" w:name="_Toc142381240"/>
      <w:bookmarkEnd w:id="2437"/>
      <w:bookmarkStart w:id="2438" w:name="_Toc143358415"/>
      <w:bookmarkEnd w:id="2438"/>
      <w:bookmarkStart w:id="2439" w:name="_Toc143355208"/>
      <w:bookmarkEnd w:id="2439"/>
      <w:bookmarkStart w:id="2440" w:name="_Toc142391061"/>
      <w:bookmarkEnd w:id="2440"/>
      <w:bookmarkStart w:id="2441" w:name="_Toc143354068"/>
      <w:bookmarkEnd w:id="2441"/>
      <w:bookmarkStart w:id="2442" w:name="_Toc143354642"/>
      <w:bookmarkEnd w:id="2442"/>
      <w:bookmarkStart w:id="2443" w:name="_Toc142402933"/>
      <w:bookmarkEnd w:id="2443"/>
      <w:bookmarkStart w:id="2444" w:name="_Toc143355498"/>
      <w:bookmarkEnd w:id="2444"/>
      <w:bookmarkStart w:id="2445" w:name="_Toc143099169"/>
      <w:bookmarkEnd w:id="2445"/>
      <w:bookmarkStart w:id="2446" w:name="_Toc143354924"/>
      <w:bookmarkEnd w:id="2446"/>
      <w:bookmarkStart w:id="2447" w:name="_Toc142400721"/>
      <w:bookmarkEnd w:id="2447"/>
      <w:bookmarkStart w:id="2448" w:name="_Toc143356079"/>
      <w:bookmarkEnd w:id="2448"/>
      <w:bookmarkStart w:id="2449" w:name="_Toc143355499"/>
      <w:bookmarkEnd w:id="2449"/>
      <w:bookmarkStart w:id="2450" w:name="_Toc142495662"/>
      <w:bookmarkEnd w:id="2450"/>
      <w:bookmarkStart w:id="2451" w:name="_Toc143354640"/>
      <w:bookmarkEnd w:id="2451"/>
      <w:bookmarkStart w:id="2452" w:name="_Toc143356371"/>
      <w:bookmarkEnd w:id="2452"/>
      <w:bookmarkStart w:id="2453" w:name="_Toc143099454"/>
      <w:bookmarkEnd w:id="2453"/>
      <w:bookmarkStart w:id="2454" w:name="_Toc143357833"/>
      <w:bookmarkEnd w:id="2454"/>
      <w:bookmarkStart w:id="2455" w:name="_Toc142391063"/>
      <w:bookmarkEnd w:id="2455"/>
      <w:bookmarkStart w:id="2456" w:name="_Toc142380976"/>
      <w:bookmarkEnd w:id="2456"/>
      <w:bookmarkStart w:id="2457" w:name="_Toc143260861"/>
      <w:bookmarkEnd w:id="2457"/>
      <w:bookmarkStart w:id="2458" w:name="_Toc142495665"/>
      <w:bookmarkEnd w:id="2458"/>
      <w:bookmarkStart w:id="2459" w:name="_Toc142400720"/>
      <w:bookmarkEnd w:id="2459"/>
      <w:bookmarkStart w:id="2460" w:name="_Toc142390475"/>
      <w:bookmarkEnd w:id="2460"/>
      <w:bookmarkStart w:id="2461" w:name="_Toc143358125"/>
      <w:bookmarkEnd w:id="2461"/>
      <w:bookmarkStart w:id="2462" w:name="_Toc143357836"/>
      <w:bookmarkEnd w:id="2462"/>
      <w:bookmarkStart w:id="2463" w:name="_Toc143099455"/>
      <w:bookmarkEnd w:id="2463"/>
      <w:bookmarkStart w:id="2464" w:name="_Toc143355788"/>
      <w:bookmarkEnd w:id="2464"/>
      <w:bookmarkStart w:id="2465" w:name="_Toc143355211"/>
      <w:bookmarkEnd w:id="2465"/>
      <w:bookmarkStart w:id="2466" w:name="_Toc143354359"/>
      <w:bookmarkEnd w:id="2466"/>
      <w:bookmarkStart w:id="2467" w:name="_Toc142858911"/>
      <w:bookmarkEnd w:id="2467"/>
      <w:bookmarkStart w:id="2468" w:name="_Toc143356080"/>
      <w:bookmarkEnd w:id="2468"/>
      <w:bookmarkStart w:id="2469" w:name="_Toc143353102"/>
      <w:bookmarkEnd w:id="2469"/>
      <w:bookmarkStart w:id="2470" w:name="_Toc142403184"/>
      <w:bookmarkEnd w:id="2470"/>
      <w:bookmarkStart w:id="2471" w:name="_Toc143357545"/>
      <w:bookmarkEnd w:id="2471"/>
      <w:bookmarkStart w:id="2472" w:name="_Toc142380975"/>
      <w:bookmarkEnd w:id="2472"/>
      <w:bookmarkStart w:id="2473" w:name="_Toc143357544"/>
      <w:bookmarkEnd w:id="2473"/>
      <w:bookmarkStart w:id="2474" w:name="_Toc142391323"/>
      <w:bookmarkEnd w:id="2474"/>
      <w:bookmarkStart w:id="2475" w:name="_Toc142466981"/>
      <w:bookmarkEnd w:id="2475"/>
      <w:bookmarkStart w:id="2476" w:name="_Toc143354067"/>
      <w:bookmarkEnd w:id="2476"/>
      <w:bookmarkStart w:id="2477" w:name="_Toc142381241"/>
      <w:bookmarkEnd w:id="2477"/>
      <w:bookmarkStart w:id="2478" w:name="_Toc143260863"/>
      <w:bookmarkEnd w:id="2478"/>
      <w:bookmarkStart w:id="2479" w:name="_Toc143353780"/>
      <w:bookmarkEnd w:id="2479"/>
      <w:bookmarkStart w:id="2480" w:name="_Toc143358705"/>
      <w:bookmarkEnd w:id="2480"/>
      <w:bookmarkStart w:id="2481" w:name="_Toc142858914"/>
      <w:bookmarkEnd w:id="2481"/>
      <w:bookmarkStart w:id="2482" w:name="_Toc143354356"/>
      <w:bookmarkEnd w:id="2482"/>
      <w:bookmarkStart w:id="2483" w:name="_Toc143099172"/>
      <w:bookmarkEnd w:id="2483"/>
      <w:bookmarkStart w:id="2484" w:name="_Toc143099171"/>
      <w:bookmarkEnd w:id="2484"/>
      <w:bookmarkStart w:id="2485" w:name="_Toc142858912"/>
      <w:bookmarkEnd w:id="2485"/>
      <w:bookmarkStart w:id="2486" w:name="_Toc142495664"/>
      <w:bookmarkEnd w:id="2486"/>
      <w:bookmarkStart w:id="2487" w:name="_Toc143357253"/>
      <w:bookmarkEnd w:id="2487"/>
      <w:bookmarkStart w:id="2488" w:name="_Toc143355791"/>
      <w:bookmarkEnd w:id="2488"/>
      <w:bookmarkStart w:id="2489" w:name="_Toc143354926"/>
      <w:bookmarkEnd w:id="2489"/>
      <w:bookmarkStart w:id="2490" w:name="_Toc143355790"/>
      <w:bookmarkEnd w:id="2490"/>
      <w:bookmarkStart w:id="2491" w:name="_Toc143356369"/>
      <w:bookmarkEnd w:id="2491"/>
      <w:bookmarkStart w:id="2492" w:name="_Toc143355500"/>
      <w:bookmarkEnd w:id="2492"/>
      <w:bookmarkStart w:id="2493" w:name="_Toc143352808"/>
      <w:bookmarkEnd w:id="2493"/>
      <w:bookmarkStart w:id="2494" w:name="_Toc143354925"/>
      <w:bookmarkEnd w:id="2494"/>
      <w:bookmarkStart w:id="2495" w:name="_Toc143099457"/>
      <w:bookmarkEnd w:id="2495"/>
      <w:bookmarkStart w:id="2496" w:name="_Toc143358416"/>
      <w:bookmarkEnd w:id="2496"/>
      <w:bookmarkStart w:id="2497" w:name="_Toc143358706"/>
      <w:bookmarkEnd w:id="2497"/>
      <w:bookmarkStart w:id="2498" w:name="_Toc143352809"/>
      <w:bookmarkEnd w:id="2498"/>
      <w:bookmarkStart w:id="2499" w:name="_Toc143099170"/>
      <w:bookmarkEnd w:id="2499"/>
      <w:bookmarkStart w:id="2500" w:name="_Toc142390478"/>
      <w:bookmarkEnd w:id="2500"/>
      <w:bookmarkStart w:id="2501" w:name="_Toc143356964"/>
      <w:bookmarkEnd w:id="2501"/>
      <w:bookmarkStart w:id="2502" w:name="_Toc143356965"/>
      <w:bookmarkEnd w:id="2502"/>
      <w:bookmarkStart w:id="2503" w:name="_Toc142391321"/>
      <w:bookmarkEnd w:id="2503"/>
      <w:bookmarkStart w:id="2504" w:name="_Toc143355789"/>
      <w:bookmarkEnd w:id="2504"/>
      <w:bookmarkStart w:id="2505" w:name="_Toc142402935"/>
      <w:bookmarkEnd w:id="2505"/>
      <w:bookmarkStart w:id="2506" w:name="_Toc143358414"/>
      <w:bookmarkEnd w:id="2506"/>
      <w:bookmarkStart w:id="2507" w:name="_Toc142391064"/>
      <w:bookmarkEnd w:id="2507"/>
      <w:bookmarkStart w:id="2508" w:name="_Toc143355210"/>
      <w:bookmarkEnd w:id="2508"/>
      <w:bookmarkStart w:id="2509" w:name="_Toc143358127"/>
      <w:bookmarkEnd w:id="2509"/>
      <w:bookmarkStart w:id="2510" w:name="_Toc142380977"/>
      <w:bookmarkEnd w:id="2510"/>
      <w:bookmarkStart w:id="2511" w:name="_Toc143354357"/>
      <w:bookmarkEnd w:id="2511"/>
      <w:bookmarkStart w:id="2512" w:name="_Toc142400722"/>
      <w:bookmarkEnd w:id="2512"/>
      <w:bookmarkStart w:id="2513" w:name="_Toc142403185"/>
      <w:bookmarkEnd w:id="2513"/>
      <w:bookmarkStart w:id="2514" w:name="_Toc142390477"/>
      <w:bookmarkEnd w:id="2514"/>
      <w:bookmarkStart w:id="2515" w:name="_Toc143354066"/>
      <w:bookmarkEnd w:id="2515"/>
      <w:bookmarkStart w:id="2516" w:name="_Toc143354358"/>
      <w:bookmarkEnd w:id="2516"/>
      <w:bookmarkStart w:id="2517" w:name="_Toc143352806"/>
      <w:bookmarkEnd w:id="2517"/>
      <w:bookmarkStart w:id="2518" w:name="_Toc143353103"/>
      <w:bookmarkEnd w:id="2518"/>
      <w:bookmarkStart w:id="2519" w:name="_Toc143353781"/>
      <w:bookmarkEnd w:id="2519"/>
      <w:bookmarkStart w:id="2520" w:name="_Toc143355501"/>
      <w:bookmarkEnd w:id="2520"/>
      <w:bookmarkStart w:id="2521" w:name="_Toc143358708"/>
      <w:bookmarkEnd w:id="2521"/>
      <w:bookmarkStart w:id="2522" w:name="_Toc143358124"/>
      <w:bookmarkEnd w:id="2522"/>
      <w:bookmarkStart w:id="2523" w:name="_Toc143357542"/>
      <w:bookmarkEnd w:id="2523"/>
      <w:bookmarkStart w:id="2524" w:name="_Toc143357255"/>
      <w:bookmarkEnd w:id="2524"/>
      <w:bookmarkStart w:id="2525" w:name="_Toc143354927"/>
      <w:bookmarkEnd w:id="2525"/>
      <w:bookmarkStart w:id="2526" w:name="_Toc143357834"/>
      <w:bookmarkEnd w:id="2526"/>
      <w:bookmarkStart w:id="2527" w:name="_Toc143260864"/>
      <w:bookmarkEnd w:id="2527"/>
      <w:bookmarkStart w:id="2528" w:name="_Toc142391322"/>
      <w:bookmarkEnd w:id="2528"/>
      <w:bookmarkStart w:id="2529" w:name="_Toc143353782"/>
      <w:bookmarkEnd w:id="2529"/>
      <w:bookmarkStart w:id="2530" w:name="_Toc143356962"/>
      <w:bookmarkEnd w:id="2530"/>
      <w:bookmarkStart w:id="2531" w:name="_Toc143099456"/>
      <w:bookmarkEnd w:id="2531"/>
      <w:bookmarkStart w:id="2532" w:name="_Toc143354641"/>
      <w:bookmarkEnd w:id="2532"/>
      <w:bookmarkStart w:id="2533" w:name="_Toc142403186"/>
      <w:bookmarkEnd w:id="2533"/>
      <w:bookmarkStart w:id="2534" w:name="_Toc143356963"/>
      <w:bookmarkEnd w:id="2534"/>
      <w:bookmarkStart w:id="2535" w:name="_Toc143357835"/>
      <w:bookmarkEnd w:id="2535"/>
      <w:bookmarkStart w:id="2536" w:name="_Toc142466984"/>
      <w:bookmarkEnd w:id="2536"/>
      <w:bookmarkStart w:id="2537" w:name="_Toc143356370"/>
      <w:bookmarkEnd w:id="2537"/>
      <w:bookmarkStart w:id="2538" w:name="_Toc143356660"/>
      <w:bookmarkEnd w:id="2538"/>
      <w:bookmarkStart w:id="2539" w:name="_Toc142466983"/>
      <w:bookmarkEnd w:id="2539"/>
      <w:bookmarkStart w:id="2540" w:name="_Toc143356078"/>
      <w:bookmarkEnd w:id="2540"/>
      <w:bookmarkStart w:id="2541" w:name="_Toc143355209"/>
      <w:bookmarkEnd w:id="2541"/>
      <w:bookmarkStart w:id="2542" w:name="_Toc143353105"/>
      <w:bookmarkEnd w:id="2542"/>
      <w:bookmarkStart w:id="2543" w:name="_Toc142381243"/>
      <w:bookmarkEnd w:id="2543"/>
      <w:bookmarkStart w:id="2544" w:name="_Toc142403187"/>
      <w:bookmarkEnd w:id="2544"/>
      <w:bookmarkStart w:id="2545" w:name="_Toc143356081"/>
      <w:bookmarkEnd w:id="2545"/>
      <w:bookmarkStart w:id="2546" w:name="_Toc143354643"/>
      <w:bookmarkEnd w:id="2546"/>
      <w:bookmarkStart w:id="2547" w:name="_Toc143356368"/>
      <w:bookmarkEnd w:id="2547"/>
      <w:bookmarkStart w:id="2548" w:name="_Toc142391324"/>
      <w:bookmarkEnd w:id="2548"/>
      <w:bookmarkStart w:id="2549" w:name="_Toc142858913"/>
      <w:bookmarkEnd w:id="2549"/>
      <w:bookmarkStart w:id="2550" w:name="_Toc143260862"/>
      <w:bookmarkEnd w:id="2550"/>
      <w:bookmarkStart w:id="2551" w:name="_Toc143358707"/>
      <w:bookmarkEnd w:id="2551"/>
      <w:bookmarkStart w:id="2552" w:name="_Toc143356661"/>
      <w:bookmarkEnd w:id="2552"/>
      <w:bookmarkStart w:id="2553" w:name="_Toc143358417"/>
      <w:bookmarkEnd w:id="2553"/>
      <w:bookmarkStart w:id="2554" w:name="_Toc143353104"/>
      <w:bookmarkEnd w:id="2554"/>
      <w:bookmarkStart w:id="2555" w:name="_Toc143358126"/>
      <w:bookmarkEnd w:id="2555"/>
      <w:bookmarkStart w:id="2556" w:name="_Toc143352807"/>
      <w:bookmarkEnd w:id="2556"/>
      <w:bookmarkStart w:id="2557" w:name="_Toc142402936"/>
      <w:bookmarkEnd w:id="2557"/>
      <w:bookmarkStart w:id="2558" w:name="_Toc142495663"/>
      <w:bookmarkEnd w:id="2558"/>
      <w:bookmarkStart w:id="2559" w:name="_Toc143353783"/>
      <w:bookmarkEnd w:id="2559"/>
      <w:bookmarkStart w:id="2560" w:name="_Toc143356658"/>
      <w:bookmarkEnd w:id="2560"/>
      <w:bookmarkStart w:id="2561" w:name="_Toc142466982"/>
      <w:bookmarkEnd w:id="2561"/>
      <w:bookmarkStart w:id="2562" w:name="_Toc142390476"/>
      <w:bookmarkEnd w:id="2562"/>
      <w:bookmarkStart w:id="2563" w:name="_Toc143357252"/>
      <w:bookmarkEnd w:id="2563"/>
      <w:bookmarkStart w:id="2564" w:name="_Toc142381242"/>
      <w:bookmarkEnd w:id="2564"/>
      <w:bookmarkStart w:id="2565" w:name="_Toc142400719"/>
      <w:bookmarkEnd w:id="2565"/>
      <w:bookmarkStart w:id="2566" w:name="_Toc143354069"/>
      <w:bookmarkEnd w:id="2566"/>
      <w:bookmarkStart w:id="2567" w:name="_Toc14261"/>
      <w:bookmarkStart w:id="2568" w:name="_Toc68625525"/>
      <w:bookmarkStart w:id="2569" w:name="_Toc132305854"/>
      <w:bookmarkStart w:id="2570" w:name="_Toc141887953"/>
      <w:bookmarkStart w:id="2571" w:name="_Toc10299"/>
      <w:bookmarkStart w:id="2572" w:name="_Toc88472381"/>
      <w:r>
        <w:rPr>
          <w:rFonts w:hint="eastAsia"/>
        </w:rPr>
        <w:t>强化耕地生态功能</w:t>
      </w:r>
      <w:bookmarkEnd w:id="2567"/>
      <w:r>
        <w:rPr>
          <w:rFonts w:hint="eastAsia"/>
        </w:rPr>
        <w:t>与价值</w:t>
      </w:r>
    </w:p>
    <w:p w14:paraId="4EEE8ABE">
      <w:pPr>
        <w:ind w:firstLine="6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推动农田生态系统修复，控制农业面源污染，开展污染耕地土壤的安全利用和修复，发挥农田基础生态功能。提升耕地生态功能与价值，将区域内重要河流两侧的集中连片耕地作为生态廊道、生态斑块的重要组成部分，强化耕地在调节气候、涵养水源等方面的生态功能。坚持</w:t>
      </w:r>
      <w:r>
        <w:rPr>
          <w:rFonts w:hint="eastAsia" w:ascii="仿宋_GB2312"/>
          <w:color w:val="000000" w:themeColor="text1"/>
          <w14:textFill>
            <w14:solidFill>
              <w14:schemeClr w14:val="tx1"/>
            </w14:solidFill>
          </w14:textFill>
        </w:rPr>
        <w:t>“</w:t>
      </w:r>
      <w:r>
        <w:rPr>
          <w:rFonts w:hint="eastAsia"/>
          <w:color w:val="000000" w:themeColor="text1"/>
          <w14:textFill>
            <w14:solidFill>
              <w14:schemeClr w14:val="tx1"/>
            </w14:solidFill>
          </w14:textFill>
        </w:rPr>
        <w:t>以农造景、以景促旅、农旅结合</w:t>
      </w:r>
      <w:r>
        <w:rPr>
          <w:rFonts w:hint="eastAsia" w:ascii="仿宋_GB2312"/>
          <w:color w:val="000000" w:themeColor="text1"/>
          <w14:textFill>
            <w14:solidFill>
              <w14:schemeClr w14:val="tx1"/>
            </w14:solidFill>
          </w14:textFill>
        </w:rPr>
        <w:t>”</w:t>
      </w:r>
      <w:r>
        <w:rPr>
          <w:rFonts w:hint="eastAsia"/>
          <w:color w:val="000000" w:themeColor="text1"/>
          <w14:textFill>
            <w14:solidFill>
              <w14:schemeClr w14:val="tx1"/>
            </w14:solidFill>
          </w14:textFill>
        </w:rPr>
        <w:t>的发展模式，挖掘耕地观光休闲与生态服务价值，注重农业种植与景观打造有机结合，</w:t>
      </w:r>
      <w:r>
        <w:rPr>
          <w:color w:val="000000" w:themeColor="text1"/>
          <w14:textFill>
            <w14:solidFill>
              <w14:schemeClr w14:val="tx1"/>
            </w14:solidFill>
          </w14:textFill>
        </w:rPr>
        <w:t>创新推进生态农业、景观农业等业态发展，不断彰显耕地生态经济效益</w:t>
      </w:r>
      <w:r>
        <w:rPr>
          <w:rFonts w:hint="eastAsia"/>
          <w:color w:val="000000" w:themeColor="text1"/>
          <w14:textFill>
            <w14:solidFill>
              <w14:schemeClr w14:val="tx1"/>
            </w14:solidFill>
          </w14:textFill>
        </w:rPr>
        <w:t>。</w:t>
      </w:r>
    </w:p>
    <w:p w14:paraId="2EBD4ED7">
      <w:pPr>
        <w:pStyle w:val="5"/>
        <w:numPr>
          <w:ilvl w:val="1"/>
          <w:numId w:val="13"/>
        </w:numPr>
        <w:spacing w:before="163" w:after="163"/>
      </w:pPr>
      <w:bookmarkStart w:id="2573" w:name="_Toc167271422"/>
      <w:r>
        <w:rPr>
          <w:rFonts w:hint="eastAsia"/>
        </w:rPr>
        <w:t>保护与利用水资源和湿地</w:t>
      </w:r>
      <w:bookmarkEnd w:id="2568"/>
      <w:bookmarkEnd w:id="2569"/>
      <w:bookmarkEnd w:id="2570"/>
      <w:bookmarkEnd w:id="2571"/>
      <w:bookmarkEnd w:id="2572"/>
      <w:bookmarkEnd w:id="2573"/>
    </w:p>
    <w:p w14:paraId="48CD9BCA">
      <w:pPr>
        <w:pStyle w:val="6"/>
        <w:spacing w:before="163" w:after="163"/>
        <w:rPr>
          <w:b/>
        </w:rPr>
      </w:pPr>
      <w:bookmarkStart w:id="2574" w:name="_Toc142858916"/>
      <w:bookmarkEnd w:id="2574"/>
      <w:bookmarkStart w:id="2575" w:name="_Toc143357547"/>
      <w:bookmarkEnd w:id="2575"/>
      <w:bookmarkStart w:id="2576" w:name="_Toc143358130"/>
      <w:bookmarkEnd w:id="2576"/>
      <w:bookmarkStart w:id="2577" w:name="_Toc143356083"/>
      <w:bookmarkEnd w:id="2577"/>
      <w:bookmarkStart w:id="2578" w:name="_Toc143099174"/>
      <w:bookmarkEnd w:id="2578"/>
      <w:bookmarkStart w:id="2579" w:name="_Toc143355215"/>
      <w:bookmarkEnd w:id="2579"/>
      <w:bookmarkStart w:id="2580" w:name="_Toc143260867"/>
      <w:bookmarkEnd w:id="2580"/>
      <w:bookmarkStart w:id="2581" w:name="_Toc143355213"/>
      <w:bookmarkEnd w:id="2581"/>
      <w:bookmarkStart w:id="2582" w:name="_Toc143356373"/>
      <w:bookmarkEnd w:id="2582"/>
      <w:bookmarkStart w:id="2583" w:name="_Toc143357259"/>
      <w:bookmarkEnd w:id="2583"/>
      <w:bookmarkStart w:id="2584" w:name="_Toc143353786"/>
      <w:bookmarkEnd w:id="2584"/>
      <w:bookmarkStart w:id="2585" w:name="_Toc143355504"/>
      <w:bookmarkEnd w:id="2585"/>
      <w:bookmarkStart w:id="2586" w:name="_Toc143354647"/>
      <w:bookmarkEnd w:id="2586"/>
      <w:bookmarkStart w:id="2587" w:name="_Toc143099175"/>
      <w:bookmarkEnd w:id="2587"/>
      <w:bookmarkStart w:id="2588" w:name="_Toc143260866"/>
      <w:bookmarkEnd w:id="2588"/>
      <w:bookmarkStart w:id="2589" w:name="_Toc143356968"/>
      <w:bookmarkEnd w:id="2589"/>
      <w:bookmarkStart w:id="2590" w:name="_Toc143356969"/>
      <w:bookmarkEnd w:id="2590"/>
      <w:bookmarkStart w:id="2591" w:name="_Toc143354073"/>
      <w:bookmarkEnd w:id="2591"/>
      <w:bookmarkStart w:id="2592" w:name="_Toc142858918"/>
      <w:bookmarkEnd w:id="2592"/>
      <w:bookmarkStart w:id="2593" w:name="_Toc143357838"/>
      <w:bookmarkEnd w:id="2593"/>
      <w:bookmarkStart w:id="2594" w:name="_Toc143355793"/>
      <w:bookmarkEnd w:id="2594"/>
      <w:bookmarkStart w:id="2595" w:name="_Toc143357840"/>
      <w:bookmarkEnd w:id="2595"/>
      <w:bookmarkStart w:id="2596" w:name="_Toc143353107"/>
      <w:bookmarkEnd w:id="2596"/>
      <w:bookmarkStart w:id="2597" w:name="_Toc143356084"/>
      <w:bookmarkEnd w:id="2597"/>
      <w:bookmarkStart w:id="2598" w:name="_Toc143358711"/>
      <w:bookmarkEnd w:id="2598"/>
      <w:bookmarkStart w:id="2599" w:name="_Toc143352811"/>
      <w:bookmarkEnd w:id="2599"/>
      <w:bookmarkStart w:id="2600" w:name="_Toc143354931"/>
      <w:bookmarkEnd w:id="2600"/>
      <w:bookmarkStart w:id="2601" w:name="_Toc143356664"/>
      <w:bookmarkEnd w:id="2601"/>
      <w:bookmarkStart w:id="2602" w:name="_Toc143358710"/>
      <w:bookmarkEnd w:id="2602"/>
      <w:bookmarkStart w:id="2603" w:name="_Toc143354363"/>
      <w:bookmarkEnd w:id="2603"/>
      <w:bookmarkStart w:id="2604" w:name="_Toc143356374"/>
      <w:bookmarkEnd w:id="2604"/>
      <w:bookmarkStart w:id="2605" w:name="_Toc143099176"/>
      <w:bookmarkEnd w:id="2605"/>
      <w:bookmarkStart w:id="2606" w:name="_Toc143358419"/>
      <w:bookmarkEnd w:id="2606"/>
      <w:bookmarkStart w:id="2607" w:name="_Toc143358129"/>
      <w:bookmarkEnd w:id="2607"/>
      <w:bookmarkStart w:id="2608" w:name="_Toc143357258"/>
      <w:bookmarkEnd w:id="2608"/>
      <w:bookmarkStart w:id="2609" w:name="_Toc143353108"/>
      <w:bookmarkEnd w:id="2609"/>
      <w:bookmarkStart w:id="2610" w:name="_Toc143352812"/>
      <w:bookmarkEnd w:id="2610"/>
      <w:bookmarkStart w:id="2611" w:name="_Toc143353109"/>
      <w:bookmarkEnd w:id="2611"/>
      <w:bookmarkStart w:id="2612" w:name="_Toc143354361"/>
      <w:bookmarkEnd w:id="2612"/>
      <w:bookmarkStart w:id="2613" w:name="_Toc143354929"/>
      <w:bookmarkEnd w:id="2613"/>
      <w:bookmarkStart w:id="2614" w:name="_Toc143352813"/>
      <w:bookmarkEnd w:id="2614"/>
      <w:bookmarkStart w:id="2615" w:name="_Toc143357549"/>
      <w:bookmarkEnd w:id="2615"/>
      <w:bookmarkStart w:id="2616" w:name="_Toc143356375"/>
      <w:bookmarkEnd w:id="2616"/>
      <w:bookmarkStart w:id="2617" w:name="_Toc143358131"/>
      <w:bookmarkEnd w:id="2617"/>
      <w:bookmarkStart w:id="2618" w:name="_Toc143356085"/>
      <w:bookmarkEnd w:id="2618"/>
      <w:bookmarkStart w:id="2619" w:name="_Toc143355794"/>
      <w:bookmarkEnd w:id="2619"/>
      <w:bookmarkStart w:id="2620" w:name="_Toc143099459"/>
      <w:bookmarkEnd w:id="2620"/>
      <w:bookmarkStart w:id="2621" w:name="_Toc143358712"/>
      <w:bookmarkEnd w:id="2621"/>
      <w:bookmarkStart w:id="2622" w:name="_Toc142858917"/>
      <w:bookmarkEnd w:id="2622"/>
      <w:bookmarkStart w:id="2623" w:name="_Toc143354646"/>
      <w:bookmarkEnd w:id="2623"/>
      <w:bookmarkStart w:id="2624" w:name="_Toc143356665"/>
      <w:bookmarkEnd w:id="2624"/>
      <w:bookmarkStart w:id="2625" w:name="_Toc143354072"/>
      <w:bookmarkEnd w:id="2625"/>
      <w:bookmarkStart w:id="2626" w:name="_Toc143355214"/>
      <w:bookmarkEnd w:id="2626"/>
      <w:bookmarkStart w:id="2627" w:name="_Toc143357548"/>
      <w:bookmarkEnd w:id="2627"/>
      <w:bookmarkStart w:id="2628" w:name="_Toc143354071"/>
      <w:bookmarkEnd w:id="2628"/>
      <w:bookmarkStart w:id="2629" w:name="_Toc143358420"/>
      <w:bookmarkEnd w:id="2629"/>
      <w:bookmarkStart w:id="2630" w:name="_Toc143358421"/>
      <w:bookmarkEnd w:id="2630"/>
      <w:bookmarkStart w:id="2631" w:name="_Toc143355503"/>
      <w:bookmarkEnd w:id="2631"/>
      <w:bookmarkStart w:id="2632" w:name="_Toc143355795"/>
      <w:bookmarkEnd w:id="2632"/>
      <w:bookmarkStart w:id="2633" w:name="_Toc143356663"/>
      <w:bookmarkEnd w:id="2633"/>
      <w:bookmarkStart w:id="2634" w:name="_Toc143354362"/>
      <w:bookmarkEnd w:id="2634"/>
      <w:bookmarkStart w:id="2635" w:name="_Toc143099461"/>
      <w:bookmarkEnd w:id="2635"/>
      <w:bookmarkStart w:id="2636" w:name="_Toc143260868"/>
      <w:bookmarkEnd w:id="2636"/>
      <w:bookmarkStart w:id="2637" w:name="_Toc143357257"/>
      <w:bookmarkEnd w:id="2637"/>
      <w:bookmarkStart w:id="2638" w:name="_Toc143355505"/>
      <w:bookmarkEnd w:id="2638"/>
      <w:bookmarkStart w:id="2639" w:name="_Toc143356967"/>
      <w:bookmarkEnd w:id="2639"/>
      <w:bookmarkStart w:id="2640" w:name="_Toc143353787"/>
      <w:bookmarkEnd w:id="2640"/>
      <w:bookmarkStart w:id="2641" w:name="_Toc143099460"/>
      <w:bookmarkEnd w:id="2641"/>
      <w:bookmarkStart w:id="2642" w:name="_Toc143354930"/>
      <w:bookmarkEnd w:id="2642"/>
      <w:bookmarkStart w:id="2643" w:name="_Toc143353785"/>
      <w:bookmarkEnd w:id="2643"/>
      <w:bookmarkStart w:id="2644" w:name="_Toc143354645"/>
      <w:bookmarkEnd w:id="2644"/>
      <w:bookmarkStart w:id="2645" w:name="_Toc143357839"/>
      <w:bookmarkEnd w:id="2645"/>
      <w:bookmarkStart w:id="2646" w:name="_Toc132305855"/>
      <w:bookmarkStart w:id="2647" w:name="_Toc24593"/>
      <w:bookmarkStart w:id="2648" w:name="_Toc141887955"/>
      <w:r>
        <w:rPr>
          <w:rFonts w:hint="eastAsia"/>
        </w:rPr>
        <w:t>保护水资源与湿地</w:t>
      </w:r>
      <w:bookmarkEnd w:id="2646"/>
      <w:bookmarkEnd w:id="2647"/>
      <w:bookmarkEnd w:id="2648"/>
    </w:p>
    <w:p w14:paraId="09DDDCDC">
      <w:pPr>
        <w:ind w:firstLine="6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按照</w:t>
      </w:r>
      <w:r>
        <w:rPr>
          <w:rFonts w:hint="eastAsia" w:ascii="仿宋_GB2312"/>
          <w:color w:val="000000" w:themeColor="text1"/>
          <w14:textFill>
            <w14:solidFill>
              <w14:schemeClr w14:val="tx1"/>
            </w14:solidFill>
          </w14:textFill>
        </w:rPr>
        <w:t>“</w:t>
      </w:r>
      <w:r>
        <w:rPr>
          <w:rFonts w:hint="eastAsia"/>
          <w:color w:val="000000" w:themeColor="text1"/>
          <w14:textFill>
            <w14:solidFill>
              <w14:schemeClr w14:val="tx1"/>
            </w14:solidFill>
          </w14:textFill>
        </w:rPr>
        <w:t>以水定城、以水定地、以水定人、以水定产</w:t>
      </w:r>
      <w:r>
        <w:rPr>
          <w:rFonts w:hint="eastAsia" w:ascii="仿宋_GB2312"/>
          <w:color w:val="000000" w:themeColor="text1"/>
          <w14:textFill>
            <w14:solidFill>
              <w14:schemeClr w14:val="tx1"/>
            </w14:solidFill>
          </w14:textFill>
        </w:rPr>
        <w:t>”</w:t>
      </w:r>
      <w:r>
        <w:rPr>
          <w:rFonts w:hint="eastAsia"/>
          <w:color w:val="000000" w:themeColor="text1"/>
          <w14:textFill>
            <w14:solidFill>
              <w14:schemeClr w14:val="tx1"/>
            </w14:solidFill>
          </w14:textFill>
        </w:rPr>
        <w:t>要求，强化水资源承载力刚性约束，进一步提高用水效率。严守用水总量红线，全面实施用水总量管理，</w:t>
      </w:r>
      <w:r>
        <w:rPr>
          <w:rFonts w:hint="eastAsia"/>
          <w:color w:val="000000" w:themeColor="text1"/>
          <w:u w:val="single"/>
          <w14:textFill>
            <w14:solidFill>
              <w14:schemeClr w14:val="tx1"/>
            </w14:solidFill>
          </w14:textFill>
        </w:rPr>
        <w:t>规划至</w:t>
      </w:r>
      <w:r>
        <w:rPr>
          <w:rFonts w:ascii="Times New Roman" w:hAnsi="Times New Roman" w:cs="Times New Roman"/>
          <w:color w:val="000000" w:themeColor="text1"/>
          <w:u w:val="single"/>
          <w14:textFill>
            <w14:solidFill>
              <w14:schemeClr w14:val="tx1"/>
            </w14:solidFill>
          </w14:textFill>
        </w:rPr>
        <w:t>2030</w:t>
      </w:r>
      <w:r>
        <w:rPr>
          <w:color w:val="000000" w:themeColor="text1"/>
          <w:u w:val="single"/>
          <w14:textFill>
            <w14:solidFill>
              <w14:schemeClr w14:val="tx1"/>
            </w14:solidFill>
          </w14:textFill>
        </w:rPr>
        <w:t>年，全</w:t>
      </w:r>
      <w:r>
        <w:rPr>
          <w:rFonts w:hint="eastAsia"/>
          <w:color w:val="000000" w:themeColor="text1"/>
          <w:u w:val="single"/>
          <w14:textFill>
            <w14:solidFill>
              <w14:schemeClr w14:val="tx1"/>
            </w14:solidFill>
          </w14:textFill>
        </w:rPr>
        <w:t>县</w:t>
      </w:r>
      <w:r>
        <w:rPr>
          <w:color w:val="000000" w:themeColor="text1"/>
          <w:u w:val="single"/>
          <w14:textFill>
            <w14:solidFill>
              <w14:schemeClr w14:val="tx1"/>
            </w14:solidFill>
          </w14:textFill>
        </w:rPr>
        <w:t>用水总量控制在</w:t>
      </w:r>
      <w:r>
        <w:rPr>
          <w:rFonts w:ascii="Times New Roman" w:hAnsi="Times New Roman" w:cs="Times New Roman"/>
          <w:color w:val="000000" w:themeColor="text1"/>
          <w:u w:val="single"/>
          <w14:textFill>
            <w14:solidFill>
              <w14:schemeClr w14:val="tx1"/>
            </w14:solidFill>
          </w14:textFill>
        </w:rPr>
        <w:t>2.6</w:t>
      </w:r>
      <w:r>
        <w:rPr>
          <w:color w:val="000000" w:themeColor="text1"/>
          <w:u w:val="single"/>
          <w14:textFill>
            <w14:solidFill>
              <w14:schemeClr w14:val="tx1"/>
            </w14:solidFill>
          </w14:textFill>
        </w:rPr>
        <w:t>亿立方米以内</w:t>
      </w:r>
      <w:bookmarkStart w:id="2649" w:name="_Hlk145006994"/>
      <w:r>
        <w:rPr>
          <w:color w:val="000000" w:themeColor="text1"/>
          <w:u w:val="single"/>
          <w14:textFill>
            <w14:solidFill>
              <w14:schemeClr w14:val="tx1"/>
            </w14:solidFill>
          </w14:textFill>
        </w:rPr>
        <w:t>，</w:t>
      </w:r>
      <w:r>
        <w:rPr>
          <w:rFonts w:ascii="Times New Roman" w:hAnsi="Times New Roman" w:cs="Times New Roman"/>
          <w:color w:val="000000" w:themeColor="text1"/>
          <w:u w:val="single"/>
          <w14:textFill>
            <w14:solidFill>
              <w14:schemeClr w14:val="tx1"/>
            </w14:solidFill>
          </w14:textFill>
        </w:rPr>
        <w:t>2035</w:t>
      </w:r>
      <w:r>
        <w:rPr>
          <w:color w:val="000000" w:themeColor="text1"/>
          <w:u w:val="single"/>
          <w14:textFill>
            <w14:solidFill>
              <w14:schemeClr w14:val="tx1"/>
            </w14:solidFill>
          </w14:textFill>
        </w:rPr>
        <w:t>年全</w:t>
      </w:r>
      <w:r>
        <w:rPr>
          <w:rFonts w:hint="eastAsia"/>
          <w:color w:val="000000" w:themeColor="text1"/>
          <w:u w:val="single"/>
          <w14:textFill>
            <w14:solidFill>
              <w14:schemeClr w14:val="tx1"/>
            </w14:solidFill>
          </w14:textFill>
        </w:rPr>
        <w:t>县</w:t>
      </w:r>
      <w:r>
        <w:rPr>
          <w:color w:val="000000" w:themeColor="text1"/>
          <w:u w:val="single"/>
          <w14:textFill>
            <w14:solidFill>
              <w14:schemeClr w14:val="tx1"/>
            </w14:solidFill>
          </w14:textFill>
        </w:rPr>
        <w:t>用水总量以上级下达总量为准</w:t>
      </w:r>
      <w:bookmarkEnd w:id="2649"/>
      <w:r>
        <w:rPr>
          <w:color w:val="000000" w:themeColor="text1"/>
          <w:u w:val="single"/>
          <w14:textFill>
            <w14:solidFill>
              <w14:schemeClr w14:val="tx1"/>
            </w14:solidFill>
          </w14:textFill>
        </w:rPr>
        <w:t>。</w:t>
      </w:r>
      <w:r>
        <w:rPr>
          <w:rFonts w:hint="eastAsia"/>
          <w:color w:val="000000" w:themeColor="text1"/>
          <w14:textFill>
            <w14:solidFill>
              <w14:schemeClr w14:val="tx1"/>
            </w14:solidFill>
          </w14:textFill>
        </w:rPr>
        <w:t>对县域主要河流、水库、湿地、饮用水源保护区等重要水资源实施河湖划界，确定保护范围，实施严格保护。加强地下水资源保护，执行地下水取水总量控制与水位控制制度。统筹地下水水源涵养和回补需要，加强水体自然形态保护和修复。</w:t>
      </w:r>
    </w:p>
    <w:p w14:paraId="214768AA">
      <w:pPr>
        <w:ind w:firstLine="6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严格湿地用途管制，增强湿地生态功能，维护湿地生物多样性。加强湿地资源保护力度，保护仁化锦江湖湿地公园、仁化澌溪湖湿地公园两处湿地公园内的湿地资源。构建以自然保护区、湿地公园和森林自然公园为主体，饮用水源保护区、湿地多用途管理区相结合的湿地保护体系，落实管理机构、管理制度，积极开展仁化澌溪湖湿地、仁化县锦江湖湿地以及丹霞街道、红山、周田、石塘、城口等镇（街）</w:t>
      </w:r>
      <w:r>
        <w:rPr>
          <w:color w:val="000000" w:themeColor="text1"/>
          <w14:textFill>
            <w14:solidFill>
              <w14:schemeClr w14:val="tx1"/>
            </w14:solidFill>
          </w14:textFill>
        </w:rPr>
        <w:t>主要内陆滩涂，锦江水库、高坪水库、赤石迳水库以及澌溪河水库等重要水库湿地资源生态调查、评估与保护修复研究工作。</w:t>
      </w:r>
    </w:p>
    <w:p w14:paraId="1A499E94">
      <w:pPr>
        <w:pStyle w:val="6"/>
        <w:spacing w:before="163" w:after="163"/>
        <w:rPr>
          <w:b/>
        </w:rPr>
      </w:pPr>
      <w:r>
        <w:rPr>
          <w:rFonts w:hint="eastAsia"/>
        </w:rPr>
        <w:t>管控</w:t>
      </w:r>
      <w:bookmarkStart w:id="2650" w:name="_Toc145063156"/>
      <w:bookmarkEnd w:id="2650"/>
      <w:bookmarkStart w:id="2651" w:name="_Toc145063155"/>
      <w:bookmarkEnd w:id="2651"/>
      <w:bookmarkStart w:id="2652" w:name="_Toc145500022"/>
      <w:bookmarkEnd w:id="2652"/>
      <w:bookmarkStart w:id="2653" w:name="_Toc145277666"/>
      <w:bookmarkEnd w:id="2653"/>
      <w:bookmarkStart w:id="2654" w:name="_Toc132305857"/>
      <w:bookmarkStart w:id="2655" w:name="_Toc141887956"/>
      <w:bookmarkStart w:id="2656" w:name="_Toc29089"/>
      <w:r>
        <w:rPr>
          <w:rFonts w:hint="eastAsia"/>
        </w:rPr>
        <w:t>饮用水水源地</w:t>
      </w:r>
      <w:bookmarkEnd w:id="2654"/>
      <w:bookmarkEnd w:id="2655"/>
      <w:bookmarkEnd w:id="2656"/>
    </w:p>
    <w:p w14:paraId="64DDA99A">
      <w:pPr>
        <w:ind w:firstLine="6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以高坪水库作为主要水源，澌溪河水库作为备用水源。强化饮用水水源地空间管控，严格限制饮用水水源汇水区不利于水源保护的土地利用变更。严禁在红山、长江、城口等镇涉及饮用水水源地的区域内新建畜禽养殖场，避免水体富营养化。持续抓好农村安全饮用水保障，强化饮用水源地隔离防护，加强饮用水水源与地下水源涵养区的保护。</w:t>
      </w:r>
    </w:p>
    <w:p w14:paraId="67DF846F">
      <w:pPr>
        <w:pStyle w:val="5"/>
        <w:numPr>
          <w:ilvl w:val="1"/>
          <w:numId w:val="13"/>
        </w:numPr>
        <w:spacing w:before="163" w:after="163"/>
      </w:pPr>
      <w:bookmarkStart w:id="2657" w:name="_Toc144721952"/>
      <w:bookmarkEnd w:id="2657"/>
      <w:bookmarkStart w:id="2658" w:name="_Toc167271423"/>
      <w:bookmarkStart w:id="2659" w:name="_Toc132305858"/>
      <w:bookmarkStart w:id="2660" w:name="_Toc141887957"/>
      <w:bookmarkStart w:id="2661" w:name="_Toc12283"/>
      <w:bookmarkStart w:id="2662" w:name="_Toc68625526"/>
      <w:bookmarkStart w:id="2663" w:name="_Toc88472382"/>
      <w:r>
        <w:rPr>
          <w:rFonts w:hint="eastAsia"/>
        </w:rPr>
        <w:t>保护与利用森林资源</w:t>
      </w:r>
      <w:bookmarkEnd w:id="2658"/>
      <w:bookmarkEnd w:id="2659"/>
      <w:bookmarkEnd w:id="2660"/>
      <w:bookmarkEnd w:id="2661"/>
      <w:bookmarkEnd w:id="2662"/>
      <w:bookmarkEnd w:id="2663"/>
    </w:p>
    <w:p w14:paraId="02208DA5">
      <w:pPr>
        <w:pStyle w:val="6"/>
        <w:spacing w:before="163" w:after="163"/>
        <w:rPr>
          <w:b/>
        </w:rPr>
      </w:pPr>
      <w:bookmarkStart w:id="2664" w:name="_Toc141887958"/>
      <w:bookmarkStart w:id="2665" w:name="_Toc22716"/>
      <w:bookmarkStart w:id="2666" w:name="_Toc132305859"/>
      <w:r>
        <w:rPr>
          <w:rFonts w:hint="eastAsia"/>
        </w:rPr>
        <w:t>森林</w:t>
      </w:r>
      <w:r>
        <w:t>资源</w:t>
      </w:r>
      <w:r>
        <w:rPr>
          <w:rFonts w:hint="eastAsia"/>
        </w:rPr>
        <w:t>保护目标</w:t>
      </w:r>
      <w:bookmarkEnd w:id="2664"/>
      <w:bookmarkEnd w:id="2665"/>
      <w:bookmarkEnd w:id="2666"/>
    </w:p>
    <w:p w14:paraId="6257BAA2">
      <w:pPr>
        <w:tabs>
          <w:tab w:val="left" w:pos="720"/>
        </w:tabs>
        <w:ind w:firstLine="600"/>
        <w:jc w:val="both"/>
        <w:rPr>
          <w:color w:val="000000" w:themeColor="text1"/>
          <w14:textFill>
            <w14:solidFill>
              <w14:schemeClr w14:val="tx1"/>
            </w14:solidFill>
          </w14:textFill>
        </w:rPr>
      </w:pPr>
      <w:r>
        <w:rPr>
          <w:color w:val="000000" w:themeColor="text1"/>
          <w14:textFill>
            <w14:solidFill>
              <w14:schemeClr w14:val="tx1"/>
            </w14:solidFill>
          </w14:textFill>
        </w:rPr>
        <w:t>深入推进绿美广东生态建设，巩固林业生态建设成果，精准提升森林质量，助力构建绿美韶关生态建设新格局。</w:t>
      </w:r>
    </w:p>
    <w:p w14:paraId="7FA5AAA7">
      <w:pPr>
        <w:pStyle w:val="6"/>
        <w:spacing w:before="163" w:after="163"/>
        <w:rPr>
          <w:b/>
        </w:rPr>
      </w:pPr>
      <w:bookmarkStart w:id="2667" w:name="_Toc141887959"/>
      <w:bookmarkStart w:id="2668" w:name="_Toc15417"/>
      <w:r>
        <w:rPr>
          <w:rFonts w:hint="eastAsia"/>
        </w:rPr>
        <w:t>推进造林绿化</w:t>
      </w:r>
      <w:bookmarkEnd w:id="2667"/>
      <w:bookmarkEnd w:id="2668"/>
      <w:r>
        <w:rPr>
          <w:rFonts w:hint="eastAsia"/>
        </w:rPr>
        <w:t>工程</w:t>
      </w:r>
    </w:p>
    <w:p w14:paraId="496A389F">
      <w:pPr>
        <w:tabs>
          <w:tab w:val="left" w:pos="720"/>
        </w:tabs>
        <w:ind w:firstLine="6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统筹推进丹霞街道、红山镇、长江镇等镇（街）造林绿化工程</w:t>
      </w:r>
      <w:r>
        <w:rPr>
          <w:color w:val="000000" w:themeColor="text1"/>
          <w14:textFill>
            <w14:solidFill>
              <w14:schemeClr w14:val="tx1"/>
            </w14:solidFill>
          </w14:textFill>
        </w:rPr>
        <w:t>，结</w:t>
      </w:r>
      <w:r>
        <w:rPr>
          <w:rFonts w:hint="eastAsia" w:ascii="仿宋_GB2312" w:hAnsi="Times New Roman" w:cs="Times New Roman"/>
          <w:color w:val="000000" w:themeColor="text1"/>
          <w14:textFill>
            <w14:solidFill>
              <w14:schemeClr w14:val="tx1"/>
            </w14:solidFill>
          </w14:textFill>
        </w:rPr>
        <w:t>合“其他土地”“灌木林地”“其他林地”“其他适宜造林土地”等四类造林空</w:t>
      </w:r>
      <w:r>
        <w:rPr>
          <w:color w:val="000000" w:themeColor="text1"/>
          <w14:textFill>
            <w14:solidFill>
              <w14:schemeClr w14:val="tx1"/>
            </w14:solidFill>
          </w14:textFill>
        </w:rPr>
        <w:t>间，推进扩绿增绿、恢复提升生态系统功能，统筹实施天然林保护、公益林造林、碳汇造林、封禁封育、补植补造等工程，提升森林质量。</w:t>
      </w:r>
    </w:p>
    <w:p w14:paraId="3A710911">
      <w:pPr>
        <w:tabs>
          <w:tab w:val="left" w:pos="720"/>
        </w:tabs>
        <w:ind w:firstLine="6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实行有效森林抚育，采用割灌除草、施肥、修枝整形等措施进行生态公益林和商品林的定向抚育。严格林地用途管制，确定生态公益林、天然林保护重点区域。完善林地定额管理制度，实行林地用途管制和总量控制，优先保障重大基础设施、民生项目使用林地需求，严格控制林地转为建设用地和其它非林地。提高防治森林病虫害工作质量和精度，加大苗木检疫力度，监督林木种苗生产和经营，合理划定防控治理区和预防区。</w:t>
      </w:r>
    </w:p>
    <w:p w14:paraId="354B3BD8">
      <w:pPr>
        <w:pStyle w:val="5"/>
        <w:numPr>
          <w:ilvl w:val="1"/>
          <w:numId w:val="13"/>
        </w:numPr>
        <w:spacing w:before="163" w:after="163"/>
        <w:rPr>
          <w:b/>
        </w:rPr>
      </w:pPr>
      <w:bookmarkStart w:id="2669" w:name="_Toc143354938"/>
      <w:bookmarkEnd w:id="2669"/>
      <w:bookmarkStart w:id="2670" w:name="_Toc143352821"/>
      <w:bookmarkEnd w:id="2670"/>
      <w:bookmarkStart w:id="2671" w:name="_Toc143358720"/>
      <w:bookmarkEnd w:id="2671"/>
      <w:bookmarkStart w:id="2672" w:name="_Toc143353115"/>
      <w:bookmarkEnd w:id="2672"/>
      <w:bookmarkStart w:id="2673" w:name="_Toc143354081"/>
      <w:bookmarkEnd w:id="2673"/>
      <w:bookmarkStart w:id="2674" w:name="_Toc143356675"/>
      <w:bookmarkEnd w:id="2674"/>
      <w:bookmarkStart w:id="2675" w:name="_Toc143099182"/>
      <w:bookmarkEnd w:id="2675"/>
      <w:bookmarkStart w:id="2676" w:name="_Toc143354655"/>
      <w:bookmarkEnd w:id="2676"/>
      <w:bookmarkStart w:id="2677" w:name="_Toc143355226"/>
      <w:bookmarkEnd w:id="2677"/>
      <w:bookmarkStart w:id="2678" w:name="_Toc143352824"/>
      <w:bookmarkEnd w:id="2678"/>
      <w:bookmarkStart w:id="2679" w:name="_Toc143355512"/>
      <w:bookmarkEnd w:id="2679"/>
      <w:bookmarkStart w:id="2680" w:name="_Toc143353793"/>
      <w:bookmarkEnd w:id="2680"/>
      <w:bookmarkStart w:id="2681" w:name="_Toc143357555"/>
      <w:bookmarkEnd w:id="2681"/>
      <w:bookmarkStart w:id="2682" w:name="_Toc143260874"/>
      <w:bookmarkEnd w:id="2682"/>
      <w:bookmarkStart w:id="2683" w:name="_Toc143354940"/>
      <w:bookmarkEnd w:id="2683"/>
      <w:bookmarkStart w:id="2684" w:name="_Toc143352819"/>
      <w:bookmarkEnd w:id="2684"/>
      <w:bookmarkStart w:id="2685" w:name="_Toc143354080"/>
      <w:bookmarkEnd w:id="2685"/>
      <w:bookmarkStart w:id="2686" w:name="_Toc143358142"/>
      <w:bookmarkEnd w:id="2686"/>
      <w:bookmarkStart w:id="2687" w:name="_Toc143352820"/>
      <w:bookmarkEnd w:id="2687"/>
      <w:bookmarkStart w:id="2688" w:name="_Toc143357851"/>
      <w:bookmarkEnd w:id="2688"/>
      <w:bookmarkStart w:id="2689" w:name="_Toc143358138"/>
      <w:bookmarkEnd w:id="2689"/>
      <w:bookmarkStart w:id="2690" w:name="_Toc143356385"/>
      <w:bookmarkEnd w:id="2690"/>
      <w:bookmarkStart w:id="2691" w:name="_Toc143357265"/>
      <w:bookmarkEnd w:id="2691"/>
      <w:bookmarkStart w:id="2692" w:name="_Toc143356975"/>
      <w:bookmarkEnd w:id="2692"/>
      <w:bookmarkStart w:id="2693" w:name="_Toc143357560"/>
      <w:bookmarkEnd w:id="2693"/>
      <w:bookmarkStart w:id="2694" w:name="_Toc143356093"/>
      <w:bookmarkEnd w:id="2694"/>
      <w:bookmarkStart w:id="2695" w:name="_Toc143260875"/>
      <w:bookmarkEnd w:id="2695"/>
      <w:bookmarkStart w:id="2696" w:name="_Toc143352823"/>
      <w:bookmarkEnd w:id="2696"/>
      <w:bookmarkStart w:id="2697" w:name="_Toc143354369"/>
      <w:bookmarkEnd w:id="2697"/>
      <w:bookmarkStart w:id="2698" w:name="_Toc143358428"/>
      <w:bookmarkEnd w:id="2698"/>
      <w:bookmarkStart w:id="2699" w:name="_Toc143099472"/>
      <w:bookmarkEnd w:id="2699"/>
      <w:bookmarkStart w:id="2700" w:name="_Toc143356381"/>
      <w:bookmarkEnd w:id="2700"/>
      <w:bookmarkStart w:id="2701" w:name="_Toc143355225"/>
      <w:bookmarkEnd w:id="2701"/>
      <w:bookmarkStart w:id="2702" w:name="_Toc143355222"/>
      <w:bookmarkEnd w:id="2702"/>
      <w:bookmarkStart w:id="2703" w:name="_Toc143357557"/>
      <w:bookmarkEnd w:id="2703"/>
      <w:bookmarkStart w:id="2704" w:name="_Toc143354370"/>
      <w:bookmarkEnd w:id="2704"/>
      <w:bookmarkStart w:id="2705" w:name="_Toc143354942"/>
      <w:bookmarkEnd w:id="2705"/>
      <w:bookmarkStart w:id="2706" w:name="_Toc143099470"/>
      <w:bookmarkEnd w:id="2706"/>
      <w:bookmarkStart w:id="2707" w:name="_Toc143355223"/>
      <w:bookmarkEnd w:id="2707"/>
      <w:bookmarkStart w:id="2708" w:name="_Toc143356674"/>
      <w:bookmarkEnd w:id="2708"/>
      <w:bookmarkStart w:id="2709" w:name="_Toc143099186"/>
      <w:bookmarkEnd w:id="2709"/>
      <w:bookmarkStart w:id="2710" w:name="_Toc143355801"/>
      <w:bookmarkEnd w:id="2710"/>
      <w:bookmarkStart w:id="2711" w:name="_Toc143358141"/>
      <w:bookmarkEnd w:id="2711"/>
      <w:bookmarkStart w:id="2712" w:name="_Toc143099467"/>
      <w:bookmarkEnd w:id="2712"/>
      <w:bookmarkStart w:id="2713" w:name="_Toc143353116"/>
      <w:bookmarkEnd w:id="2713"/>
      <w:bookmarkStart w:id="2714" w:name="_Toc143356673"/>
      <w:bookmarkEnd w:id="2714"/>
      <w:bookmarkStart w:id="2715" w:name="_Toc143354079"/>
      <w:bookmarkEnd w:id="2715"/>
      <w:bookmarkStart w:id="2716" w:name="_Toc143357848"/>
      <w:bookmarkEnd w:id="2716"/>
      <w:bookmarkStart w:id="2717" w:name="_Toc143357846"/>
      <w:bookmarkEnd w:id="2717"/>
      <w:bookmarkStart w:id="2718" w:name="_Toc143354656"/>
      <w:bookmarkEnd w:id="2718"/>
      <w:bookmarkStart w:id="2719" w:name="_Toc143353794"/>
      <w:bookmarkEnd w:id="2719"/>
      <w:bookmarkStart w:id="2720" w:name="_Toc143099471"/>
      <w:bookmarkEnd w:id="2720"/>
      <w:bookmarkStart w:id="2721" w:name="_Toc143099469"/>
      <w:bookmarkEnd w:id="2721"/>
      <w:bookmarkStart w:id="2722" w:name="_Toc143355805"/>
      <w:bookmarkEnd w:id="2722"/>
      <w:bookmarkStart w:id="2723" w:name="_Toc143358137"/>
      <w:bookmarkEnd w:id="2723"/>
      <w:bookmarkStart w:id="2724" w:name="_Toc143356980"/>
      <w:bookmarkEnd w:id="2724"/>
      <w:bookmarkStart w:id="2725" w:name="_Toc143357559"/>
      <w:bookmarkEnd w:id="2725"/>
      <w:bookmarkStart w:id="2726" w:name="_Toc143353118"/>
      <w:bookmarkEnd w:id="2726"/>
      <w:bookmarkStart w:id="2727" w:name="_Toc143357558"/>
      <w:bookmarkEnd w:id="2727"/>
      <w:bookmarkStart w:id="2728" w:name="_Toc143356382"/>
      <w:bookmarkEnd w:id="2728"/>
      <w:bookmarkStart w:id="2729" w:name="_Toc143353119"/>
      <w:bookmarkEnd w:id="2729"/>
      <w:bookmarkStart w:id="2730" w:name="_Toc143358718"/>
      <w:bookmarkEnd w:id="2730"/>
      <w:bookmarkStart w:id="2731" w:name="_Toc143358722"/>
      <w:bookmarkEnd w:id="2731"/>
      <w:bookmarkStart w:id="2732" w:name="_Toc143358427"/>
      <w:bookmarkEnd w:id="2732"/>
      <w:bookmarkStart w:id="2733" w:name="_Toc143353798"/>
      <w:bookmarkEnd w:id="2733"/>
      <w:bookmarkStart w:id="2734" w:name="_Toc145500028"/>
      <w:bookmarkEnd w:id="2734"/>
      <w:bookmarkStart w:id="2735" w:name="_Toc143358139"/>
      <w:bookmarkEnd w:id="2735"/>
      <w:bookmarkStart w:id="2736" w:name="_Toc143354371"/>
      <w:bookmarkEnd w:id="2736"/>
      <w:bookmarkStart w:id="2737" w:name="_Toc143356096"/>
      <w:bookmarkEnd w:id="2737"/>
      <w:bookmarkStart w:id="2738" w:name="_Toc143354653"/>
      <w:bookmarkEnd w:id="2738"/>
      <w:bookmarkStart w:id="2739" w:name="_Toc143355516"/>
      <w:bookmarkEnd w:id="2739"/>
      <w:bookmarkStart w:id="2740" w:name="_Toc143355511"/>
      <w:bookmarkEnd w:id="2740"/>
      <w:bookmarkStart w:id="2741" w:name="_Toc143355803"/>
      <w:bookmarkEnd w:id="2741"/>
      <w:bookmarkStart w:id="2742" w:name="_Toc142858927"/>
      <w:bookmarkEnd w:id="2742"/>
      <w:bookmarkStart w:id="2743" w:name="_Toc143355806"/>
      <w:bookmarkEnd w:id="2743"/>
      <w:bookmarkStart w:id="2744" w:name="_Toc145277672"/>
      <w:bookmarkEnd w:id="2744"/>
      <w:bookmarkStart w:id="2745" w:name="_Toc143355515"/>
      <w:bookmarkEnd w:id="2745"/>
      <w:bookmarkStart w:id="2746" w:name="_Toc143352822"/>
      <w:bookmarkEnd w:id="2746"/>
      <w:bookmarkStart w:id="2747" w:name="_Toc143353795"/>
      <w:bookmarkEnd w:id="2747"/>
      <w:bookmarkStart w:id="2748" w:name="_Toc143357849"/>
      <w:bookmarkEnd w:id="2748"/>
      <w:bookmarkStart w:id="2749" w:name="_Toc143260876"/>
      <w:bookmarkEnd w:id="2749"/>
      <w:bookmarkStart w:id="2750" w:name="_Toc143353117"/>
      <w:bookmarkEnd w:id="2750"/>
      <w:bookmarkStart w:id="2751" w:name="_Toc143099183"/>
      <w:bookmarkEnd w:id="2751"/>
      <w:bookmarkStart w:id="2752" w:name="_Toc143355514"/>
      <w:bookmarkEnd w:id="2752"/>
      <w:bookmarkStart w:id="2753" w:name="_Toc143358140"/>
      <w:bookmarkEnd w:id="2753"/>
      <w:bookmarkStart w:id="2754" w:name="_Toc143358429"/>
      <w:bookmarkEnd w:id="2754"/>
      <w:bookmarkStart w:id="2755" w:name="_Toc143356384"/>
      <w:bookmarkEnd w:id="2755"/>
      <w:bookmarkStart w:id="2756" w:name="_Toc143354654"/>
      <w:bookmarkEnd w:id="2756"/>
      <w:bookmarkStart w:id="2757" w:name="_Toc143356978"/>
      <w:bookmarkEnd w:id="2757"/>
      <w:bookmarkStart w:id="2758" w:name="_Toc143358430"/>
      <w:bookmarkEnd w:id="2758"/>
      <w:bookmarkStart w:id="2759" w:name="_Toc143354372"/>
      <w:bookmarkEnd w:id="2759"/>
      <w:bookmarkStart w:id="2760" w:name="_Toc143356979"/>
      <w:bookmarkEnd w:id="2760"/>
      <w:bookmarkStart w:id="2761" w:name="_Toc143354937"/>
      <w:bookmarkEnd w:id="2761"/>
      <w:bookmarkStart w:id="2762" w:name="_Toc143260879"/>
      <w:bookmarkEnd w:id="2762"/>
      <w:bookmarkStart w:id="2763" w:name="_Toc143354084"/>
      <w:bookmarkEnd w:id="2763"/>
      <w:bookmarkStart w:id="2764" w:name="_Toc142858925"/>
      <w:bookmarkEnd w:id="2764"/>
      <w:bookmarkStart w:id="2765" w:name="_Toc142858924"/>
      <w:bookmarkEnd w:id="2765"/>
      <w:bookmarkStart w:id="2766" w:name="_Toc143356676"/>
      <w:bookmarkEnd w:id="2766"/>
      <w:bookmarkStart w:id="2767" w:name="_Toc143353797"/>
      <w:bookmarkEnd w:id="2767"/>
      <w:bookmarkStart w:id="2768" w:name="_Toc143353796"/>
      <w:bookmarkEnd w:id="2768"/>
      <w:bookmarkStart w:id="2769" w:name="_Toc143356091"/>
      <w:bookmarkEnd w:id="2769"/>
      <w:bookmarkStart w:id="2770" w:name="_Toc143356094"/>
      <w:bookmarkEnd w:id="2770"/>
      <w:bookmarkStart w:id="2771" w:name="_Toc143356095"/>
      <w:bookmarkEnd w:id="2771"/>
      <w:bookmarkStart w:id="2772" w:name="_Toc143355221"/>
      <w:bookmarkEnd w:id="2772"/>
      <w:bookmarkStart w:id="2773" w:name="_Toc143357847"/>
      <w:bookmarkEnd w:id="2773"/>
      <w:bookmarkStart w:id="2774" w:name="_Toc143356976"/>
      <w:bookmarkEnd w:id="2774"/>
      <w:bookmarkStart w:id="2775" w:name="_Toc143354082"/>
      <w:bookmarkEnd w:id="2775"/>
      <w:bookmarkStart w:id="2776" w:name="_Toc143354373"/>
      <w:bookmarkEnd w:id="2776"/>
      <w:bookmarkStart w:id="2777" w:name="_Toc143099468"/>
      <w:bookmarkEnd w:id="2777"/>
      <w:bookmarkStart w:id="2778" w:name="_Toc143099185"/>
      <w:bookmarkEnd w:id="2778"/>
      <w:bookmarkStart w:id="2779" w:name="_Toc143099184"/>
      <w:bookmarkEnd w:id="2779"/>
      <w:bookmarkStart w:id="2780" w:name="_Toc143354658"/>
      <w:bookmarkEnd w:id="2780"/>
      <w:bookmarkStart w:id="2781" w:name="_Toc143358719"/>
      <w:bookmarkEnd w:id="2781"/>
      <w:bookmarkStart w:id="2782" w:name="_Toc143353120"/>
      <w:bookmarkEnd w:id="2782"/>
      <w:bookmarkStart w:id="2783" w:name="_Toc143357270"/>
      <w:bookmarkEnd w:id="2783"/>
      <w:bookmarkStart w:id="2784" w:name="_Toc143354941"/>
      <w:bookmarkEnd w:id="2784"/>
      <w:bookmarkStart w:id="2785" w:name="_Toc143356386"/>
      <w:bookmarkEnd w:id="2785"/>
      <w:bookmarkStart w:id="2786" w:name="_Toc143355513"/>
      <w:bookmarkEnd w:id="2786"/>
      <w:bookmarkStart w:id="2787" w:name="_Toc143355804"/>
      <w:bookmarkEnd w:id="2787"/>
      <w:bookmarkStart w:id="2788" w:name="_Toc143354939"/>
      <w:bookmarkEnd w:id="2788"/>
      <w:bookmarkStart w:id="2789" w:name="_Toc143260877"/>
      <w:bookmarkEnd w:id="2789"/>
      <w:bookmarkStart w:id="2790" w:name="_Toc142858926"/>
      <w:bookmarkEnd w:id="2790"/>
      <w:bookmarkStart w:id="2791" w:name="_Toc143355802"/>
      <w:bookmarkEnd w:id="2791"/>
      <w:bookmarkStart w:id="2792" w:name="_Toc142858928"/>
      <w:bookmarkEnd w:id="2792"/>
      <w:bookmarkStart w:id="2793" w:name="_Toc143356672"/>
      <w:bookmarkEnd w:id="2793"/>
      <w:bookmarkStart w:id="2794" w:name="_Toc143356671"/>
      <w:bookmarkEnd w:id="2794"/>
      <w:bookmarkStart w:id="2795" w:name="_Toc143358723"/>
      <w:bookmarkEnd w:id="2795"/>
      <w:bookmarkStart w:id="2796" w:name="_Toc143357850"/>
      <w:bookmarkEnd w:id="2796"/>
      <w:bookmarkStart w:id="2797" w:name="_Toc143354657"/>
      <w:bookmarkEnd w:id="2797"/>
      <w:bookmarkStart w:id="2798" w:name="_Toc143356977"/>
      <w:bookmarkEnd w:id="2798"/>
      <w:bookmarkStart w:id="2799" w:name="_Toc143358721"/>
      <w:bookmarkEnd w:id="2799"/>
      <w:bookmarkStart w:id="2800" w:name="_Toc143357267"/>
      <w:bookmarkEnd w:id="2800"/>
      <w:bookmarkStart w:id="2801" w:name="_Toc143260878"/>
      <w:bookmarkEnd w:id="2801"/>
      <w:bookmarkStart w:id="2802" w:name="_Toc143358431"/>
      <w:bookmarkEnd w:id="2802"/>
      <w:bookmarkStart w:id="2803" w:name="_Toc143355224"/>
      <w:bookmarkEnd w:id="2803"/>
      <w:bookmarkStart w:id="2804" w:name="_Toc143354083"/>
      <w:bookmarkEnd w:id="2804"/>
      <w:bookmarkStart w:id="2805" w:name="_Toc143099187"/>
      <w:bookmarkEnd w:id="2805"/>
      <w:bookmarkStart w:id="2806" w:name="_Toc143358432"/>
      <w:bookmarkEnd w:id="2806"/>
      <w:bookmarkStart w:id="2807" w:name="_Toc143357556"/>
      <w:bookmarkEnd w:id="2807"/>
      <w:bookmarkStart w:id="2808" w:name="_Toc142858929"/>
      <w:bookmarkEnd w:id="2808"/>
      <w:bookmarkStart w:id="2809" w:name="_Toc143354374"/>
      <w:bookmarkEnd w:id="2809"/>
      <w:bookmarkStart w:id="2810" w:name="_Toc143357266"/>
      <w:bookmarkEnd w:id="2810"/>
      <w:bookmarkStart w:id="2811" w:name="_Toc143357269"/>
      <w:bookmarkEnd w:id="2811"/>
      <w:bookmarkStart w:id="2812" w:name="_Toc143357268"/>
      <w:bookmarkEnd w:id="2812"/>
      <w:bookmarkStart w:id="2813" w:name="_Toc143356383"/>
      <w:bookmarkEnd w:id="2813"/>
      <w:bookmarkStart w:id="2814" w:name="_Toc143356092"/>
      <w:bookmarkEnd w:id="2814"/>
      <w:bookmarkStart w:id="2815" w:name="_Toc132305860"/>
      <w:bookmarkStart w:id="2816" w:name="_Toc141887961"/>
      <w:bookmarkStart w:id="2817" w:name="_Toc68625527"/>
      <w:bookmarkStart w:id="2818" w:name="_Toc88472383"/>
      <w:bookmarkStart w:id="2819" w:name="_Toc11218"/>
      <w:bookmarkStart w:id="2820" w:name="_Toc167271424"/>
      <w:r>
        <w:rPr>
          <w:rFonts w:hint="eastAsia"/>
        </w:rPr>
        <w:t>保护与利用矿产资源</w:t>
      </w:r>
      <w:bookmarkEnd w:id="2815"/>
      <w:bookmarkEnd w:id="2816"/>
      <w:bookmarkEnd w:id="2817"/>
      <w:bookmarkEnd w:id="2818"/>
      <w:bookmarkEnd w:id="2819"/>
      <w:bookmarkEnd w:id="2820"/>
      <w:bookmarkStart w:id="2821" w:name="_Toc132305861"/>
    </w:p>
    <w:p w14:paraId="14D69FB1">
      <w:pPr>
        <w:pStyle w:val="6"/>
        <w:spacing w:before="163" w:after="163"/>
        <w:rPr>
          <w:b/>
        </w:rPr>
      </w:pPr>
      <w:bookmarkStart w:id="2822" w:name="_Toc143358145"/>
      <w:bookmarkEnd w:id="2822"/>
      <w:bookmarkStart w:id="2823" w:name="_Toc143358726"/>
      <w:bookmarkEnd w:id="2823"/>
      <w:bookmarkStart w:id="2824" w:name="_Toc143099190"/>
      <w:bookmarkEnd w:id="2824"/>
      <w:bookmarkStart w:id="2825" w:name="_Toc143357854"/>
      <w:bookmarkEnd w:id="2825"/>
      <w:bookmarkStart w:id="2826" w:name="_Toc143357563"/>
      <w:bookmarkEnd w:id="2826"/>
      <w:bookmarkStart w:id="2827" w:name="_Toc143356679"/>
      <w:bookmarkEnd w:id="2827"/>
      <w:bookmarkStart w:id="2828" w:name="_Toc142400733"/>
      <w:bookmarkEnd w:id="2828"/>
      <w:bookmarkStart w:id="2829" w:name="_Toc142403198"/>
      <w:bookmarkEnd w:id="2829"/>
      <w:bookmarkStart w:id="2830" w:name="_Toc143355809"/>
      <w:bookmarkEnd w:id="2830"/>
      <w:bookmarkStart w:id="2831" w:name="_Toc143354945"/>
      <w:bookmarkEnd w:id="2831"/>
      <w:bookmarkStart w:id="2832" w:name="_Toc142858932"/>
      <w:bookmarkEnd w:id="2832"/>
      <w:bookmarkStart w:id="2833" w:name="_Toc143260882"/>
      <w:bookmarkEnd w:id="2833"/>
      <w:bookmarkStart w:id="2834" w:name="_Toc142466995"/>
      <w:bookmarkEnd w:id="2834"/>
      <w:bookmarkStart w:id="2835" w:name="_Toc143356099"/>
      <w:bookmarkEnd w:id="2835"/>
      <w:bookmarkStart w:id="2836" w:name="_Toc143354377"/>
      <w:bookmarkEnd w:id="2836"/>
      <w:bookmarkStart w:id="2837" w:name="_Toc143353123"/>
      <w:bookmarkEnd w:id="2837"/>
      <w:bookmarkStart w:id="2838" w:name="_Toc142391075"/>
      <w:bookmarkEnd w:id="2838"/>
      <w:bookmarkStart w:id="2839" w:name="_Toc142381254"/>
      <w:bookmarkEnd w:id="2839"/>
      <w:bookmarkStart w:id="2840" w:name="_Toc143357273"/>
      <w:bookmarkEnd w:id="2840"/>
      <w:bookmarkStart w:id="2841" w:name="_Toc143355229"/>
      <w:bookmarkEnd w:id="2841"/>
      <w:bookmarkStart w:id="2842" w:name="_Toc143099475"/>
      <w:bookmarkEnd w:id="2842"/>
      <w:bookmarkStart w:id="2843" w:name="_Toc143354661"/>
      <w:bookmarkEnd w:id="2843"/>
      <w:bookmarkStart w:id="2844" w:name="_Toc142390489"/>
      <w:bookmarkEnd w:id="2844"/>
      <w:bookmarkStart w:id="2845" w:name="_Toc143354087"/>
      <w:bookmarkEnd w:id="2845"/>
      <w:bookmarkStart w:id="2846" w:name="_Toc143355519"/>
      <w:bookmarkEnd w:id="2846"/>
      <w:bookmarkStart w:id="2847" w:name="_Toc142402947"/>
      <w:bookmarkEnd w:id="2847"/>
      <w:bookmarkStart w:id="2848" w:name="_Toc142495676"/>
      <w:bookmarkEnd w:id="2848"/>
      <w:bookmarkStart w:id="2849" w:name="_Toc142391335"/>
      <w:bookmarkEnd w:id="2849"/>
      <w:bookmarkStart w:id="2850" w:name="_Toc143353801"/>
      <w:bookmarkEnd w:id="2850"/>
      <w:bookmarkStart w:id="2851" w:name="_Toc143358435"/>
      <w:bookmarkEnd w:id="2851"/>
      <w:bookmarkStart w:id="2852" w:name="_Toc143352827"/>
      <w:bookmarkEnd w:id="2852"/>
      <w:bookmarkStart w:id="2853" w:name="_Toc143356389"/>
      <w:bookmarkEnd w:id="2853"/>
      <w:bookmarkStart w:id="2854" w:name="_Toc143356983"/>
      <w:bookmarkEnd w:id="2854"/>
      <w:bookmarkStart w:id="2855" w:name="_Toc142380989"/>
      <w:bookmarkEnd w:id="2855"/>
      <w:bookmarkStart w:id="2856" w:name="_Toc141887963"/>
      <w:bookmarkStart w:id="2857" w:name="_Toc25984"/>
      <w:r>
        <w:rPr>
          <w:rFonts w:hint="eastAsia"/>
        </w:rPr>
        <w:t>保护利用矿产资源</w:t>
      </w:r>
      <w:bookmarkEnd w:id="2821"/>
      <w:bookmarkEnd w:id="2856"/>
      <w:bookmarkEnd w:id="2857"/>
    </w:p>
    <w:p w14:paraId="714DBDCB">
      <w:pPr>
        <w:tabs>
          <w:tab w:val="left" w:pos="720"/>
        </w:tabs>
        <w:ind w:firstLine="6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将矿采资源保护开发的重点区域划分为能源资源基地、重点开采区、勘查规划区、开采规划区、砂石土矿产集中开采区</w:t>
      </w:r>
      <w:r>
        <w:rPr>
          <w:rFonts w:ascii="Times New Roman" w:hAnsi="Times New Roman" w:cs="Times New Roman"/>
          <w:color w:val="000000" w:themeColor="text1"/>
          <w14:textFill>
            <w14:solidFill>
              <w14:schemeClr w14:val="tx1"/>
            </w14:solidFill>
          </w14:textFill>
        </w:rPr>
        <w:t>5</w:t>
      </w:r>
      <w:r>
        <w:rPr>
          <w:color w:val="000000" w:themeColor="text1"/>
          <w14:textFill>
            <w14:solidFill>
              <w14:schemeClr w14:val="tx1"/>
            </w14:solidFill>
          </w14:textFill>
        </w:rPr>
        <w:t>类勘查开采区。重点保障凡口铅锌矿和长江塘洞石英砂能源资源基地建设。实施矿产资源开发利用总量控制，优化矿产资源开采布局，落实采矿权、采石场数量控制指标，提高矿产资源综合利用效率，科学划定矿产资源控制线。</w:t>
      </w:r>
      <w:r>
        <w:rPr>
          <w:rFonts w:hint="eastAsia"/>
          <w:color w:val="000000" w:themeColor="text1"/>
          <w14:textFill>
            <w14:solidFill>
              <w14:schemeClr w14:val="tx1"/>
            </w14:solidFill>
          </w14:textFill>
        </w:rPr>
        <w:t>控制矿山设置数量，实行规模化、集约化开采，按照绿色矿山建设要求，做好矿山地质环境保护措施，提高开发利用水平。矿泉水、地热开采等严格执行建设项目水资源论证制度和取水许可制度。开采矿泉水、地热水的</w:t>
      </w:r>
      <w:r>
        <w:rPr>
          <w:color w:val="000000" w:themeColor="text1"/>
          <w14:textFill>
            <w14:solidFill>
              <w14:schemeClr w14:val="tx1"/>
            </w14:solidFill>
          </w14:textFill>
        </w:rPr>
        <w:t>,需凭取水许可证办理采矿许可证。规划至</w:t>
      </w:r>
      <w:r>
        <w:rPr>
          <w:rFonts w:ascii="Times New Roman" w:hAnsi="Times New Roman" w:cs="Times New Roman"/>
          <w:color w:val="000000" w:themeColor="text1"/>
          <w14:textFill>
            <w14:solidFill>
              <w14:schemeClr w14:val="tx1"/>
            </w14:solidFill>
          </w14:textFill>
        </w:rPr>
        <w:t>2025</w:t>
      </w:r>
      <w:r>
        <w:rPr>
          <w:color w:val="000000" w:themeColor="text1"/>
          <w14:textFill>
            <w14:solidFill>
              <w14:schemeClr w14:val="tx1"/>
            </w14:solidFill>
          </w14:textFill>
        </w:rPr>
        <w:t>年，全县持证矿山</w:t>
      </w:r>
      <w:r>
        <w:rPr>
          <w:rFonts w:ascii="Times New Roman" w:hAnsi="Times New Roman" w:cs="Times New Roman"/>
          <w:color w:val="000000" w:themeColor="text1"/>
          <w14:textFill>
            <w14:solidFill>
              <w14:schemeClr w14:val="tx1"/>
            </w14:solidFill>
          </w14:textFill>
        </w:rPr>
        <w:t>100%</w:t>
      </w:r>
      <w:r>
        <w:rPr>
          <w:color w:val="000000" w:themeColor="text1"/>
          <w14:textFill>
            <w14:solidFill>
              <w14:schemeClr w14:val="tx1"/>
            </w14:solidFill>
          </w14:textFill>
        </w:rPr>
        <w:t>达到绿色矿山建设标准，矿山地质环境得到根本改善，绿色矿业格局全面建成。</w:t>
      </w:r>
    </w:p>
    <w:p w14:paraId="3D76A483">
      <w:pPr>
        <w:pStyle w:val="5"/>
        <w:numPr>
          <w:ilvl w:val="1"/>
          <w:numId w:val="13"/>
        </w:numPr>
        <w:spacing w:before="163" w:after="163"/>
        <w:rPr>
          <w:b/>
        </w:rPr>
      </w:pPr>
      <w:bookmarkStart w:id="2858" w:name="_Toc144721961"/>
      <w:bookmarkEnd w:id="2858"/>
      <w:bookmarkStart w:id="2859" w:name="_Toc144721960"/>
      <w:bookmarkEnd w:id="2859"/>
      <w:bookmarkStart w:id="2860" w:name="_Toc144721959"/>
      <w:bookmarkEnd w:id="2860"/>
      <w:bookmarkStart w:id="2861" w:name="_Toc167271425"/>
      <w:bookmarkStart w:id="2862" w:name="_Toc132305863"/>
      <w:bookmarkStart w:id="2863" w:name="_Toc26849"/>
      <w:bookmarkStart w:id="2864" w:name="_Toc129196598"/>
      <w:bookmarkStart w:id="2865" w:name="_Toc141887966"/>
      <w:r>
        <w:rPr>
          <w:rFonts w:hint="eastAsia"/>
        </w:rPr>
        <w:t>保护与利用气候资源</w:t>
      </w:r>
      <w:bookmarkEnd w:id="2861"/>
    </w:p>
    <w:p w14:paraId="26438699">
      <w:pPr>
        <w:pStyle w:val="6"/>
        <w:spacing w:before="163" w:after="163"/>
        <w:rPr>
          <w:b/>
        </w:rPr>
      </w:pPr>
      <w:r>
        <w:rPr>
          <w:rFonts w:hint="eastAsia"/>
        </w:rPr>
        <w:t>保护与利用气候资源</w:t>
      </w:r>
    </w:p>
    <w:p w14:paraId="1FB735E8">
      <w:pPr>
        <w:ind w:firstLine="6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加强对山、水、林、草、湿地等区域的气候资源保护，优化气候资源环境。工程建设、工业生产和气候资源开发利用等应当与气候承载力相适应，避免或者减少对气候和生态环境的不利影响。合理设置通风廊道，改善城市建设区气候环境。国家重点建设工程、重大区域性经济开发项目，以及大型太阳能、风能等气候资源开发利用项目，县级以上气象主管机构应当组织进行气候可行性论证。</w:t>
      </w:r>
    </w:p>
    <w:p w14:paraId="229D1690">
      <w:pPr>
        <w:ind w:firstLine="6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统筹考虑太阳能可利用程度，支持单位和居民科学安装使用太阳能利用系统，提高太阳能利用普及率。加强海绵城市建设，推进雨污分流，提升雨水的收集利用率。</w:t>
      </w:r>
    </w:p>
    <w:p w14:paraId="0628B14B">
      <w:pPr>
        <w:pStyle w:val="5"/>
        <w:numPr>
          <w:ilvl w:val="1"/>
          <w:numId w:val="13"/>
        </w:numPr>
        <w:spacing w:before="163" w:after="163"/>
        <w:rPr>
          <w:b/>
        </w:rPr>
      </w:pPr>
      <w:bookmarkStart w:id="2866" w:name="_Toc167271426"/>
      <w:r>
        <w:rPr>
          <w:rFonts w:hint="eastAsia"/>
        </w:rPr>
        <w:t>自然资源转用与管理</w:t>
      </w:r>
      <w:bookmarkEnd w:id="2862"/>
      <w:bookmarkEnd w:id="2863"/>
      <w:bookmarkEnd w:id="2864"/>
      <w:bookmarkEnd w:id="2865"/>
      <w:bookmarkEnd w:id="2866"/>
    </w:p>
    <w:p w14:paraId="61EA1C3A">
      <w:pPr>
        <w:pStyle w:val="6"/>
        <w:spacing w:before="163" w:after="163"/>
        <w:rPr>
          <w:b/>
        </w:rPr>
      </w:pPr>
      <w:bookmarkStart w:id="2867" w:name="_Toc132305864"/>
      <w:bookmarkStart w:id="2868" w:name="_Toc22734"/>
      <w:bookmarkStart w:id="2869" w:name="_Toc141887967"/>
      <w:r>
        <w:t>统一自然资源转用管理</w:t>
      </w:r>
      <w:bookmarkEnd w:id="2867"/>
      <w:bookmarkEnd w:id="2868"/>
      <w:bookmarkEnd w:id="2869"/>
    </w:p>
    <w:p w14:paraId="6A256BB7">
      <w:pPr>
        <w:ind w:firstLine="6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加快自然资源统一确权登记，逐步实现自然资源确权登记全覆盖，完善自然资源资产产权登记制度，清晰界定各类自然资源资产的产权主体，划清各类自然资源资产所有权、使用权的边界。建立健全登记信息管理基础平台，提升公共服务能力和水平。</w:t>
      </w:r>
    </w:p>
    <w:p w14:paraId="49125591">
      <w:pPr>
        <w:ind w:firstLine="6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统一自然资源用途转用的许可管理，推进土地、水、森林、矿产等自然资源利用总量控制，严格控制各类开发利用活动对生态空间的占用和扰动，确保依法保护的生态空间面积不减少，生态功能不降低，生态服务保障能力逐渐提高。</w:t>
      </w:r>
    </w:p>
    <w:p w14:paraId="7D2E5F0E">
      <w:pPr>
        <w:ind w:firstLine="6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统一自然资源占用补偿管理制度，实现耕地、林地、水、湿地等自然资源“占一补一、占优补优”。健全自然资源资产有偿使用制度和生态补偿制度，明确资源有偿使用的准入条件、方式和程序。构建统一的自然资源资产交易平台，健全自然资源收益分配制度。</w:t>
      </w:r>
    </w:p>
    <w:p w14:paraId="0508B47B">
      <w:pPr>
        <w:pStyle w:val="5"/>
        <w:numPr>
          <w:ilvl w:val="1"/>
          <w:numId w:val="13"/>
        </w:numPr>
        <w:spacing w:before="163" w:after="163"/>
        <w:rPr>
          <w:b/>
        </w:rPr>
      </w:pPr>
      <w:bookmarkStart w:id="2870" w:name="_Toc143353130"/>
      <w:bookmarkEnd w:id="2870"/>
      <w:bookmarkStart w:id="2871" w:name="_Toc145500040"/>
      <w:bookmarkEnd w:id="2871"/>
      <w:bookmarkStart w:id="2872" w:name="_Toc143355236"/>
      <w:bookmarkEnd w:id="2872"/>
      <w:bookmarkStart w:id="2873" w:name="_Toc143356991"/>
      <w:bookmarkEnd w:id="2873"/>
      <w:bookmarkStart w:id="2874" w:name="_Toc143354094"/>
      <w:bookmarkEnd w:id="2874"/>
      <w:bookmarkStart w:id="2875" w:name="_Toc143099198"/>
      <w:bookmarkEnd w:id="2875"/>
      <w:bookmarkStart w:id="2876" w:name="_Toc143355526"/>
      <w:bookmarkEnd w:id="2876"/>
      <w:bookmarkStart w:id="2877" w:name="_Toc143358442"/>
      <w:bookmarkEnd w:id="2877"/>
      <w:bookmarkStart w:id="2878" w:name="_Toc145500038"/>
      <w:bookmarkEnd w:id="2878"/>
      <w:bookmarkStart w:id="2879" w:name="_Toc143356107"/>
      <w:bookmarkEnd w:id="2879"/>
      <w:bookmarkStart w:id="2880" w:name="_Toc143354669"/>
      <w:bookmarkEnd w:id="2880"/>
      <w:bookmarkStart w:id="2881" w:name="_Toc143356397"/>
      <w:bookmarkEnd w:id="2881"/>
      <w:bookmarkStart w:id="2882" w:name="_Toc143358733"/>
      <w:bookmarkEnd w:id="2882"/>
      <w:bookmarkStart w:id="2883" w:name="_Toc145277688"/>
      <w:bookmarkEnd w:id="2883"/>
      <w:bookmarkStart w:id="2884" w:name="_Toc145277687"/>
      <w:bookmarkEnd w:id="2884"/>
      <w:bookmarkStart w:id="2885" w:name="_Toc145277683"/>
      <w:bookmarkEnd w:id="2885"/>
      <w:bookmarkStart w:id="2886" w:name="_Toc143099483"/>
      <w:bookmarkEnd w:id="2886"/>
      <w:bookmarkStart w:id="2887" w:name="_Toc143358152"/>
      <w:bookmarkEnd w:id="2887"/>
      <w:bookmarkStart w:id="2888" w:name="_Toc143358734"/>
      <w:bookmarkEnd w:id="2888"/>
      <w:bookmarkStart w:id="2889" w:name="_Toc143357571"/>
      <w:bookmarkEnd w:id="2889"/>
      <w:bookmarkStart w:id="2890" w:name="_Toc145500041"/>
      <w:bookmarkEnd w:id="2890"/>
      <w:bookmarkStart w:id="2891" w:name="_Toc143357281"/>
      <w:bookmarkEnd w:id="2891"/>
      <w:bookmarkStart w:id="2892" w:name="_Toc143099482"/>
      <w:bookmarkEnd w:id="2892"/>
      <w:bookmarkStart w:id="2893" w:name="_Toc143357861"/>
      <w:bookmarkEnd w:id="2893"/>
      <w:bookmarkStart w:id="2894" w:name="_Toc143358443"/>
      <w:bookmarkEnd w:id="2894"/>
      <w:bookmarkStart w:id="2895" w:name="_Toc143355527"/>
      <w:bookmarkEnd w:id="2895"/>
      <w:bookmarkStart w:id="2896" w:name="_Toc143353809"/>
      <w:bookmarkEnd w:id="2896"/>
      <w:bookmarkStart w:id="2897" w:name="_Toc143353808"/>
      <w:bookmarkEnd w:id="2897"/>
      <w:bookmarkStart w:id="2898" w:name="_Toc143355237"/>
      <w:bookmarkEnd w:id="2898"/>
      <w:bookmarkStart w:id="2899" w:name="_Toc143354953"/>
      <w:bookmarkEnd w:id="2899"/>
      <w:bookmarkStart w:id="2900" w:name="_Toc143355816"/>
      <w:bookmarkEnd w:id="2900"/>
      <w:bookmarkStart w:id="2901" w:name="_Toc143353131"/>
      <w:bookmarkEnd w:id="2901"/>
      <w:bookmarkStart w:id="2902" w:name="_Toc143355817"/>
      <w:bookmarkEnd w:id="2902"/>
      <w:bookmarkStart w:id="2903" w:name="_Toc145500039"/>
      <w:bookmarkEnd w:id="2903"/>
      <w:bookmarkStart w:id="2904" w:name="_Toc143354384"/>
      <w:bookmarkEnd w:id="2904"/>
      <w:bookmarkStart w:id="2905" w:name="_Toc143357570"/>
      <w:bookmarkEnd w:id="2905"/>
      <w:bookmarkStart w:id="2906" w:name="_Toc143357862"/>
      <w:bookmarkEnd w:id="2906"/>
      <w:bookmarkStart w:id="2907" w:name="_Toc143352835"/>
      <w:bookmarkEnd w:id="2907"/>
      <w:bookmarkStart w:id="2908" w:name="_Toc143354668"/>
      <w:bookmarkEnd w:id="2908"/>
      <w:bookmarkStart w:id="2909" w:name="_Toc143356990"/>
      <w:bookmarkEnd w:id="2909"/>
      <w:bookmarkStart w:id="2910" w:name="_Toc143352834"/>
      <w:bookmarkEnd w:id="2910"/>
      <w:bookmarkStart w:id="2911" w:name="_Toc143354095"/>
      <w:bookmarkEnd w:id="2911"/>
      <w:bookmarkStart w:id="2912" w:name="_Toc143354385"/>
      <w:bookmarkEnd w:id="2912"/>
      <w:bookmarkStart w:id="2913" w:name="_Toc143260889"/>
      <w:bookmarkEnd w:id="2913"/>
      <w:bookmarkStart w:id="2914" w:name="_Toc145500043"/>
      <w:bookmarkEnd w:id="2914"/>
      <w:bookmarkStart w:id="2915" w:name="_Toc145277686"/>
      <w:bookmarkEnd w:id="2915"/>
      <w:bookmarkStart w:id="2916" w:name="_Toc143358153"/>
      <w:bookmarkEnd w:id="2916"/>
      <w:bookmarkStart w:id="2917" w:name="_Toc142858940"/>
      <w:bookmarkEnd w:id="2917"/>
      <w:bookmarkStart w:id="2918" w:name="_Toc143356686"/>
      <w:bookmarkEnd w:id="2918"/>
      <w:bookmarkStart w:id="2919" w:name="_Toc143356687"/>
      <w:bookmarkEnd w:id="2919"/>
      <w:bookmarkStart w:id="2920" w:name="_Toc142858939"/>
      <w:bookmarkEnd w:id="2920"/>
      <w:bookmarkStart w:id="2921" w:name="_Toc145277684"/>
      <w:bookmarkEnd w:id="2921"/>
      <w:bookmarkStart w:id="2922" w:name="_Toc143357280"/>
      <w:bookmarkEnd w:id="2922"/>
      <w:bookmarkStart w:id="2923" w:name="_Toc145277685"/>
      <w:bookmarkEnd w:id="2923"/>
      <w:bookmarkStart w:id="2924" w:name="_Toc143356106"/>
      <w:bookmarkEnd w:id="2924"/>
      <w:bookmarkStart w:id="2925" w:name="_Toc143260890"/>
      <w:bookmarkEnd w:id="2925"/>
      <w:bookmarkStart w:id="2926" w:name="_Toc145500042"/>
      <w:bookmarkEnd w:id="2926"/>
      <w:bookmarkStart w:id="2927" w:name="_Toc143356396"/>
      <w:bookmarkEnd w:id="2927"/>
      <w:bookmarkStart w:id="2928" w:name="_Toc143099197"/>
      <w:bookmarkEnd w:id="2928"/>
      <w:bookmarkStart w:id="2929" w:name="_Toc143354952"/>
      <w:bookmarkEnd w:id="2929"/>
      <w:bookmarkStart w:id="2930" w:name="_Toc167271427"/>
      <w:bookmarkStart w:id="2931" w:name="_Toc141887973"/>
      <w:bookmarkStart w:id="2932" w:name="_Toc342"/>
      <w:r>
        <w:rPr>
          <w:rFonts w:hint="eastAsia"/>
        </w:rPr>
        <w:t>支撑碳达峰碳中和</w:t>
      </w:r>
      <w:bookmarkEnd w:id="2930"/>
    </w:p>
    <w:p w14:paraId="7F0B1AF2">
      <w:pPr>
        <w:pStyle w:val="6"/>
        <w:spacing w:before="163" w:after="163"/>
        <w:rPr>
          <w:b/>
        </w:rPr>
      </w:pPr>
      <w:r>
        <w:rPr>
          <w:rFonts w:hint="eastAsia"/>
        </w:rPr>
        <w:t>推进绿色低碳发展</w:t>
      </w:r>
    </w:p>
    <w:p w14:paraId="1AA0CC4A">
      <w:pPr>
        <w:ind w:firstLine="6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积极落实碳达峰碳中和重大决策部署，落实广东省制定的达峰目标与减排任务。构建绿色低碳的自然资源管理体系，强化绿色低碳导向的国土空间布局模式，建立集约高效利用的精细化用地机制，面向碳减排，加强国土空间用途管制，促进低碳产业的合理布局与高耗能、高排放产业的退出。提升自然生态系统的碳汇能力，加强森林经营和森林抚育，加强具有碳汇功能的湿地保护。统筹县域</w:t>
      </w:r>
      <w:r>
        <w:rPr>
          <w:color w:val="000000" w:themeColor="text1"/>
          <w14:textFill>
            <w14:solidFill>
              <w14:schemeClr w14:val="tx1"/>
            </w14:solidFill>
          </w14:textFill>
        </w:rPr>
        <w:t>国有林场，围绕探索林业碳汇巩固提升经营模式和关键技术及林业生态产品价值实现机</w:t>
      </w:r>
      <w:r>
        <w:rPr>
          <w:rFonts w:hint="eastAsia"/>
          <w:color w:val="000000" w:themeColor="text1"/>
          <w14:textFill>
            <w14:solidFill>
              <w14:schemeClr w14:val="tx1"/>
            </w14:solidFill>
          </w14:textFill>
        </w:rPr>
        <w:t>制。</w:t>
      </w:r>
    </w:p>
    <w:p w14:paraId="5EBD99EE">
      <w:pPr>
        <w:pStyle w:val="4"/>
        <w:spacing w:before="326" w:after="326"/>
        <w:ind w:firstLine="726"/>
        <w:rPr>
          <w:b w:val="0"/>
          <w:bCs w:val="0"/>
          <w:color w:val="000000" w:themeColor="text1"/>
          <w14:textFill>
            <w14:solidFill>
              <w14:schemeClr w14:val="tx1"/>
            </w14:solidFill>
          </w14:textFill>
        </w:rPr>
      </w:pPr>
      <w:bookmarkStart w:id="2933" w:name="_Toc167271428"/>
      <w:r>
        <w:rPr>
          <w:rFonts w:hint="eastAsia"/>
          <w:b w:val="0"/>
          <w:bCs w:val="0"/>
          <w:color w:val="000000" w:themeColor="text1"/>
          <w14:textFill>
            <w14:solidFill>
              <w14:schemeClr w14:val="tx1"/>
            </w14:solidFill>
          </w14:textFill>
        </w:rPr>
        <w:t>国土修复整治与存量更新</w:t>
      </w:r>
      <w:bookmarkEnd w:id="2931"/>
      <w:bookmarkEnd w:id="2932"/>
      <w:bookmarkEnd w:id="2933"/>
    </w:p>
    <w:p w14:paraId="7A90B57E">
      <w:pPr>
        <w:pStyle w:val="5"/>
        <w:numPr>
          <w:ilvl w:val="1"/>
          <w:numId w:val="14"/>
        </w:numPr>
        <w:spacing w:before="163" w:after="163"/>
        <w:rPr>
          <w:b/>
        </w:rPr>
      </w:pPr>
      <w:bookmarkStart w:id="2934" w:name="_Toc167271429"/>
      <w:bookmarkStart w:id="2935" w:name="_Toc19694"/>
      <w:bookmarkStart w:id="2936" w:name="_Toc141887974"/>
      <w:r>
        <w:rPr>
          <w:rFonts w:hint="eastAsia"/>
        </w:rPr>
        <w:t>国土综合整治</w:t>
      </w:r>
      <w:bookmarkEnd w:id="2934"/>
      <w:bookmarkEnd w:id="2935"/>
      <w:bookmarkEnd w:id="2936"/>
    </w:p>
    <w:p w14:paraId="15627222">
      <w:pPr>
        <w:pStyle w:val="6"/>
        <w:spacing w:before="163" w:after="163"/>
        <w:rPr>
          <w:b/>
        </w:rPr>
      </w:pPr>
      <w:bookmarkStart w:id="2937" w:name="_Toc13999"/>
      <w:bookmarkStart w:id="2938" w:name="_Toc141887975"/>
      <w:bookmarkStart w:id="2939" w:name="_Toc132305872"/>
      <w:r>
        <w:rPr>
          <w:rFonts w:hint="eastAsia"/>
        </w:rPr>
        <w:t>国土</w:t>
      </w:r>
      <w:r>
        <w:t>综合整治目标</w:t>
      </w:r>
      <w:bookmarkEnd w:id="2937"/>
      <w:bookmarkEnd w:id="2938"/>
      <w:bookmarkEnd w:id="2939"/>
    </w:p>
    <w:p w14:paraId="47756E75">
      <w:pPr>
        <w:tabs>
          <w:tab w:val="left" w:pos="720"/>
        </w:tabs>
        <w:ind w:firstLine="6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通过开展建设用地、农用地等土地综合整治，实现用地布局优化调整。</w:t>
      </w:r>
    </w:p>
    <w:p w14:paraId="5C478A54">
      <w:pPr>
        <w:pStyle w:val="6"/>
        <w:spacing w:before="163" w:after="163"/>
        <w:rPr>
          <w:b/>
        </w:rPr>
      </w:pPr>
      <w:bookmarkStart w:id="2940" w:name="_Toc14597"/>
      <w:bookmarkStart w:id="2941" w:name="_Toc141887976"/>
      <w:bookmarkStart w:id="2942" w:name="_Toc132305873"/>
      <w:r>
        <w:rPr>
          <w:rFonts w:hint="eastAsia"/>
        </w:rPr>
        <w:t>国土综合整治分区</w:t>
      </w:r>
      <w:bookmarkEnd w:id="2940"/>
      <w:bookmarkEnd w:id="2941"/>
      <w:bookmarkEnd w:id="2942"/>
    </w:p>
    <w:p w14:paraId="4FBA81C6">
      <w:pPr>
        <w:tabs>
          <w:tab w:val="left" w:pos="720"/>
        </w:tabs>
        <w:ind w:firstLine="600"/>
        <w:jc w:val="both"/>
        <w:rPr>
          <w:color w:val="000000" w:themeColor="text1"/>
          <w14:textFill>
            <w14:solidFill>
              <w14:schemeClr w14:val="tx1"/>
            </w14:solidFill>
          </w14:textFill>
        </w:rPr>
      </w:pPr>
      <w:bookmarkStart w:id="2943" w:name="_Toc141887977"/>
      <w:bookmarkStart w:id="2944" w:name="_Toc17318"/>
      <w:bookmarkStart w:id="2945" w:name="_Toc132305874"/>
      <w:r>
        <w:rPr>
          <w:rFonts w:hint="eastAsia"/>
          <w:color w:val="000000" w:themeColor="text1"/>
          <w14:textFill>
            <w14:solidFill>
              <w14:schemeClr w14:val="tx1"/>
            </w14:solidFill>
          </w14:textFill>
        </w:rPr>
        <w:t>基于土地综合整治潜力分析，将国土整治区域划分为农村综合整治区和城镇低效用地整治区。</w:t>
      </w:r>
    </w:p>
    <w:p w14:paraId="7132E1C2">
      <w:pPr>
        <w:tabs>
          <w:tab w:val="left" w:pos="720"/>
        </w:tabs>
        <w:ind w:firstLine="6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农村综合整治区主要位于董塘、周田、黄坑等镇。该区域地势平坦，耕地资源丰富，以农村建设用地整理、农用地综合整治为重点，实施</w:t>
      </w:r>
      <w:r>
        <w:rPr>
          <w:rFonts w:hint="eastAsia" w:ascii="仿宋_GB2312"/>
          <w:color w:val="000000" w:themeColor="text1"/>
          <w14:textFill>
            <w14:solidFill>
              <w14:schemeClr w14:val="tx1"/>
            </w14:solidFill>
          </w14:textFill>
        </w:rPr>
        <w:t>“</w:t>
      </w:r>
      <w:r>
        <w:rPr>
          <w:rFonts w:hint="eastAsia"/>
          <w:color w:val="000000" w:themeColor="text1"/>
          <w14:textFill>
            <w14:solidFill>
              <w14:schemeClr w14:val="tx1"/>
            </w14:solidFill>
          </w14:textFill>
        </w:rPr>
        <w:t>田水路林村</w:t>
      </w:r>
      <w:r>
        <w:rPr>
          <w:rFonts w:hint="eastAsia" w:ascii="仿宋_GB2312"/>
          <w:color w:val="000000" w:themeColor="text1"/>
          <w14:textFill>
            <w14:solidFill>
              <w14:schemeClr w14:val="tx1"/>
            </w14:solidFill>
          </w14:textFill>
        </w:rPr>
        <w:t>”</w:t>
      </w:r>
      <w:r>
        <w:rPr>
          <w:rFonts w:hint="eastAsia"/>
          <w:color w:val="000000" w:themeColor="text1"/>
          <w14:textFill>
            <w14:solidFill>
              <w14:schemeClr w14:val="tx1"/>
            </w14:solidFill>
          </w14:textFill>
        </w:rPr>
        <w:t>综合整治，系统解决农村耕地、建设用地碎片化、空间布局无序化、土地资源利用低效化、生态质量退化等问题，逐步打造农田集中连片、建设用地集聚、空间集约高效的美丽乡村。</w:t>
      </w:r>
    </w:p>
    <w:p w14:paraId="28B75C54">
      <w:pPr>
        <w:tabs>
          <w:tab w:val="left" w:pos="720"/>
        </w:tabs>
        <w:ind w:firstLine="6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城镇低效用地整治区主要位于丹霞街道，以已批未供用地为重点，提高供地效率，盘活利用区域存量用地，增加城镇建设用地有效供给。</w:t>
      </w:r>
    </w:p>
    <w:p w14:paraId="786A66CD">
      <w:pPr>
        <w:pStyle w:val="6"/>
        <w:spacing w:before="163" w:after="163"/>
        <w:rPr>
          <w:b/>
        </w:rPr>
      </w:pPr>
      <w:r>
        <w:rPr>
          <w:rFonts w:hint="eastAsia"/>
        </w:rPr>
        <w:t>国土综合整治重大工程</w:t>
      </w:r>
      <w:bookmarkEnd w:id="2943"/>
      <w:bookmarkEnd w:id="2944"/>
      <w:bookmarkEnd w:id="2945"/>
    </w:p>
    <w:p w14:paraId="739B2E73">
      <w:pPr>
        <w:ind w:firstLine="600"/>
        <w:jc w:val="both"/>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国土综合整治重大工程包括农田综合治理重点工程、农村居民点用地整治重点工程、城镇工矿用地整治重点工程。以董塘镇省级全域土地综合整治试点为重点项目推进。</w:t>
      </w:r>
    </w:p>
    <w:p w14:paraId="149FF677">
      <w:pPr>
        <w:ind w:firstLine="600"/>
        <w:jc w:val="both"/>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农田综合治理重点工程方面，重点提升全县优质农用地的耕地质量和耕作条件，实施高标准农田建设、耕地恢复、垦造水田、宜耕后备资源开发等工程，形成集中连片、设施配套、高产稳产、生态良好、抗灾能力强、与现代农业生产和经营方式相适应的优质良田</w:t>
      </w:r>
      <w:r>
        <w:rPr>
          <w:color w:val="000000" w:themeColor="text1"/>
          <w:szCs w:val="24"/>
          <w14:textFill>
            <w14:solidFill>
              <w14:schemeClr w14:val="tx1"/>
            </w14:solidFill>
          </w14:textFill>
        </w:rPr>
        <w:t>。</w:t>
      </w:r>
      <w:r>
        <w:rPr>
          <w:rFonts w:hint="eastAsia"/>
          <w:color w:val="000000" w:themeColor="text1"/>
          <w:szCs w:val="24"/>
          <w14:textFill>
            <w14:solidFill>
              <w14:schemeClr w14:val="tx1"/>
            </w14:solidFill>
          </w14:textFill>
        </w:rPr>
        <w:t>深入推进耕地质量保护行动，将中低质量的耕地纳入高标准农田建设范围</w:t>
      </w:r>
      <w:r>
        <w:rPr>
          <w:color w:val="000000" w:themeColor="text1"/>
          <w:szCs w:val="24"/>
          <w14:textFill>
            <w14:solidFill>
              <w14:schemeClr w14:val="tx1"/>
            </w14:solidFill>
          </w14:textFill>
        </w:rPr>
        <w:t>实施提质改造</w:t>
      </w:r>
      <w:r>
        <w:rPr>
          <w:rFonts w:hint="eastAsia"/>
          <w:color w:val="000000" w:themeColor="text1"/>
          <w:szCs w:val="24"/>
          <w14:textFill>
            <w14:solidFill>
              <w14:schemeClr w14:val="tx1"/>
            </w14:solidFill>
          </w14:textFill>
        </w:rPr>
        <w:t>，高标准农田</w:t>
      </w:r>
      <w:r>
        <w:rPr>
          <w:color w:val="000000" w:themeColor="text1"/>
          <w:szCs w:val="24"/>
          <w14:textFill>
            <w14:solidFill>
              <w14:schemeClr w14:val="tx1"/>
            </w14:solidFill>
          </w14:textFill>
        </w:rPr>
        <w:t>重点工程主要分布在大桥镇、董塘镇、扶溪镇、红山镇等镇</w:t>
      </w:r>
      <w:r>
        <w:rPr>
          <w:rFonts w:hint="eastAsia"/>
          <w:color w:val="000000" w:themeColor="text1"/>
          <w:szCs w:val="24"/>
          <w14:textFill>
            <w14:solidFill>
              <w14:schemeClr w14:val="tx1"/>
            </w14:solidFill>
          </w14:textFill>
        </w:rPr>
        <w:t>，稳妥推进董塘镇</w:t>
      </w:r>
      <w:r>
        <w:rPr>
          <w:rFonts w:hint="eastAsia" w:ascii="Times New Roman" w:hAnsi="Times New Roman" w:cs="Times New Roman"/>
          <w:color w:val="000000" w:themeColor="text1"/>
          <w:szCs w:val="24"/>
          <w14:textFill>
            <w14:solidFill>
              <w14:schemeClr w14:val="tx1"/>
            </w14:solidFill>
          </w14:textFill>
        </w:rPr>
        <w:t>高标准农田建设</w:t>
      </w:r>
      <w:r>
        <w:rPr>
          <w:rFonts w:hint="eastAsia"/>
          <w:color w:val="000000" w:themeColor="text1"/>
          <w:szCs w:val="24"/>
          <w14:textFill>
            <w14:solidFill>
              <w14:schemeClr w14:val="tx1"/>
            </w14:solidFill>
          </w14:textFill>
        </w:rPr>
        <w:t>试点；</w:t>
      </w:r>
      <w:r>
        <w:rPr>
          <w:color w:val="000000" w:themeColor="text1"/>
          <w:szCs w:val="24"/>
          <w14:textFill>
            <w14:solidFill>
              <w14:schemeClr w14:val="tx1"/>
            </w14:solidFill>
          </w14:textFill>
        </w:rPr>
        <w:t>将</w:t>
      </w:r>
      <w:r>
        <w:rPr>
          <w:rFonts w:hint="eastAsia"/>
          <w:color w:val="000000" w:themeColor="text1"/>
          <w:szCs w:val="24"/>
          <w14:textFill>
            <w14:solidFill>
              <w14:schemeClr w14:val="tx1"/>
            </w14:solidFill>
          </w14:textFill>
        </w:rPr>
        <w:t>耕地田块垦造为高质量</w:t>
      </w:r>
      <w:r>
        <w:rPr>
          <w:color w:val="000000" w:themeColor="text1"/>
          <w:szCs w:val="24"/>
          <w14:textFill>
            <w14:solidFill>
              <w14:schemeClr w14:val="tx1"/>
            </w14:solidFill>
          </w14:textFill>
        </w:rPr>
        <w:t>水田，</w:t>
      </w:r>
      <w:r>
        <w:rPr>
          <w:rFonts w:hint="eastAsia"/>
          <w:color w:val="000000" w:themeColor="text1"/>
          <w:szCs w:val="24"/>
          <w14:textFill>
            <w14:solidFill>
              <w14:schemeClr w14:val="tx1"/>
            </w14:solidFill>
          </w14:textFill>
        </w:rPr>
        <w:t>减少荒地面积，提高土地利用效率和粮食产出率，</w:t>
      </w:r>
      <w:r>
        <w:rPr>
          <w:color w:val="000000" w:themeColor="text1"/>
          <w:szCs w:val="24"/>
          <w14:textFill>
            <w14:solidFill>
              <w14:schemeClr w14:val="tx1"/>
            </w14:solidFill>
          </w14:textFill>
        </w:rPr>
        <w:t>垦造水田重点工程主要</w:t>
      </w:r>
      <w:r>
        <w:rPr>
          <w:rFonts w:hint="eastAsia"/>
          <w:color w:val="000000" w:themeColor="text1"/>
          <w:szCs w:val="24"/>
          <w14:textFill>
            <w14:solidFill>
              <w14:schemeClr w14:val="tx1"/>
            </w14:solidFill>
          </w14:textFill>
        </w:rPr>
        <w:t>分布在大桥镇、董塘镇、黄坑镇、石塘镇等镇，稳妥推进董塘镇</w:t>
      </w:r>
      <w:r>
        <w:rPr>
          <w:rFonts w:hint="eastAsia" w:ascii="Times New Roman" w:hAnsi="Times New Roman" w:cs="Times New Roman"/>
          <w:color w:val="000000" w:themeColor="text1"/>
          <w:szCs w:val="24"/>
          <w14:textFill>
            <w14:solidFill>
              <w14:schemeClr w14:val="tx1"/>
            </w14:solidFill>
          </w14:textFill>
        </w:rPr>
        <w:t>垦造水田建设村庄</w:t>
      </w:r>
      <w:r>
        <w:rPr>
          <w:rFonts w:hint="eastAsia"/>
          <w:color w:val="000000" w:themeColor="text1"/>
          <w:szCs w:val="24"/>
          <w14:textFill>
            <w14:solidFill>
              <w14:schemeClr w14:val="tx1"/>
            </w14:solidFill>
          </w14:textFill>
        </w:rPr>
        <w:t>试点；对宜耕未利用地开展耕地开垦工程</w:t>
      </w:r>
      <w:r>
        <w:rPr>
          <w:color w:val="000000" w:themeColor="text1"/>
          <w:szCs w:val="24"/>
          <w14:textFill>
            <w14:solidFill>
              <w14:schemeClr w14:val="tx1"/>
            </w14:solidFill>
          </w14:textFill>
        </w:rPr>
        <w:t>，有效增加耕地面积，提升耕地质量。</w:t>
      </w:r>
    </w:p>
    <w:p w14:paraId="15BB42DB">
      <w:pPr>
        <w:ind w:firstLine="600"/>
        <w:jc w:val="both"/>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规划至</w:t>
      </w:r>
      <w:r>
        <w:rPr>
          <w:rFonts w:ascii="Times New Roman" w:hAnsi="Times New Roman" w:cs="Times New Roman"/>
          <w:color w:val="000000" w:themeColor="text1"/>
          <w:szCs w:val="24"/>
          <w14:textFill>
            <w14:solidFill>
              <w14:schemeClr w14:val="tx1"/>
            </w14:solidFill>
          </w14:textFill>
        </w:rPr>
        <w:t>2035</w:t>
      </w:r>
      <w:r>
        <w:rPr>
          <w:color w:val="000000" w:themeColor="text1"/>
          <w:szCs w:val="24"/>
          <w14:textFill>
            <w14:solidFill>
              <w14:schemeClr w14:val="tx1"/>
            </w14:solidFill>
          </w14:textFill>
        </w:rPr>
        <w:t>年，通过持续建设，全县永久基本农田全部建成高标准农田，尽量避免非农建设占用已建高标准农田，对已建未达标的农田进行全面改造提升，推动垦造水田工程更全面建设，同时，耕地恢复工程得到有效实施，耕地保有量缺口得到有效控制。</w:t>
      </w:r>
    </w:p>
    <w:p w14:paraId="31323737">
      <w:pPr>
        <w:ind w:firstLine="600"/>
        <w:jc w:val="both"/>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农村居民点用地整治重点工程方面，稳妥推进董塘镇河富村、江头村、和平八一社区等村庄（社区）的整治试点，实施城乡建设用地增减挂钩、增存挂钩和拆旧复垦等农村建设用地整治工程，挖掘</w:t>
      </w:r>
      <w:r>
        <w:rPr>
          <w:color w:val="000000" w:themeColor="text1"/>
          <w:szCs w:val="24"/>
          <w14:textFill>
            <w14:solidFill>
              <w14:schemeClr w14:val="tx1"/>
            </w14:solidFill>
          </w14:textFill>
        </w:rPr>
        <w:t>农村建设用地潜力，注重保护乡村生态景观和弘扬乡村特色文化，严格控制建设用地整治对农用地的污染。</w:t>
      </w:r>
    </w:p>
    <w:p w14:paraId="170E9B03">
      <w:pPr>
        <w:ind w:firstLine="600"/>
        <w:jc w:val="both"/>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城镇工矿用地整治重点工程方面，统筹推进旧城镇、旧厂房改造，重点开展</w:t>
      </w:r>
      <w:r>
        <w:rPr>
          <w:color w:val="000000" w:themeColor="text1"/>
          <w:szCs w:val="24"/>
          <w14:textFill>
            <w14:solidFill>
              <w14:schemeClr w14:val="tx1"/>
            </w14:solidFill>
          </w14:textFill>
        </w:rPr>
        <w:t>批而未供土地整治重点工程</w:t>
      </w:r>
      <w:r>
        <w:rPr>
          <w:rFonts w:hint="eastAsia"/>
          <w:color w:val="000000" w:themeColor="text1"/>
          <w:szCs w:val="24"/>
          <w14:textFill>
            <w14:solidFill>
              <w14:schemeClr w14:val="tx1"/>
            </w14:solidFill>
          </w14:textFill>
        </w:rPr>
        <w:t>，主要分布在周田镇、董塘镇、石塘镇、长江镇等镇</w:t>
      </w:r>
      <w:r>
        <w:rPr>
          <w:color w:val="000000" w:themeColor="text1"/>
          <w:szCs w:val="24"/>
          <w14:textFill>
            <w14:solidFill>
              <w14:schemeClr w14:val="tx1"/>
            </w14:solidFill>
          </w14:textFill>
        </w:rPr>
        <w:t>。</w:t>
      </w:r>
      <w:r>
        <w:rPr>
          <w:rFonts w:hint="eastAsia"/>
          <w:color w:val="000000" w:themeColor="text1"/>
          <w:szCs w:val="24"/>
          <w14:textFill>
            <w14:solidFill>
              <w14:schemeClr w14:val="tx1"/>
            </w14:solidFill>
          </w14:textFill>
        </w:rPr>
        <w:t>城镇工矿用地整治以中心城区为重点，稳妥推进董塘镇凡口矿区和</w:t>
      </w:r>
      <w:r>
        <w:rPr>
          <w:color w:val="000000" w:themeColor="text1"/>
          <w:szCs w:val="24"/>
          <w14:textFill>
            <w14:solidFill>
              <w14:schemeClr w14:val="tx1"/>
            </w14:solidFill>
          </w14:textFill>
        </w:rPr>
        <w:t>河富村、江头村</w:t>
      </w:r>
      <w:r>
        <w:rPr>
          <w:rFonts w:hint="eastAsia"/>
          <w:color w:val="000000" w:themeColor="text1"/>
          <w:szCs w:val="24"/>
          <w14:textFill>
            <w14:solidFill>
              <w14:schemeClr w14:val="tx1"/>
            </w14:solidFill>
          </w14:textFill>
        </w:rPr>
        <w:t>、和平八一社区等村庄（社区）的整治试点，协调农用地与建设用地之间关系，因地制宜对低效和闲置建设用地进行优化，保障建设用地供给，改善生态环境，进一步提升人居环境质量</w:t>
      </w:r>
      <w:r>
        <w:rPr>
          <w:rFonts w:hint="eastAsia" w:ascii="Times New Roman" w:hAnsi="Times New Roman" w:cs="Times New Roman"/>
          <w:color w:val="000000" w:themeColor="text1"/>
          <w:szCs w:val="24"/>
          <w14:textFill>
            <w14:solidFill>
              <w14:schemeClr w14:val="tx1"/>
            </w14:solidFill>
          </w14:textFill>
        </w:rPr>
        <w:t>。</w:t>
      </w:r>
    </w:p>
    <w:p w14:paraId="399CA01E">
      <w:pPr>
        <w:pStyle w:val="5"/>
        <w:numPr>
          <w:ilvl w:val="1"/>
          <w:numId w:val="13"/>
        </w:numPr>
        <w:spacing w:before="163" w:after="163"/>
        <w:rPr>
          <w:b/>
        </w:rPr>
      </w:pPr>
      <w:bookmarkStart w:id="2946" w:name="_Toc167271430"/>
      <w:bookmarkStart w:id="2947" w:name="_Toc15752"/>
      <w:bookmarkStart w:id="2948" w:name="_Toc88472397"/>
      <w:bookmarkStart w:id="2949" w:name="_Toc68625541"/>
      <w:bookmarkStart w:id="2950" w:name="_Toc132305875"/>
      <w:bookmarkStart w:id="2951" w:name="_Toc141887978"/>
      <w:bookmarkStart w:id="2952" w:name="_Toc127353181"/>
      <w:r>
        <w:rPr>
          <w:rFonts w:hint="eastAsia"/>
        </w:rPr>
        <w:t>生态修复</w:t>
      </w:r>
      <w:bookmarkEnd w:id="2946"/>
      <w:bookmarkEnd w:id="2947"/>
      <w:bookmarkEnd w:id="2948"/>
      <w:bookmarkEnd w:id="2949"/>
      <w:bookmarkEnd w:id="2950"/>
      <w:bookmarkEnd w:id="2951"/>
      <w:bookmarkEnd w:id="2952"/>
    </w:p>
    <w:p w14:paraId="38602BEE">
      <w:pPr>
        <w:pStyle w:val="6"/>
        <w:spacing w:before="163" w:after="163"/>
        <w:rPr>
          <w:b/>
        </w:rPr>
      </w:pPr>
      <w:bookmarkStart w:id="2953" w:name="_Toc132305876"/>
      <w:bookmarkStart w:id="2954" w:name="_Toc141887979"/>
      <w:bookmarkStart w:id="2955" w:name="_Toc22149"/>
      <w:r>
        <w:rPr>
          <w:rFonts w:hint="eastAsia"/>
        </w:rPr>
        <w:t>生态保护修复</w:t>
      </w:r>
      <w:r>
        <w:t>目标</w:t>
      </w:r>
      <w:bookmarkEnd w:id="2953"/>
      <w:bookmarkEnd w:id="2954"/>
      <w:bookmarkEnd w:id="2955"/>
    </w:p>
    <w:p w14:paraId="20DFA445">
      <w:pPr>
        <w:tabs>
          <w:tab w:val="left" w:pos="720"/>
        </w:tabs>
        <w:ind w:firstLine="6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围绕仁化“一核系两廊、三区衔多园”的生态保护格局，从自然生态系统完整性和系统性视角，以丹霞山重要内核，以锦江、浈江两条自然水系形成的生态廊道，以南岭山脉为基础构筑的粤北生态屏障及自然公园、湿地公园等主要山体水系自然保护区湿地公园为核心，分析江河湖、山体山脉等资源分布格局，综合确定生态保护修复重点。实现重点区域生态环境明显改善和区域生态环境的全面恢复，生态系统循环能力、生态产品生产能力和生态系统服务供给能力显著增强，并融入广东省、韶关市生态修复体系规划建设中，成为生态环境优美、有特色、土地利用合理高效的首位粤北山城。</w:t>
      </w:r>
    </w:p>
    <w:p w14:paraId="26CAD6E3">
      <w:pPr>
        <w:pStyle w:val="6"/>
        <w:spacing w:before="163" w:after="163"/>
        <w:rPr>
          <w:b/>
        </w:rPr>
      </w:pPr>
      <w:bookmarkStart w:id="2956" w:name="_Toc15314"/>
      <w:bookmarkStart w:id="2957" w:name="_Toc141887980"/>
      <w:bookmarkStart w:id="2958" w:name="_Toc132305877"/>
      <w:r>
        <w:rPr>
          <w:rFonts w:hint="eastAsia"/>
        </w:rPr>
        <w:t>生态保护修复</w:t>
      </w:r>
      <w:r>
        <w:t>分区</w:t>
      </w:r>
      <w:bookmarkEnd w:id="2956"/>
      <w:bookmarkEnd w:id="2957"/>
      <w:bookmarkEnd w:id="2958"/>
    </w:p>
    <w:p w14:paraId="220D4B5F">
      <w:pPr>
        <w:tabs>
          <w:tab w:val="left" w:pos="720"/>
        </w:tabs>
        <w:ind w:firstLine="6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将生态修复区域划分为森林生态屏障修复重点区、河湖湿地保护修复重点区、矿山生态修复重点区三大区域，统筹实施差异化生态修复与环境治理，全面提升生态系统功能与生态环境质量。</w:t>
      </w:r>
    </w:p>
    <w:p w14:paraId="037281E1">
      <w:pPr>
        <w:tabs>
          <w:tab w:val="left" w:pos="720"/>
        </w:tabs>
        <w:ind w:firstLine="6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森林生态保护屏障修复重点区以丹霞山为抓手，实施粤北生态屏障保护和修复，加强南岭亚热带常绿阔叶林生态系统保护修复、推进丹霞山国家公园建设，全面保护天然林资源，通过疏（残）林改造、森林抚育和封山育林等手段，提高森林覆盖率及森林品质，持续改善林相，提升林分质量，精准提升森林质量，增强森林生态系统碳汇能力，保护生物多样性，牢筑</w:t>
      </w:r>
      <w:bookmarkStart w:id="2959" w:name="_Hlk142855922"/>
      <w:r>
        <w:rPr>
          <w:rFonts w:hint="eastAsia"/>
          <w:color w:val="000000" w:themeColor="text1"/>
          <w14:textFill>
            <w14:solidFill>
              <w14:schemeClr w14:val="tx1"/>
            </w14:solidFill>
          </w14:textFill>
        </w:rPr>
        <w:t>粤北</w:t>
      </w:r>
      <w:bookmarkEnd w:id="2959"/>
      <w:r>
        <w:rPr>
          <w:rFonts w:hint="eastAsia"/>
          <w:color w:val="000000" w:themeColor="text1"/>
          <w14:textFill>
            <w14:solidFill>
              <w14:schemeClr w14:val="tx1"/>
            </w14:solidFill>
          </w14:textFill>
        </w:rPr>
        <w:t>生态屏障，助力绿美广东生态建设。</w:t>
      </w:r>
    </w:p>
    <w:p w14:paraId="12C555DA">
      <w:pPr>
        <w:tabs>
          <w:tab w:val="left" w:pos="720"/>
        </w:tabs>
        <w:ind w:firstLine="6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河湖湿地保护修复重点区主要包括锦江、锦江水库。加强锦江流域重金属污染防控，强化饮用水源地隔离防护，开展水土保持和土地综合整治，提升河流防洪蓄洪能力，保障水生态安全。加强湿地生态修复和保护力度，对集中连片、功能退化的自然湿地进行修复和综合整治。</w:t>
      </w:r>
    </w:p>
    <w:p w14:paraId="6D67A9D3">
      <w:pPr>
        <w:tabs>
          <w:tab w:val="left" w:pos="720"/>
        </w:tabs>
        <w:ind w:firstLine="6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矿山生态修复重点区以在采矿山和历史遗留矿山及周边区域为重点，修复破损山体和失稳边坡，重建生态植被，恢复矿区生态，有效降低地质灾害</w:t>
      </w:r>
      <w:bookmarkStart w:id="3037" w:name="_GoBack"/>
      <w:bookmarkEnd w:id="3037"/>
      <w:r>
        <w:rPr>
          <w:rFonts w:hint="eastAsia"/>
          <w:color w:val="000000" w:themeColor="text1"/>
          <w14:textFill>
            <w14:solidFill>
              <w14:schemeClr w14:val="tx1"/>
            </w14:solidFill>
          </w14:textFill>
        </w:rPr>
        <w:t>风险。治理方向包括通过</w:t>
      </w:r>
      <w:r>
        <w:rPr>
          <w:rFonts w:hint="eastAsia" w:ascii="仿宋_GB2312"/>
          <w:color w:val="000000" w:themeColor="text1"/>
          <w14:textFill>
            <w14:solidFill>
              <w14:schemeClr w14:val="tx1"/>
            </w14:solidFill>
          </w14:textFill>
        </w:rPr>
        <w:t>“</w:t>
      </w:r>
      <w:r>
        <w:rPr>
          <w:rFonts w:hint="eastAsia"/>
          <w:color w:val="000000" w:themeColor="text1"/>
          <w14:textFill>
            <w14:solidFill>
              <w14:schemeClr w14:val="tx1"/>
            </w14:solidFill>
          </w14:textFill>
        </w:rPr>
        <w:t>本底评价、功能分区、修复提升</w:t>
      </w:r>
      <w:r>
        <w:rPr>
          <w:rFonts w:hint="eastAsia" w:ascii="仿宋_GB2312"/>
          <w:color w:val="000000" w:themeColor="text1"/>
          <w14:textFill>
            <w14:solidFill>
              <w14:schemeClr w14:val="tx1"/>
            </w14:solidFill>
          </w14:textFill>
        </w:rPr>
        <w:t>”</w:t>
      </w:r>
      <w:r>
        <w:rPr>
          <w:rFonts w:hint="eastAsia"/>
          <w:color w:val="000000" w:themeColor="text1"/>
          <w14:textFill>
            <w14:solidFill>
              <w14:schemeClr w14:val="tx1"/>
            </w14:solidFill>
          </w14:textFill>
        </w:rPr>
        <w:t>对矿山生态修复进行工程设计，分类提出生态修复策略；消除地灾隐患，包括清除危石、降坡削坡土地平整、边坡复绿等，搭建矿山安全修复空间；污染控制，确保矿山废弃地内无废水、废渣、废气等污染源产生，已产生的污染可采取降低污染物流动性的方式治理；生态恢复，通过覆土种植、崖壁修整、石缝固土种植等方式进行植被恢复，实现绿色安全矿山生态系统格局。</w:t>
      </w:r>
    </w:p>
    <w:p w14:paraId="48C689D3">
      <w:pPr>
        <w:pStyle w:val="6"/>
        <w:spacing w:before="163" w:after="163"/>
        <w:rPr>
          <w:b/>
        </w:rPr>
      </w:pPr>
      <w:bookmarkStart w:id="2960" w:name="_Toc28297"/>
      <w:bookmarkStart w:id="2961" w:name="_Toc141887981"/>
      <w:bookmarkStart w:id="2962" w:name="_Toc132305878"/>
      <w:r>
        <w:rPr>
          <w:rFonts w:hint="eastAsia"/>
        </w:rPr>
        <w:t>生态保护修复重点工程</w:t>
      </w:r>
      <w:bookmarkEnd w:id="2960"/>
      <w:bookmarkEnd w:id="2961"/>
      <w:bookmarkEnd w:id="2962"/>
    </w:p>
    <w:p w14:paraId="6A5BA777">
      <w:pPr>
        <w:tabs>
          <w:tab w:val="left" w:pos="720"/>
        </w:tabs>
        <w:ind w:firstLine="600"/>
        <w:jc w:val="both"/>
        <w:rPr>
          <w:color w:val="000000" w:themeColor="text1"/>
          <w14:textFill>
            <w14:solidFill>
              <w14:schemeClr w14:val="tx1"/>
            </w14:solidFill>
          </w14:textFill>
        </w:rPr>
      </w:pPr>
      <w:r>
        <w:rPr>
          <w:color w:val="000000" w:themeColor="text1"/>
          <w14:textFill>
            <w14:solidFill>
              <w14:schemeClr w14:val="tx1"/>
            </w14:solidFill>
          </w14:textFill>
        </w:rPr>
        <w:t>生态保护修复</w:t>
      </w:r>
      <w:r>
        <w:rPr>
          <w:rFonts w:hint="eastAsia"/>
          <w:color w:val="000000" w:themeColor="text1"/>
          <w14:textFill>
            <w14:solidFill>
              <w14:schemeClr w14:val="tx1"/>
            </w14:solidFill>
          </w14:textFill>
        </w:rPr>
        <w:t>重点工程包括矿山生态修复重点工程、造林绿化重点工程、水资源与水环境综合整治重点工程。</w:t>
      </w:r>
    </w:p>
    <w:p w14:paraId="6D8BB6AF">
      <w:pPr>
        <w:tabs>
          <w:tab w:val="left" w:pos="720"/>
        </w:tabs>
        <w:ind w:firstLine="6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矿山生态修复方面，对现有持证矿山进行绿色矿山建设，将</w:t>
      </w:r>
      <w:r>
        <w:rPr>
          <w:color w:val="000000" w:themeColor="text1"/>
          <w14:textFill>
            <w14:solidFill>
              <w14:schemeClr w14:val="tx1"/>
            </w14:solidFill>
          </w14:textFill>
        </w:rPr>
        <w:t>废弃停产矿山纳入停产矿山修复重点工程，</w:t>
      </w:r>
      <w:r>
        <w:rPr>
          <w:rFonts w:hint="eastAsia"/>
          <w:color w:val="000000" w:themeColor="text1"/>
          <w14:textFill>
            <w14:solidFill>
              <w14:schemeClr w14:val="tx1"/>
            </w14:solidFill>
          </w14:textFill>
        </w:rPr>
        <w:t>加大落实遗留矿山地质环境治理力度，</w:t>
      </w:r>
      <w:r>
        <w:rPr>
          <w:color w:val="000000" w:themeColor="text1"/>
          <w14:textFill>
            <w14:solidFill>
              <w14:schemeClr w14:val="tx1"/>
            </w14:solidFill>
          </w14:textFill>
        </w:rPr>
        <w:t>对废弃老稀土开采造成的植被破坏、水土流失以及形成的边坡、冲沟进行地形整理修复、边坡加固，通过客土</w:t>
      </w:r>
      <w:r>
        <w:rPr>
          <w:rFonts w:hint="eastAsia"/>
          <w:color w:val="000000" w:themeColor="text1"/>
          <w14:textFill>
            <w14:solidFill>
              <w14:schemeClr w14:val="tx1"/>
            </w14:solidFill>
          </w14:textFill>
        </w:rPr>
        <w:t>回覆</w:t>
      </w:r>
      <w:r>
        <w:rPr>
          <w:color w:val="000000" w:themeColor="text1"/>
          <w14:textFill>
            <w14:solidFill>
              <w14:schemeClr w14:val="tx1"/>
            </w14:solidFill>
          </w14:textFill>
        </w:rPr>
        <w:t>、设置灌溉系统等工程，保障复绿植被成活率。</w:t>
      </w:r>
      <w:r>
        <w:rPr>
          <w:rFonts w:hint="eastAsia"/>
          <w:color w:val="000000" w:themeColor="text1"/>
          <w14:textFill>
            <w14:solidFill>
              <w14:schemeClr w14:val="tx1"/>
            </w14:solidFill>
          </w14:textFill>
        </w:rPr>
        <w:t>重点推进凡口铅锌矿、董塘镇河富村、</w:t>
      </w:r>
      <w:r>
        <w:rPr>
          <w:color w:val="000000" w:themeColor="text1"/>
          <w14:textFill>
            <w14:solidFill>
              <w14:schemeClr w14:val="tx1"/>
            </w14:solidFill>
          </w14:textFill>
        </w:rPr>
        <w:t>江头村</w:t>
      </w:r>
      <w:r>
        <w:rPr>
          <w:rFonts w:hint="eastAsia"/>
          <w:color w:val="000000" w:themeColor="text1"/>
          <w14:textFill>
            <w14:solidFill>
              <w14:schemeClr w14:val="tx1"/>
            </w14:solidFill>
          </w14:textFill>
        </w:rPr>
        <w:t>等历史遗留矿山治理试点地块矿区生态修复工程，统筹推进矿业遗迹保护、修复和利用。</w:t>
      </w:r>
    </w:p>
    <w:p w14:paraId="7DC73FA7">
      <w:pPr>
        <w:tabs>
          <w:tab w:val="left" w:pos="720"/>
        </w:tabs>
        <w:ind w:firstLine="6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水资源与水环境综合整治方面，实施水土流失重点预防整治重点工程、</w:t>
      </w:r>
      <w:r>
        <w:rPr>
          <w:color w:val="000000" w:themeColor="text1"/>
          <w14:textFill>
            <w14:solidFill>
              <w14:schemeClr w14:val="tx1"/>
            </w14:solidFill>
          </w14:textFill>
        </w:rPr>
        <w:t>水污染综合整治流域重点工程</w:t>
      </w:r>
      <w:r>
        <w:rPr>
          <w:rFonts w:hint="eastAsia" w:ascii="Times New Roman" w:hAnsi="Times New Roman" w:cs="Times New Roman"/>
          <w:color w:val="000000" w:themeColor="text1"/>
          <w14:textFill>
            <w14:solidFill>
              <w14:schemeClr w14:val="tx1"/>
            </w14:solidFill>
          </w14:textFill>
        </w:rPr>
        <w:t>、</w:t>
      </w:r>
      <w:r>
        <w:rPr>
          <w:color w:val="000000" w:themeColor="text1"/>
          <w14:textFill>
            <w14:solidFill>
              <w14:schemeClr w14:val="tx1"/>
            </w14:solidFill>
          </w14:textFill>
        </w:rPr>
        <w:t>水污染综合整治水库重点工程</w:t>
      </w:r>
      <w:r>
        <w:rPr>
          <w:rFonts w:hint="eastAsia"/>
          <w:color w:val="000000" w:themeColor="text1"/>
          <w14:textFill>
            <w14:solidFill>
              <w14:schemeClr w14:val="tx1"/>
            </w14:solidFill>
          </w14:textFill>
        </w:rPr>
        <w:t>等，</w:t>
      </w:r>
      <w:r>
        <w:rPr>
          <w:color w:val="000000" w:themeColor="text1"/>
          <w14:textFill>
            <w14:solidFill>
              <w14:schemeClr w14:val="tx1"/>
            </w14:solidFill>
          </w14:textFill>
        </w:rPr>
        <w:t>实行水源涵养林、封山育林、造林等措施强化水资源保护，开展小流域水土保持工作，降低山洪、水土流失、地质灾害等对人民生活、生产的威胁。</w:t>
      </w:r>
      <w:r>
        <w:rPr>
          <w:rFonts w:hint="eastAsia"/>
          <w:color w:val="000000" w:themeColor="text1"/>
          <w14:textFill>
            <w14:solidFill>
              <w14:schemeClr w14:val="tx1"/>
            </w14:solidFill>
          </w14:textFill>
        </w:rPr>
        <w:t>稳妥推进董塘镇董塘河（江头段）</w:t>
      </w:r>
      <w:r>
        <w:rPr>
          <w:color w:val="000000" w:themeColor="text1"/>
          <w14:textFill>
            <w14:solidFill>
              <w14:schemeClr w14:val="tx1"/>
            </w14:solidFill>
          </w14:textFill>
        </w:rPr>
        <w:t>、大富水支流</w:t>
      </w:r>
      <w:r>
        <w:rPr>
          <w:rFonts w:hint="eastAsia"/>
          <w:color w:val="000000" w:themeColor="text1"/>
          <w14:textFill>
            <w14:solidFill>
              <w14:schemeClr w14:val="tx1"/>
            </w14:solidFill>
          </w14:textFill>
        </w:rPr>
        <w:t>两处流域综合整治试点工程，开展河道清淤疏浚、河岸整修及护岸修建等工程，实施景观生态恢复工程，改善河道两岸植被环境，提高岸坡抗洪能力。结合河岸自然环境，建设互相融洽的休闲绿道，</w:t>
      </w:r>
      <w:r>
        <w:rPr>
          <w:color w:val="000000" w:themeColor="text1"/>
          <w14:textFill>
            <w14:solidFill>
              <w14:schemeClr w14:val="tx1"/>
            </w14:solidFill>
          </w14:textFill>
        </w:rPr>
        <w:t>提高</w:t>
      </w:r>
      <w:r>
        <w:rPr>
          <w:rFonts w:hint="eastAsia"/>
          <w:color w:val="000000" w:themeColor="text1"/>
          <w14:textFill>
            <w14:solidFill>
              <w14:schemeClr w14:val="tx1"/>
            </w14:solidFill>
          </w14:textFill>
        </w:rPr>
        <w:t>河道</w:t>
      </w:r>
      <w:r>
        <w:rPr>
          <w:color w:val="000000" w:themeColor="text1"/>
          <w14:textFill>
            <w14:solidFill>
              <w14:schemeClr w14:val="tx1"/>
            </w14:solidFill>
          </w14:textFill>
        </w:rPr>
        <w:t>整体品质</w:t>
      </w:r>
      <w:r>
        <w:rPr>
          <w:rFonts w:hint="eastAsia"/>
          <w:color w:val="000000" w:themeColor="text1"/>
          <w14:textFill>
            <w14:solidFill>
              <w14:schemeClr w14:val="tx1"/>
            </w14:solidFill>
          </w14:textFill>
        </w:rPr>
        <w:t>，构筑</w:t>
      </w:r>
      <w:r>
        <w:rPr>
          <w:color w:val="000000" w:themeColor="text1"/>
          <w14:textFill>
            <w14:solidFill>
              <w14:schemeClr w14:val="tx1"/>
            </w14:solidFill>
          </w14:textFill>
        </w:rPr>
        <w:t>宜人的</w:t>
      </w:r>
      <w:r>
        <w:rPr>
          <w:rFonts w:hint="eastAsia"/>
          <w:color w:val="000000" w:themeColor="text1"/>
          <w14:textFill>
            <w14:solidFill>
              <w14:schemeClr w14:val="tx1"/>
            </w14:solidFill>
          </w14:textFill>
        </w:rPr>
        <w:t>自然</w:t>
      </w:r>
      <w:r>
        <w:rPr>
          <w:color w:val="000000" w:themeColor="text1"/>
          <w14:textFill>
            <w14:solidFill>
              <w14:schemeClr w14:val="tx1"/>
            </w14:solidFill>
          </w14:textFill>
        </w:rPr>
        <w:t>滨水生态</w:t>
      </w:r>
      <w:r>
        <w:rPr>
          <w:rFonts w:hint="eastAsia"/>
          <w:color w:val="000000" w:themeColor="text1"/>
          <w14:textFill>
            <w14:solidFill>
              <w14:schemeClr w14:val="tx1"/>
            </w14:solidFill>
          </w14:textFill>
        </w:rPr>
        <w:t>休闲</w:t>
      </w:r>
      <w:r>
        <w:rPr>
          <w:color w:val="000000" w:themeColor="text1"/>
          <w14:textFill>
            <w14:solidFill>
              <w14:schemeClr w14:val="tx1"/>
            </w14:solidFill>
          </w14:textFill>
        </w:rPr>
        <w:t>环境。</w:t>
      </w:r>
    </w:p>
    <w:p w14:paraId="28124FB9">
      <w:pPr>
        <w:tabs>
          <w:tab w:val="left" w:pos="720"/>
        </w:tabs>
        <w:ind w:firstLine="600"/>
        <w:jc w:val="both"/>
        <w:rPr>
          <w:rFonts w:ascii="仿宋" w:hAnsi="仿宋" w:eastAsia="仿宋" w:cs="Times New Roman"/>
          <w:b/>
          <w:color w:val="000000" w:themeColor="text1"/>
          <w:sz w:val="28"/>
          <w:szCs w:val="28"/>
          <w14:textFill>
            <w14:solidFill>
              <w14:schemeClr w14:val="tx1"/>
            </w14:solidFill>
          </w14:textFill>
        </w:rPr>
      </w:pPr>
      <w:r>
        <w:rPr>
          <w:rFonts w:hint="eastAsia"/>
          <w:color w:val="000000" w:themeColor="text1"/>
          <w14:textFill>
            <w14:solidFill>
              <w14:schemeClr w14:val="tx1"/>
            </w14:solidFill>
          </w14:textFill>
        </w:rPr>
        <w:t>造林绿化方面，以黄坑、董塘和城口等镇为重点开展造林绿化重点工程</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实施</w:t>
      </w:r>
      <w:r>
        <w:rPr>
          <w:color w:val="000000" w:themeColor="text1"/>
          <w14:textFill>
            <w14:solidFill>
              <w14:schemeClr w14:val="tx1"/>
            </w14:solidFill>
          </w14:textFill>
        </w:rPr>
        <w:t>修山扩林，通过</w:t>
      </w:r>
      <w:r>
        <w:rPr>
          <w:rFonts w:hint="eastAsia" w:ascii="仿宋_GB2312"/>
          <w:color w:val="000000" w:themeColor="text1"/>
          <w14:textFill>
            <w14:solidFill>
              <w14:schemeClr w14:val="tx1"/>
            </w14:solidFill>
          </w14:textFill>
        </w:rPr>
        <w:t>“</w:t>
      </w:r>
      <w:r>
        <w:rPr>
          <w:color w:val="000000" w:themeColor="text1"/>
          <w14:textFill>
            <w14:solidFill>
              <w14:schemeClr w14:val="tx1"/>
            </w14:solidFill>
          </w14:textFill>
        </w:rPr>
        <w:t>分区增量，分期提质</w:t>
      </w:r>
      <w:r>
        <w:rPr>
          <w:rFonts w:hint="eastAsia" w:ascii="仿宋_GB2312" w:hAnsi="仿宋"/>
          <w:color w:val="000000" w:themeColor="text1"/>
          <w14:textFill>
            <w14:solidFill>
              <w14:schemeClr w14:val="tx1"/>
            </w14:solidFill>
          </w14:textFill>
        </w:rPr>
        <w:t>”</w:t>
      </w:r>
      <w:r>
        <w:rPr>
          <w:color w:val="000000" w:themeColor="text1"/>
          <w14:textFill>
            <w14:solidFill>
              <w14:schemeClr w14:val="tx1"/>
            </w14:solidFill>
          </w14:textFill>
        </w:rPr>
        <w:t>，恢复补充林地；</w:t>
      </w:r>
      <w:r>
        <w:rPr>
          <w:rFonts w:hint="eastAsia"/>
          <w:color w:val="000000" w:themeColor="text1"/>
          <w14:textFill>
            <w14:solidFill>
              <w14:schemeClr w14:val="tx1"/>
            </w14:solidFill>
          </w14:textFill>
        </w:rPr>
        <w:t>实施</w:t>
      </w:r>
      <w:r>
        <w:rPr>
          <w:color w:val="000000" w:themeColor="text1"/>
          <w14:textFill>
            <w14:solidFill>
              <w14:schemeClr w14:val="tx1"/>
            </w14:solidFill>
          </w14:textFill>
        </w:rPr>
        <w:t>国土空间造林和低效森林改造，提升整体森林生态质量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在水库周边抚育水源涵养林、水土保持林，提高植被水源涵养和水土保持能力，改善水文状况，防止水库淤塞；在交通干线两侧种植护路林，以保护交通干线免受风雨、泥沙等的侵害。</w:t>
      </w:r>
      <w:r>
        <w:rPr>
          <w:rFonts w:hint="eastAsia"/>
          <w:color w:val="000000" w:themeColor="text1"/>
          <w14:textFill>
            <w14:solidFill>
              <w14:schemeClr w14:val="tx1"/>
            </w14:solidFill>
          </w14:textFill>
        </w:rPr>
        <w:t>稳妥推进丹霞山国家公园（拟创建）范围内疏（残）林改造、森林抚育和封山育林，持续改善林相，提升林分质量，涵养北江水源；</w:t>
      </w:r>
      <w:r>
        <w:rPr>
          <w:color w:val="000000" w:themeColor="text1"/>
          <w14:textFill>
            <w14:solidFill>
              <w14:schemeClr w14:val="tx1"/>
            </w14:solidFill>
          </w14:textFill>
        </w:rPr>
        <w:t>优化林区树种结构，提升林地质量和林业综合效益，保持生态平衡，保护生物多样性。</w:t>
      </w:r>
    </w:p>
    <w:p w14:paraId="5EF65570">
      <w:pPr>
        <w:pStyle w:val="5"/>
        <w:numPr>
          <w:ilvl w:val="1"/>
          <w:numId w:val="13"/>
        </w:numPr>
        <w:spacing w:before="163" w:after="163"/>
        <w:rPr>
          <w:b/>
        </w:rPr>
      </w:pPr>
      <w:bookmarkStart w:id="2963" w:name="_Toc167271431"/>
      <w:bookmarkStart w:id="2964" w:name="_Toc5179"/>
      <w:bookmarkStart w:id="2965" w:name="_Toc141887982"/>
      <w:r>
        <w:rPr>
          <w:rFonts w:hint="eastAsia"/>
        </w:rPr>
        <w:t>推进存量建设用地盘活利用</w:t>
      </w:r>
      <w:bookmarkEnd w:id="2963"/>
      <w:bookmarkEnd w:id="2964"/>
      <w:bookmarkEnd w:id="2965"/>
    </w:p>
    <w:p w14:paraId="23D34577">
      <w:pPr>
        <w:pStyle w:val="6"/>
        <w:spacing w:before="163" w:after="163"/>
        <w:rPr>
          <w:b/>
        </w:rPr>
      </w:pPr>
      <w:bookmarkStart w:id="2966" w:name="_Toc30866"/>
      <w:bookmarkStart w:id="2967" w:name="_Toc141887983"/>
      <w:bookmarkStart w:id="2968" w:name="_Toc132305880"/>
      <w:r>
        <w:rPr>
          <w:rFonts w:hint="eastAsia"/>
        </w:rPr>
        <w:t>优化调整</w:t>
      </w:r>
      <w:bookmarkEnd w:id="2966"/>
      <w:bookmarkEnd w:id="2967"/>
      <w:r>
        <w:rPr>
          <w:rFonts w:hint="eastAsia"/>
        </w:rPr>
        <w:t>建设用地结构</w:t>
      </w:r>
    </w:p>
    <w:p w14:paraId="07C62768">
      <w:pPr>
        <w:ind w:firstLine="6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统筹城乡居住生活、基础设施、公共服务、产业发展、生态环境保护等建设要求，促进城乡公共资源合理配置，推动城乡建设用地结构优化。优化农村居民点布局，将土地综合整治、拆旧复垦、增减挂钩、宅基地改革试点工作有效联动，分区分类引导农村建设用地减量化，盘活空置废弃宅基地、空心村等农村低效建设用地。推进低效产业用地和工业园区整治提升，加强工业用地绩效和资源环境承载能力评估管控，建立低效建设用地退出和腾挪机制，引导建设用地资源向重点平台集中布局</w:t>
      </w:r>
      <w:r>
        <w:rPr>
          <w:color w:val="000000" w:themeColor="text1"/>
          <w14:textFill>
            <w14:solidFill>
              <w14:schemeClr w14:val="tx1"/>
            </w14:solidFill>
          </w14:textFill>
        </w:rPr>
        <w:t>。</w:t>
      </w:r>
    </w:p>
    <w:p w14:paraId="0AD68D1D">
      <w:pPr>
        <w:pStyle w:val="6"/>
        <w:spacing w:before="163" w:after="163"/>
        <w:rPr>
          <w:b/>
        </w:rPr>
      </w:pPr>
      <w:bookmarkStart w:id="2969" w:name="_Toc24188"/>
      <w:bookmarkStart w:id="2970" w:name="_Toc141887984"/>
      <w:r>
        <w:rPr>
          <w:rFonts w:hint="eastAsia"/>
        </w:rPr>
        <w:t>统筹推进“三旧”改造</w:t>
      </w:r>
      <w:bookmarkEnd w:id="2968"/>
      <w:bookmarkEnd w:id="2969"/>
      <w:bookmarkEnd w:id="2970"/>
    </w:p>
    <w:p w14:paraId="2F808BD6">
      <w:pPr>
        <w:ind w:firstLine="600"/>
        <w:jc w:val="both"/>
        <w:rPr>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“三旧”改造。</w:t>
      </w:r>
      <w:r>
        <w:rPr>
          <w:rFonts w:hint="eastAsia" w:ascii="仿宋_GB2312"/>
          <w:color w:val="000000" w:themeColor="text1"/>
          <w14:textFill>
            <w14:solidFill>
              <w14:schemeClr w14:val="tx1"/>
            </w14:solidFill>
          </w14:textFill>
        </w:rPr>
        <w:t>“</w:t>
      </w:r>
      <w:r>
        <w:rPr>
          <w:rFonts w:hint="eastAsia"/>
          <w:color w:val="000000" w:themeColor="text1"/>
          <w14:textFill>
            <w14:solidFill>
              <w14:schemeClr w14:val="tx1"/>
            </w14:solidFill>
          </w14:textFill>
        </w:rPr>
        <w:t>三旧</w:t>
      </w:r>
      <w:r>
        <w:rPr>
          <w:rFonts w:hint="eastAsia" w:ascii="仿宋_GB2312"/>
          <w:color w:val="000000" w:themeColor="text1"/>
          <w14:textFill>
            <w14:solidFill>
              <w14:schemeClr w14:val="tx1"/>
            </w14:solidFill>
          </w14:textFill>
        </w:rPr>
        <w:t>”</w:t>
      </w:r>
      <w:r>
        <w:rPr>
          <w:rFonts w:hint="eastAsia"/>
          <w:color w:val="000000" w:themeColor="text1"/>
          <w14:textFill>
            <w14:solidFill>
              <w14:schemeClr w14:val="tx1"/>
            </w14:solidFill>
          </w14:textFill>
        </w:rPr>
        <w:t>改造以丹霞街道、董塘、周田和长江等镇（街）为重点，推进以住宅用地、</w:t>
      </w:r>
      <w:r>
        <w:rPr>
          <w:color w:val="000000" w:themeColor="text1"/>
          <w14:textFill>
            <w14:solidFill>
              <w14:schemeClr w14:val="tx1"/>
            </w14:solidFill>
          </w14:textFill>
        </w:rPr>
        <w:t>工矿用地</w:t>
      </w:r>
      <w:r>
        <w:rPr>
          <w:rFonts w:hint="eastAsia"/>
          <w:color w:val="000000" w:themeColor="text1"/>
          <w14:textFill>
            <w14:solidFill>
              <w14:schemeClr w14:val="tx1"/>
            </w14:solidFill>
          </w14:textFill>
        </w:rPr>
        <w:t>为主的存量建设用地再开发。</w:t>
      </w:r>
      <w:r>
        <w:rPr>
          <w:rFonts w:hint="eastAsia" w:ascii="仿宋_GB2312"/>
          <w:color w:val="000000" w:themeColor="text1"/>
          <w14:textFill>
            <w14:solidFill>
              <w14:schemeClr w14:val="tx1"/>
            </w14:solidFill>
          </w14:textFill>
        </w:rPr>
        <w:t>“</w:t>
      </w:r>
      <w:r>
        <w:rPr>
          <w:rFonts w:hint="eastAsia"/>
          <w:color w:val="000000" w:themeColor="text1"/>
          <w14:textFill>
            <w14:solidFill>
              <w14:schemeClr w14:val="tx1"/>
            </w14:solidFill>
          </w14:textFill>
        </w:rPr>
        <w:t>三旧</w:t>
      </w:r>
      <w:r>
        <w:rPr>
          <w:rFonts w:hint="eastAsia" w:ascii="仿宋_GB2312"/>
          <w:color w:val="000000" w:themeColor="text1"/>
          <w14:textFill>
            <w14:solidFill>
              <w14:schemeClr w14:val="tx1"/>
            </w14:solidFill>
          </w14:textFill>
        </w:rPr>
        <w:t>”</w:t>
      </w:r>
      <w:r>
        <w:rPr>
          <w:rFonts w:hint="eastAsia"/>
          <w:color w:val="000000" w:themeColor="text1"/>
          <w14:textFill>
            <w14:solidFill>
              <w14:schemeClr w14:val="tx1"/>
            </w14:solidFill>
          </w14:textFill>
        </w:rPr>
        <w:t>改造应以促进经济高质量发展为前提，结合全面改造、微改造、混合改造三类改造方式，因地制宜、分类施策、统筹安排。</w:t>
      </w:r>
    </w:p>
    <w:p w14:paraId="1E775996">
      <w:pPr>
        <w:ind w:firstLine="600"/>
        <w:jc w:val="both"/>
        <w:rPr>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村镇工业集聚区升级改造。</w:t>
      </w:r>
      <w:r>
        <w:rPr>
          <w:rFonts w:hint="eastAsia"/>
          <w:color w:val="000000" w:themeColor="text1"/>
          <w14:textFill>
            <w14:solidFill>
              <w14:schemeClr w14:val="tx1"/>
            </w14:solidFill>
          </w14:textFill>
        </w:rPr>
        <w:t>重点围绕丹霞街道、董塘、周田和长江等镇（街）实施村镇工业集聚区升级改造，以</w:t>
      </w:r>
      <w:r>
        <w:rPr>
          <w:rFonts w:hint="eastAsia" w:ascii="仿宋_GB2312"/>
          <w:color w:val="000000" w:themeColor="text1"/>
          <w14:textFill>
            <w14:solidFill>
              <w14:schemeClr w14:val="tx1"/>
            </w14:solidFill>
          </w14:textFill>
        </w:rPr>
        <w:t>“</w:t>
      </w:r>
      <w:r>
        <w:rPr>
          <w:rFonts w:hint="eastAsia"/>
          <w:color w:val="000000" w:themeColor="text1"/>
          <w14:textFill>
            <w14:solidFill>
              <w14:schemeClr w14:val="tx1"/>
            </w14:solidFill>
          </w14:textFill>
        </w:rPr>
        <w:t>工改工</w:t>
      </w:r>
      <w:r>
        <w:rPr>
          <w:rFonts w:hint="eastAsia" w:ascii="仿宋_GB2312"/>
          <w:color w:val="000000" w:themeColor="text1"/>
          <w14:textFill>
            <w14:solidFill>
              <w14:schemeClr w14:val="tx1"/>
            </w14:solidFill>
          </w14:textFill>
        </w:rPr>
        <w:t>”</w:t>
      </w:r>
      <w:r>
        <w:rPr>
          <w:rFonts w:hint="eastAsia"/>
          <w:color w:val="000000" w:themeColor="text1"/>
          <w14:textFill>
            <w14:solidFill>
              <w14:schemeClr w14:val="tx1"/>
            </w14:solidFill>
          </w14:textFill>
        </w:rPr>
        <w:t>为主要改造方式，</w:t>
      </w:r>
      <w:r>
        <w:rPr>
          <w:rFonts w:hint="eastAsia" w:ascii="仿宋_GB2312"/>
          <w:color w:val="000000" w:themeColor="text1"/>
          <w14:textFill>
            <w14:solidFill>
              <w14:schemeClr w14:val="tx1"/>
            </w14:solidFill>
          </w14:textFill>
        </w:rPr>
        <w:t>“</w:t>
      </w:r>
      <w:r>
        <w:rPr>
          <w:rFonts w:hint="eastAsia"/>
          <w:color w:val="000000" w:themeColor="text1"/>
          <w14:textFill>
            <w14:solidFill>
              <w14:schemeClr w14:val="tx1"/>
            </w14:solidFill>
          </w14:textFill>
        </w:rPr>
        <w:t>关停并转</w:t>
      </w:r>
      <w:r>
        <w:rPr>
          <w:rFonts w:hint="eastAsia" w:ascii="仿宋_GB2312"/>
          <w:color w:val="000000" w:themeColor="text1"/>
          <w14:textFill>
            <w14:solidFill>
              <w14:schemeClr w14:val="tx1"/>
            </w14:solidFill>
          </w14:textFill>
        </w:rPr>
        <w:t>”</w:t>
      </w:r>
      <w:r>
        <w:rPr>
          <w:rFonts w:hint="eastAsia"/>
          <w:color w:val="000000" w:themeColor="text1"/>
          <w14:textFill>
            <w14:solidFill>
              <w14:schemeClr w14:val="tx1"/>
            </w14:solidFill>
          </w14:textFill>
        </w:rPr>
        <w:t>一批村镇工业集聚区，优先加快位于工业用地控制线范围内土地规模较大、产业发展基础较好的村镇工业集聚区升级改造，利用</w:t>
      </w:r>
      <w:r>
        <w:rPr>
          <w:rFonts w:hint="eastAsia" w:ascii="仿宋_GB2312"/>
          <w:color w:val="000000" w:themeColor="text1"/>
          <w14:textFill>
            <w14:solidFill>
              <w14:schemeClr w14:val="tx1"/>
            </w14:solidFill>
          </w14:textFill>
        </w:rPr>
        <w:t>“</w:t>
      </w:r>
      <w:r>
        <w:rPr>
          <w:rFonts w:hint="eastAsia"/>
          <w:color w:val="000000" w:themeColor="text1"/>
          <w14:textFill>
            <w14:solidFill>
              <w14:schemeClr w14:val="tx1"/>
            </w14:solidFill>
          </w14:textFill>
        </w:rPr>
        <w:t>三旧</w:t>
      </w:r>
      <w:r>
        <w:rPr>
          <w:rFonts w:hint="eastAsia" w:ascii="仿宋_GB2312"/>
          <w:color w:val="000000" w:themeColor="text1"/>
          <w14:textFill>
            <w14:solidFill>
              <w14:schemeClr w14:val="tx1"/>
            </w14:solidFill>
          </w14:textFill>
        </w:rPr>
        <w:t>”</w:t>
      </w:r>
      <w:r>
        <w:rPr>
          <w:rFonts w:hint="eastAsia"/>
          <w:color w:val="000000" w:themeColor="text1"/>
          <w14:textFill>
            <w14:solidFill>
              <w14:schemeClr w14:val="tx1"/>
            </w14:solidFill>
          </w14:textFill>
        </w:rPr>
        <w:t>改造政策加快工业集聚区产业配套完善，有效推动产业转型升级。</w:t>
      </w:r>
    </w:p>
    <w:p w14:paraId="21BC142B">
      <w:pPr>
        <w:ind w:firstLine="600"/>
        <w:jc w:val="both"/>
        <w:rPr>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城中村改造。</w:t>
      </w:r>
      <w:r>
        <w:rPr>
          <w:rFonts w:hint="eastAsia"/>
          <w:color w:val="000000" w:themeColor="text1"/>
          <w14:textFill>
            <w14:solidFill>
              <w14:schemeClr w14:val="tx1"/>
            </w14:solidFill>
          </w14:textFill>
        </w:rPr>
        <w:t>重点围绕中心城区实施城中村改造工程，以提升城镇环境品质为导向，严格控制大规模拆除，严格控制新增建筑高度，不破坏老城区传统格局和街巷肌理。以优质社区生活圈建设为载体，合理增加公共服务设施和基础设施用地供给，增加绿地与开敞空间供给。</w:t>
      </w:r>
    </w:p>
    <w:p w14:paraId="4DF5D78E">
      <w:pPr>
        <w:ind w:firstLine="600"/>
        <w:jc w:val="both"/>
        <w:rPr>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批而未供和闲置用地处置。</w:t>
      </w:r>
      <w:r>
        <w:rPr>
          <w:rFonts w:hint="eastAsia"/>
          <w:color w:val="000000" w:themeColor="text1"/>
          <w14:textFill>
            <w14:solidFill>
              <w14:schemeClr w14:val="tx1"/>
            </w14:solidFill>
          </w14:textFill>
        </w:rPr>
        <w:t>以相关主管部门所下达的批而未供和闲置土地任务基数作为依据，按照“应征则征、不能征则退，应供则供、不能供则调”的工作思路，采取</w:t>
      </w:r>
      <w:r>
        <w:rPr>
          <w:rFonts w:hint="eastAsia" w:ascii="仿宋_GB2312"/>
          <w:color w:val="000000" w:themeColor="text1"/>
          <w14:textFill>
            <w14:solidFill>
              <w14:schemeClr w14:val="tx1"/>
            </w14:solidFill>
          </w14:textFill>
        </w:rPr>
        <w:t>“</w:t>
      </w:r>
      <w:r>
        <w:rPr>
          <w:rFonts w:hint="eastAsia"/>
          <w:color w:val="000000" w:themeColor="text1"/>
          <w14:textFill>
            <w14:solidFill>
              <w14:schemeClr w14:val="tx1"/>
            </w14:solidFill>
          </w14:textFill>
        </w:rPr>
        <w:t>一地一策</w:t>
      </w:r>
      <w:r>
        <w:rPr>
          <w:rFonts w:hint="eastAsia" w:ascii="仿宋_GB2312"/>
          <w:color w:val="000000" w:themeColor="text1"/>
          <w14:textFill>
            <w14:solidFill>
              <w14:schemeClr w14:val="tx1"/>
            </w14:solidFill>
          </w14:textFill>
        </w:rPr>
        <w:t>”“</w:t>
      </w:r>
      <w:r>
        <w:rPr>
          <w:rFonts w:hint="eastAsia"/>
          <w:color w:val="000000" w:themeColor="text1"/>
          <w14:textFill>
            <w14:solidFill>
              <w14:schemeClr w14:val="tx1"/>
            </w14:solidFill>
          </w14:textFill>
        </w:rPr>
        <w:t>分门别类</w:t>
      </w:r>
      <w:r>
        <w:rPr>
          <w:rFonts w:hint="eastAsia" w:ascii="仿宋_GB2312"/>
          <w:color w:val="000000" w:themeColor="text1"/>
          <w14:textFill>
            <w14:solidFill>
              <w14:schemeClr w14:val="tx1"/>
            </w14:solidFill>
          </w14:textFill>
        </w:rPr>
        <w:t>”</w:t>
      </w:r>
      <w:r>
        <w:rPr>
          <w:rFonts w:hint="eastAsia"/>
          <w:color w:val="000000" w:themeColor="text1"/>
          <w14:textFill>
            <w14:solidFill>
              <w14:schemeClr w14:val="tx1"/>
            </w14:solidFill>
          </w14:textFill>
        </w:rPr>
        <w:t>处置方式，多途径、多方式处置闲置土地，多渠道提高土地供应率，进一步扩展产业发展空间，为仁化高质量发展提供坚强用地保障。</w:t>
      </w:r>
    </w:p>
    <w:p w14:paraId="2AD39EAF">
      <w:pPr>
        <w:ind w:firstLine="600"/>
        <w:jc w:val="both"/>
        <w:rPr>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老旧小区改造。</w:t>
      </w:r>
      <w:r>
        <w:rPr>
          <w:rFonts w:hint="eastAsia"/>
          <w:color w:val="000000" w:themeColor="text1"/>
          <w14:textFill>
            <w14:solidFill>
              <w14:schemeClr w14:val="tx1"/>
            </w14:solidFill>
          </w14:textFill>
        </w:rPr>
        <w:t>以中心城区和各镇区为重点，围绕老旧小区道路、排水排污、消防通道整治、外立面安全隐患修复、安防监控布控等方面开展，进一步强化公共服务设施供给与小区内生活环境空间更新。</w:t>
      </w:r>
    </w:p>
    <w:p w14:paraId="1D59A0D8">
      <w:pPr>
        <w:pStyle w:val="6"/>
        <w:spacing w:before="163" w:after="163"/>
        <w:rPr>
          <w:b/>
        </w:rPr>
      </w:pPr>
      <w:bookmarkStart w:id="2971" w:name="_Toc141887985"/>
      <w:bookmarkStart w:id="2972" w:name="_Toc31328"/>
      <w:bookmarkStart w:id="2973" w:name="_Toc132305881"/>
      <w:r>
        <w:rPr>
          <w:rFonts w:hint="eastAsia"/>
        </w:rPr>
        <w:t>划分“三旧”改造分区</w:t>
      </w:r>
      <w:bookmarkEnd w:id="2971"/>
      <w:bookmarkEnd w:id="2972"/>
      <w:bookmarkEnd w:id="2973"/>
      <w:bookmarkStart w:id="2974" w:name="_Toc88472398"/>
      <w:bookmarkStart w:id="2975" w:name="_Toc68625542"/>
    </w:p>
    <w:p w14:paraId="7EEC8E64">
      <w:pPr>
        <w:ind w:firstLine="6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划定重点改造区、逐步腾退区、盘活促建区、综合整理区四类改造分区，实施差异化存量低效用地改造策略。</w:t>
      </w:r>
    </w:p>
    <w:p w14:paraId="4EFF4A91">
      <w:pPr>
        <w:ind w:firstLine="6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重点改造区主要包括城镇空间内建成区和工业园区范围内的建设用地；逐步腾退区主要包括生态保护红线与自然保护地内的建设用地；盘活促建区主要包括批而未供未建和供而未建范围内的建设用地；综合整理区为除上述三类片区外需改造整理的地区。</w:t>
      </w:r>
    </w:p>
    <w:p w14:paraId="26DC2D05">
      <w:pPr>
        <w:pStyle w:val="4"/>
        <w:spacing w:before="326" w:after="326"/>
        <w:ind w:firstLine="726"/>
        <w:rPr>
          <w:b w:val="0"/>
          <w:bCs w:val="0"/>
          <w:color w:val="000000" w:themeColor="text1"/>
          <w14:textFill>
            <w14:solidFill>
              <w14:schemeClr w14:val="tx1"/>
            </w14:solidFill>
          </w14:textFill>
        </w:rPr>
      </w:pPr>
      <w:bookmarkStart w:id="2976" w:name="_Toc167271432"/>
      <w:r>
        <w:rPr>
          <w:rFonts w:hint="eastAsia"/>
          <w:b w:val="0"/>
          <w:bCs w:val="0"/>
          <w:color w:val="000000" w:themeColor="text1"/>
          <w14:textFill>
            <w14:solidFill>
              <w14:schemeClr w14:val="tx1"/>
            </w14:solidFill>
          </w14:textFill>
        </w:rPr>
        <w:t>区域协调发展</w:t>
      </w:r>
      <w:bookmarkEnd w:id="2976"/>
    </w:p>
    <w:bookmarkEnd w:id="2974"/>
    <w:bookmarkEnd w:id="2975"/>
    <w:p w14:paraId="71853CC0">
      <w:pPr>
        <w:pStyle w:val="5"/>
        <w:numPr>
          <w:ilvl w:val="1"/>
          <w:numId w:val="15"/>
        </w:numPr>
        <w:spacing w:before="163" w:after="163"/>
        <w:rPr>
          <w:b/>
        </w:rPr>
      </w:pPr>
      <w:bookmarkStart w:id="2977" w:name="_Toc159405149"/>
      <w:bookmarkStart w:id="2978" w:name="_Toc167271433"/>
      <w:r>
        <w:rPr>
          <w:rFonts w:hint="eastAsia"/>
        </w:rPr>
        <w:t>加强北部生态发展区协作</w:t>
      </w:r>
      <w:bookmarkEnd w:id="2977"/>
      <w:bookmarkEnd w:id="2978"/>
    </w:p>
    <w:p w14:paraId="1AA8CC44">
      <w:pPr>
        <w:pStyle w:val="6"/>
        <w:spacing w:before="163" w:after="163"/>
        <w:ind w:left="284" w:hanging="284"/>
      </w:pPr>
      <w:bookmarkStart w:id="2979" w:name="_Toc159405150"/>
      <w:r>
        <w:rPr>
          <w:rFonts w:hint="eastAsia"/>
        </w:rPr>
        <w:t>共同</w:t>
      </w:r>
      <w:bookmarkStart w:id="2980" w:name="_Toc145277557"/>
      <w:bookmarkEnd w:id="2980"/>
      <w:r>
        <w:rPr>
          <w:rFonts w:hint="eastAsia"/>
        </w:rPr>
        <w:t>筑牢粤北生态屏障</w:t>
      </w:r>
      <w:bookmarkEnd w:id="2979"/>
    </w:p>
    <w:p w14:paraId="62CF174E">
      <w:pPr>
        <w:widowControl/>
        <w:ind w:firstLine="600" w:firstLineChars="0"/>
      </w:pPr>
      <w:r>
        <w:rPr>
          <w:rFonts w:hint="eastAsia" w:cs="Times New Roman"/>
          <w:color w:val="000000" w:themeColor="text1"/>
          <w14:textFill>
            <w14:solidFill>
              <w14:schemeClr w14:val="tx1"/>
            </w14:solidFill>
          </w14:textFill>
        </w:rPr>
        <w:t>衔接韶关“三屏维育、两核示范、两轴融湾、三区共生”的国土空间开发保护格局，立</w:t>
      </w:r>
      <w:r>
        <w:rPr>
          <w:rFonts w:hint="eastAsia"/>
        </w:rPr>
        <w:t>足国家重点生态功能区定位</w:t>
      </w:r>
      <w:r>
        <w:rPr>
          <w:rFonts w:hint="eastAsia" w:cs="Times New Roman"/>
          <w:color w:val="000000" w:themeColor="text1"/>
          <w14:textFill>
            <w14:solidFill>
              <w14:schemeClr w14:val="tx1"/>
            </w14:solidFill>
          </w14:textFill>
        </w:rPr>
        <w:t>，</w:t>
      </w:r>
      <w:r>
        <w:rPr>
          <w:rFonts w:hint="eastAsia"/>
        </w:rPr>
        <w:t>以“构建北部环形生态屏障”为重点，</w:t>
      </w:r>
      <w:r>
        <w:rPr>
          <w:rFonts w:hint="eastAsia" w:cs="Times New Roman"/>
          <w:color w:val="000000" w:themeColor="text1"/>
          <w14:textFill>
            <w14:solidFill>
              <w14:schemeClr w14:val="tx1"/>
            </w14:solidFill>
          </w14:textFill>
        </w:rPr>
        <w:t>严格保护</w:t>
      </w:r>
      <w:r>
        <w:rPr>
          <w:rFonts w:hint="eastAsia"/>
        </w:rPr>
        <w:t>大庾岭、蔚岭、</w:t>
      </w:r>
      <w:r>
        <w:rPr>
          <w:rFonts w:hint="eastAsia" w:cs="Times New Roman"/>
          <w:color w:val="000000" w:themeColor="text1"/>
          <w14:textFill>
            <w14:solidFill>
              <w14:schemeClr w14:val="tx1"/>
            </w14:solidFill>
          </w14:textFill>
        </w:rPr>
        <w:t>滑石山脉（位于始兴、仁化、韶关市区、翁源、英德一带），保持生态屏障完整性，强化生物多样性和水源涵养的生态功能。协同浈江区、始兴县加强对浈江流域的保护，</w:t>
      </w:r>
      <w:r>
        <w:rPr>
          <w:rFonts w:hint="eastAsia" w:ascii="仿宋_GB2312"/>
          <w:color w:val="000000"/>
          <w:szCs w:val="30"/>
        </w:rPr>
        <w:t>合力推进跨界河流水污染治理和河流生态廊道的管护工作。</w:t>
      </w:r>
      <w:r>
        <w:rPr>
          <w:rFonts w:hint="eastAsia"/>
          <w:color w:val="000000" w:themeColor="text1"/>
          <w14:textFill>
            <w14:solidFill>
              <w14:schemeClr w14:val="tx1"/>
            </w14:solidFill>
          </w14:textFill>
        </w:rPr>
        <w:t>以</w:t>
      </w:r>
      <w:r>
        <w:rPr>
          <w:color w:val="000000" w:themeColor="text1"/>
          <w14:textFill>
            <w14:solidFill>
              <w14:schemeClr w14:val="tx1"/>
            </w14:solidFill>
          </w14:textFill>
        </w:rPr>
        <w:t>造林绿化</w:t>
      </w:r>
      <w:r>
        <w:rPr>
          <w:rFonts w:hint="eastAsia"/>
          <w:color w:val="000000" w:themeColor="text1"/>
          <w14:textFill>
            <w14:solidFill>
              <w14:schemeClr w14:val="tx1"/>
            </w14:solidFill>
          </w14:textFill>
        </w:rPr>
        <w:t>工程为抓手，</w:t>
      </w:r>
      <w:r>
        <w:rPr>
          <w:color w:val="000000" w:themeColor="text1"/>
          <w14:textFill>
            <w14:solidFill>
              <w14:schemeClr w14:val="tx1"/>
            </w14:solidFill>
          </w14:textFill>
        </w:rPr>
        <w:t>提升森林</w:t>
      </w:r>
      <w:r>
        <w:rPr>
          <w:rFonts w:hint="eastAsia"/>
          <w:color w:val="000000" w:themeColor="text1"/>
          <w14:textFill>
            <w14:solidFill>
              <w14:schemeClr w14:val="tx1"/>
            </w14:solidFill>
          </w14:textFill>
        </w:rPr>
        <w:t>生态系统功能，推进生态环境修复，</w:t>
      </w:r>
      <w:r>
        <w:rPr>
          <w:rFonts w:hint="eastAsia"/>
        </w:rPr>
        <w:t>维护生态屏障内的生物多样性价值、景观价值和文化价值。</w:t>
      </w:r>
    </w:p>
    <w:p w14:paraId="301E556E">
      <w:pPr>
        <w:pStyle w:val="5"/>
        <w:numPr>
          <w:ilvl w:val="1"/>
          <w:numId w:val="13"/>
        </w:numPr>
        <w:spacing w:before="163" w:after="163"/>
        <w:rPr>
          <w:b/>
        </w:rPr>
      </w:pPr>
      <w:bookmarkStart w:id="2981" w:name="_Toc167271434"/>
      <w:bookmarkStart w:id="2982" w:name="_Toc159405151"/>
      <w:r>
        <w:rPr>
          <w:rFonts w:hint="eastAsia"/>
        </w:rPr>
        <w:t>促进区域间融合发展</w:t>
      </w:r>
      <w:bookmarkEnd w:id="2981"/>
      <w:bookmarkEnd w:id="2982"/>
    </w:p>
    <w:p w14:paraId="22DA6AE4">
      <w:pPr>
        <w:pStyle w:val="6"/>
        <w:spacing w:before="163" w:after="163"/>
        <w:ind w:left="284" w:hanging="284"/>
        <w:rPr>
          <w:bCs w:val="0"/>
        </w:rPr>
      </w:pPr>
      <w:bookmarkStart w:id="2983" w:name="_Toc159405152"/>
      <w:r>
        <w:rPr>
          <w:rFonts w:hint="eastAsia"/>
        </w:rPr>
        <w:t>主动融入“双区”建设</w:t>
      </w:r>
      <w:bookmarkEnd w:id="2983"/>
    </w:p>
    <w:p w14:paraId="18A81BB5">
      <w:pPr>
        <w:ind w:firstLine="600"/>
        <w:jc w:val="both"/>
        <w:rPr>
          <w:highlight w:val="yellow"/>
        </w:rPr>
      </w:pPr>
      <w:r>
        <w:rPr>
          <w:rFonts w:hint="eastAsia"/>
        </w:rPr>
        <w:t>依托武深高速、南韶高速，加强与广州、东莞和深圳的城市合作，融入深莞韶协作发展轴；坚持制造业当家，立足现有的有色金属、储能材料及动力电池、优质农产品三大优势传统产业基础，融入联系“双区”的科技创新走廊，构建“湾区孵化</w:t>
      </w:r>
      <w:r>
        <w:rPr>
          <w:rFonts w:hint="eastAsia" w:ascii="仿宋_GB2312"/>
        </w:rPr>
        <w:t>+</w:t>
      </w:r>
      <w:r>
        <w:t>仁化制造”的合作模式，加快重点</w:t>
      </w:r>
      <w:r>
        <w:rPr>
          <w:rFonts w:hint="eastAsia"/>
        </w:rPr>
        <w:t>产业</w:t>
      </w:r>
      <w:r>
        <w:t>园区合作共建，积极引进新兴产业重点项目，建设高质量发展高地。</w:t>
      </w:r>
    </w:p>
    <w:p w14:paraId="048C213C">
      <w:pPr>
        <w:pStyle w:val="6"/>
        <w:spacing w:before="163" w:after="163"/>
        <w:ind w:left="284" w:hanging="284"/>
      </w:pPr>
      <w:bookmarkStart w:id="2984" w:name="_Toc159405153"/>
      <w:r>
        <w:rPr>
          <w:rFonts w:hint="eastAsia"/>
        </w:rPr>
        <w:t>深化周边市县合作</w:t>
      </w:r>
      <w:bookmarkEnd w:id="2984"/>
    </w:p>
    <w:p w14:paraId="23BCE04A">
      <w:pPr>
        <w:ind w:firstLine="600"/>
        <w:jc w:val="both"/>
      </w:pPr>
      <w:r>
        <w:rPr>
          <w:rFonts w:hint="eastAsia"/>
        </w:rPr>
        <w:t>加强与韶关市区、乳源、乐昌等周边区域产业分工，推动区域合作水平，协同发展；联动乐昌等市（县），共推长征国家文化公园</w:t>
      </w:r>
      <w:r>
        <w:t>(广东段)保护与开发，打造红色文化旅游</w:t>
      </w:r>
      <w:r>
        <w:rPr>
          <w:rFonts w:hint="eastAsia"/>
        </w:rPr>
        <w:t>经济</w:t>
      </w:r>
      <w:r>
        <w:t>带，对接南岭生态旅游公路，以丹霞山景区为龙头，融入韶关旅游体系格局；加强连接丹霞机场，与乐昌、南雄</w:t>
      </w:r>
      <w:r>
        <w:rPr>
          <w:rFonts w:hint="eastAsia"/>
        </w:rPr>
        <w:t>共同支撑</w:t>
      </w:r>
      <w:r>
        <w:t>雄乐高速谋划建设。</w:t>
      </w:r>
    </w:p>
    <w:p w14:paraId="6C92365D">
      <w:pPr>
        <w:pStyle w:val="4"/>
        <w:spacing w:before="326" w:after="326"/>
        <w:ind w:firstLine="726"/>
        <w:rPr>
          <w:b w:val="0"/>
          <w:bCs w:val="0"/>
          <w:color w:val="000000" w:themeColor="text1"/>
          <w14:textFill>
            <w14:solidFill>
              <w14:schemeClr w14:val="tx1"/>
            </w14:solidFill>
          </w14:textFill>
        </w:rPr>
      </w:pPr>
      <w:bookmarkStart w:id="2985" w:name="_Toc167271435"/>
      <w:r>
        <w:rPr>
          <w:rFonts w:hint="eastAsia"/>
          <w:b w:val="0"/>
          <w:bCs w:val="0"/>
          <w:color w:val="000000" w:themeColor="text1"/>
          <w14:textFill>
            <w14:solidFill>
              <w14:schemeClr w14:val="tx1"/>
            </w14:solidFill>
          </w14:textFill>
        </w:rPr>
        <w:t>规划实施保障</w:t>
      </w:r>
      <w:bookmarkEnd w:id="2985"/>
    </w:p>
    <w:p w14:paraId="0EF13120">
      <w:pPr>
        <w:pStyle w:val="5"/>
        <w:numPr>
          <w:ilvl w:val="1"/>
          <w:numId w:val="16"/>
        </w:numPr>
        <w:spacing w:before="163" w:after="163"/>
        <w:rPr>
          <w:b/>
        </w:rPr>
      </w:pPr>
      <w:bookmarkStart w:id="2986" w:name="_Toc167271436"/>
      <w:bookmarkStart w:id="2987" w:name="_Toc12121"/>
      <w:bookmarkStart w:id="2988" w:name="_Toc141888038"/>
      <w:bookmarkStart w:id="2989" w:name="_Toc88472409"/>
      <w:bookmarkStart w:id="2990" w:name="_Toc132305933"/>
      <w:r>
        <w:rPr>
          <w:rFonts w:hint="eastAsia"/>
        </w:rPr>
        <w:t>加强党的领导</w:t>
      </w:r>
      <w:bookmarkEnd w:id="2986"/>
    </w:p>
    <w:p w14:paraId="43B870EB">
      <w:pPr>
        <w:pStyle w:val="6"/>
        <w:spacing w:before="163" w:after="163"/>
        <w:rPr>
          <w:b/>
        </w:rPr>
      </w:pPr>
      <w:r>
        <w:rPr>
          <w:rFonts w:hint="eastAsia"/>
          <w:color w:val="000000" w:themeColor="text1"/>
          <w14:textFill>
            <w14:solidFill>
              <w14:schemeClr w14:val="tx1"/>
            </w14:solidFill>
          </w14:textFill>
        </w:rPr>
        <w:t>强化党对国土空间规划工作的全面领导</w:t>
      </w:r>
    </w:p>
    <w:p w14:paraId="002F6215">
      <w:pPr>
        <w:ind w:firstLine="6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高举中国特色社会主义伟大旗帜，坚持以习近平新时代中国特色社会主义思想为指导，深入贯彻习近平总书记对广东系列重要讲话、重要指示精神，深刻领悟“两个确立”的决定性意义，增强“四个意识”、坚定“四个自信”、做到“两个维护”，不断提高政治判断力、政治领悟力、政治执行力，把党的领导贯彻到国土空间规划编制实施全过程各领域各环节。</w:t>
      </w:r>
    </w:p>
    <w:p w14:paraId="76A0F707">
      <w:pPr>
        <w:pStyle w:val="6"/>
        <w:spacing w:before="163" w:after="163"/>
        <w:rPr>
          <w:b/>
        </w:rPr>
      </w:pPr>
      <w:r>
        <w:rPr>
          <w:rFonts w:hint="eastAsia"/>
        </w:rPr>
        <w:t>落实地方党委和政府国土空间规划管理主体责任</w:t>
      </w:r>
    </w:p>
    <w:p w14:paraId="33EFA33A">
      <w:pPr>
        <w:ind w:firstLine="6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坚持“</w:t>
      </w:r>
      <w:r>
        <w:rPr>
          <w:rFonts w:hint="eastAsia" w:ascii="仿宋_GB2312"/>
          <w:color w:val="000000" w:themeColor="text1"/>
          <w14:textFill>
            <w14:solidFill>
              <w14:schemeClr w14:val="tx1"/>
            </w14:solidFill>
          </w14:textFill>
        </w:rPr>
        <w:t>多规合一”</w:t>
      </w:r>
      <w:r>
        <w:rPr>
          <w:color w:val="000000" w:themeColor="text1"/>
          <w14:textFill>
            <w14:solidFill>
              <w14:schemeClr w14:val="tx1"/>
            </w14:solidFill>
          </w14:textFill>
        </w:rPr>
        <w:t>，强化规划严肃性，规划一经批准，任何部门和个人不得随意修改、违规变更。加强对领导干部的国土空间规划管理培训，防止换一届党委和政府领导改一次规划。国土空间规划执行情况纳入领导干部自然资源资产离任审计。</w:t>
      </w:r>
    </w:p>
    <w:p w14:paraId="21FA773E">
      <w:pPr>
        <w:pStyle w:val="6"/>
        <w:spacing w:before="163" w:after="163"/>
        <w:rPr>
          <w:b/>
        </w:rPr>
      </w:pPr>
      <w:r>
        <w:rPr>
          <w:rFonts w:hint="eastAsia"/>
        </w:rPr>
        <w:t>完善部门联动机制</w:t>
      </w:r>
    </w:p>
    <w:p w14:paraId="0AC1A485">
      <w:pPr>
        <w:ind w:firstLine="6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仁化县国土空间总体规划由县政府组织编制，县自然资源局具体承办。涉及空间利用的某一领域专项规划，由相关主管部门组织编制。建立编制实施县国土空间规划的共同责任机制，县直各部门要加强对本行业本领域涉及空间布局相关规划的协调和管理，制定有利于国土空间规划编制实施的政策。</w:t>
      </w:r>
    </w:p>
    <w:p w14:paraId="02FF04F8">
      <w:pPr>
        <w:pStyle w:val="5"/>
        <w:numPr>
          <w:ilvl w:val="1"/>
          <w:numId w:val="16"/>
        </w:numPr>
        <w:spacing w:before="163" w:after="163"/>
        <w:rPr>
          <w:b/>
        </w:rPr>
      </w:pPr>
      <w:bookmarkStart w:id="2991" w:name="_Toc167271437"/>
      <w:r>
        <w:rPr>
          <w:rFonts w:hint="eastAsia"/>
        </w:rPr>
        <w:t>规划实施传导</w:t>
      </w:r>
      <w:bookmarkEnd w:id="2987"/>
      <w:bookmarkEnd w:id="2988"/>
      <w:bookmarkEnd w:id="2989"/>
      <w:bookmarkEnd w:id="2990"/>
      <w:bookmarkEnd w:id="2991"/>
    </w:p>
    <w:p w14:paraId="565B305E">
      <w:pPr>
        <w:pStyle w:val="6"/>
        <w:spacing w:before="163" w:after="163"/>
        <w:rPr>
          <w:b/>
        </w:rPr>
      </w:pPr>
      <w:bookmarkStart w:id="2992" w:name="_Toc132305934"/>
      <w:bookmarkStart w:id="2993" w:name="_Toc12593"/>
      <w:bookmarkStart w:id="2994" w:name="_Toc141888039"/>
      <w:bookmarkStart w:id="2995" w:name="_Toc68625554"/>
      <w:r>
        <w:rPr>
          <w:rFonts w:hint="eastAsia"/>
        </w:rPr>
        <w:t>纵向传导下层级规划</w:t>
      </w:r>
      <w:bookmarkEnd w:id="2992"/>
      <w:bookmarkEnd w:id="2993"/>
      <w:bookmarkEnd w:id="2994"/>
    </w:p>
    <w:p w14:paraId="0C81C344">
      <w:pPr>
        <w:ind w:firstLine="6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根据国家</w:t>
      </w:r>
      <w:r>
        <w:rPr>
          <w:rFonts w:hint="eastAsia" w:ascii="仿宋_GB2312"/>
          <w:color w:val="000000" w:themeColor="text1"/>
          <w14:textFill>
            <w14:solidFill>
              <w14:schemeClr w14:val="tx1"/>
            </w14:solidFill>
          </w14:textFill>
        </w:rPr>
        <w:t>“</w:t>
      </w:r>
      <w:r>
        <w:rPr>
          <w:rFonts w:hint="eastAsia"/>
          <w:color w:val="000000" w:themeColor="text1"/>
          <w14:textFill>
            <w14:solidFill>
              <w14:schemeClr w14:val="tx1"/>
            </w14:solidFill>
          </w14:textFill>
        </w:rPr>
        <w:t>五级三类四体系</w:t>
      </w:r>
      <w:r>
        <w:rPr>
          <w:rFonts w:hint="eastAsia" w:ascii="仿宋_GB2312"/>
          <w:color w:val="000000" w:themeColor="text1"/>
          <w14:textFill>
            <w14:solidFill>
              <w14:schemeClr w14:val="tx1"/>
            </w14:solidFill>
          </w14:textFill>
        </w:rPr>
        <w:t>”</w:t>
      </w:r>
      <w:r>
        <w:rPr>
          <w:rFonts w:hint="eastAsia"/>
          <w:color w:val="000000" w:themeColor="text1"/>
          <w14:textFill>
            <w14:solidFill>
              <w14:schemeClr w14:val="tx1"/>
            </w14:solidFill>
          </w14:textFill>
        </w:rPr>
        <w:t>规划体系，明确对镇级总体规划、详细规划等下级规划的纵向传导体系。以控制线管控、用途管控、指标管控和名录管控为主要方式，切实保障国土空间统一用途管制。</w:t>
      </w:r>
    </w:p>
    <w:p w14:paraId="602AF6B8">
      <w:pPr>
        <w:ind w:firstLine="600"/>
        <w:jc w:val="both"/>
        <w:rPr>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镇级国土空间规划传导：</w:t>
      </w:r>
      <w:r>
        <w:rPr>
          <w:rFonts w:hint="eastAsia"/>
          <w:color w:val="000000" w:themeColor="text1"/>
          <w14:textFill>
            <w14:solidFill>
              <w14:schemeClr w14:val="tx1"/>
            </w14:solidFill>
          </w14:textFill>
        </w:rPr>
        <w:t>一是用途管制。建立从县、镇国土空间总体规划到详细规划，从用途引导到地类管控的分级管控机制。二是指标管控。各镇落实县级国土空间总体规划分解指标，严格落实县级下达规划约束性指标要求，不得突破。建立详细规划单元指标统筹机制，在确保刚性管控内容和总量指标不突破的前提下，探索实现相关指标和规划管控要求在详细规划单元之间动态平衡。三是控制线管控。将耕地和永久基本农田、生态保护红线、城镇开发边界划定成果纳入各级法定规划，制定相应管控措施，各层次规划、各类城市建设行为及项目审批都应落实相应管控要求。同步落实绿线、蓝线、黄线、紫线、历史文化保护线、工业用地控制线等管控要求。四是名录管控。改进完善重大建设项目表、正负面清单等方式。包括城乡近期建设项目名录、资源保护重点工程名录、国土综合整治与生态保护修复重点工程名录、城市更新重点项目名录等。</w:t>
      </w:r>
    </w:p>
    <w:p w14:paraId="30B912CC">
      <w:pPr>
        <w:ind w:firstLine="600"/>
        <w:jc w:val="both"/>
        <w:rPr>
          <w:color w:val="000000" w:themeColor="text1"/>
          <w14:textFill>
            <w14:solidFill>
              <w14:schemeClr w14:val="tx1"/>
            </w14:solidFill>
          </w14:textFill>
        </w:rPr>
      </w:pPr>
      <w:r>
        <w:rPr>
          <w:rFonts w:hint="eastAsia" w:ascii="楷体_GB2312" w:eastAsia="楷体_GB2312"/>
        </w:rPr>
        <w:t>规划片区层级：</w:t>
      </w:r>
      <w:r>
        <w:rPr>
          <w:rFonts w:hint="eastAsia"/>
          <w:color w:val="000000" w:themeColor="text1"/>
          <w14:textFill>
            <w14:solidFill>
              <w14:schemeClr w14:val="tx1"/>
            </w14:solidFill>
          </w14:textFill>
        </w:rPr>
        <w:t>为指导下层次详细规划编制，中心城区内划分规划分区，落实生态保护红线、永久基本农田控制线、城镇开发边界等底线管控要求与用地规模，细化用地布局、住房保障、公共服务、绿地系统、城市设计、综合交通、市政防灾等内容，实现总体规划要求传导。规划分区进一步提出详细规划的分解落实要求，指导下层次详细规划编制。在资源配置方面对单元层面落实总体规划的约束性指标分解，落实上层次规划的单元控制指引，根据实际需要细化用途分类及制定单元内部地块开发建设的具体规划细则。</w:t>
      </w:r>
    </w:p>
    <w:bookmarkEnd w:id="2995"/>
    <w:p w14:paraId="2C15B3FB">
      <w:pPr>
        <w:pStyle w:val="6"/>
        <w:spacing w:before="163" w:after="163"/>
        <w:rPr>
          <w:b/>
        </w:rPr>
      </w:pPr>
      <w:bookmarkStart w:id="2996" w:name="_Toc132048277"/>
      <w:bookmarkEnd w:id="2996"/>
      <w:bookmarkStart w:id="2997" w:name="_Toc132049052"/>
      <w:bookmarkEnd w:id="2997"/>
      <w:bookmarkStart w:id="2998" w:name="_Toc132119409"/>
      <w:bookmarkEnd w:id="2998"/>
      <w:bookmarkStart w:id="2999" w:name="_Toc141888040"/>
      <w:bookmarkStart w:id="3000" w:name="_Toc132305935"/>
      <w:bookmarkStart w:id="3001" w:name="_Toc14384"/>
      <w:r>
        <w:rPr>
          <w:rFonts w:hint="eastAsia"/>
        </w:rPr>
        <w:t>横向指导约束国土空间专项规划</w:t>
      </w:r>
      <w:bookmarkEnd w:id="2999"/>
      <w:bookmarkEnd w:id="3000"/>
      <w:bookmarkEnd w:id="3001"/>
      <w:bookmarkStart w:id="3002" w:name="_Toc88472413"/>
    </w:p>
    <w:p w14:paraId="7955BC25">
      <w:pPr>
        <w:ind w:firstLine="6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发挥国土空间总体规划对各类国土空间专项规划的指导约束作用。实施国土空间专项规划编制清单制管理，以国土空间总体规划为依据，重点从资源保护利用、要素配置、城市安全、城市特色等方面编制国土空间专项规划。国土空间专项规划应与国土空间总体规划的层级对应，以同级国土空间总体规划的</w:t>
      </w:r>
      <w:r>
        <w:rPr>
          <w:rFonts w:hint="eastAsia" w:ascii="仿宋_GB2312"/>
          <w:color w:val="000000" w:themeColor="text1"/>
          <w14:textFill>
            <w14:solidFill>
              <w14:schemeClr w14:val="tx1"/>
            </w14:solidFill>
          </w14:textFill>
        </w:rPr>
        <w:t>“</w:t>
      </w:r>
      <w:r>
        <w:rPr>
          <w:rFonts w:hint="eastAsia"/>
          <w:color w:val="000000" w:themeColor="text1"/>
          <w14:textFill>
            <w14:solidFill>
              <w14:schemeClr w14:val="tx1"/>
            </w14:solidFill>
          </w14:textFill>
        </w:rPr>
        <w:t>一张底图</w:t>
      </w:r>
      <w:r>
        <w:rPr>
          <w:rFonts w:hint="eastAsia" w:ascii="仿宋_GB2312"/>
          <w:color w:val="000000" w:themeColor="text1"/>
          <w14:textFill>
            <w14:solidFill>
              <w14:schemeClr w14:val="tx1"/>
            </w14:solidFill>
          </w14:textFill>
        </w:rPr>
        <w:t>”</w:t>
      </w:r>
      <w:r>
        <w:rPr>
          <w:rFonts w:hint="eastAsia"/>
          <w:color w:val="000000" w:themeColor="text1"/>
          <w14:textFill>
            <w14:solidFill>
              <w14:schemeClr w14:val="tx1"/>
            </w14:solidFill>
          </w14:textFill>
        </w:rPr>
        <w:t>为编制和审查依据，在总体目标和重点管控内容上与国土空间总体规划保持衔接一致，不得突破约束性要求。</w:t>
      </w:r>
    </w:p>
    <w:p w14:paraId="1139CD61">
      <w:pPr>
        <w:pStyle w:val="6"/>
        <w:spacing w:before="163" w:after="163"/>
        <w:rPr>
          <w:b/>
        </w:rPr>
      </w:pPr>
      <w:r>
        <w:rPr>
          <w:rFonts w:hint="eastAsia"/>
        </w:rPr>
        <w:t>乡镇规划指引和规划指标分解</w:t>
      </w:r>
    </w:p>
    <w:p w14:paraId="5DEBD5A5">
      <w:pPr>
        <w:ind w:firstLine="602"/>
        <w:jc w:val="both"/>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董塘镇</w:t>
      </w:r>
    </w:p>
    <w:p w14:paraId="0977D771">
      <w:pPr>
        <w:ind w:firstLine="600"/>
        <w:jc w:val="both"/>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主要承担工业制造、农副产品加工、旅游服务等职能，是仁化西部的片区中心，进一步加强董塘凡口绿色工业园区生产服务配套，推进标准化生态养殖场、粤港澳大湾区“菜篮子”供应基地和农业资源循环利用处理中心等重点项目建设。</w:t>
      </w:r>
    </w:p>
    <w:p w14:paraId="349D7D06">
      <w:pPr>
        <w:ind w:firstLine="602"/>
        <w:jc w:val="both"/>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周田镇</w:t>
      </w:r>
    </w:p>
    <w:p w14:paraId="44AC60E0">
      <w:pPr>
        <w:ind w:firstLine="6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主要承担工业制造、商贸物流等职能，是仁化南部的片区中心，进一步加强仁化产业转移工业园生产服务配套，推进新能源汽车电池材料综合利用、丹霞灵溪景区和浈江河谷产业带等重点项目建设。</w:t>
      </w:r>
    </w:p>
    <w:p w14:paraId="28158201">
      <w:pPr>
        <w:ind w:firstLine="602"/>
        <w:jc w:val="both"/>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长江镇</w:t>
      </w:r>
    </w:p>
    <w:p w14:paraId="77E68FAF">
      <w:pPr>
        <w:ind w:firstLine="6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主要承担农副产品加工、旅游服务等职能，是仁化北部的片区中心，进一步加强毛竹产业园生产服务配套，推进长征国家文化公园（广东段）、竹源生产基地和绿色蔬菜基地等重点项目建设。</w:t>
      </w:r>
    </w:p>
    <w:p w14:paraId="2E5B773F">
      <w:pPr>
        <w:ind w:firstLine="602"/>
        <w:jc w:val="both"/>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石塘镇</w:t>
      </w:r>
    </w:p>
    <w:p w14:paraId="76642E84">
      <w:pPr>
        <w:ind w:firstLine="6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主要承担农业生产、旅游服务等职能，重点推进现代农业基地、石塘村官沟文旅建设项目和水历村杆子坪矿区砖瓦用砂岩矿开采等项目建设。</w:t>
      </w:r>
    </w:p>
    <w:p w14:paraId="7366F12E">
      <w:pPr>
        <w:ind w:firstLine="602"/>
        <w:jc w:val="both"/>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城口镇</w:t>
      </w:r>
    </w:p>
    <w:p w14:paraId="2B8EE943">
      <w:pPr>
        <w:ind w:firstLine="6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主要承担农业生产、旅游服务等职能，重点推进红色特色小镇、生猪养殖和金砂茶园茶叶产业带等项目建设。</w:t>
      </w:r>
    </w:p>
    <w:p w14:paraId="2C7434FF">
      <w:pPr>
        <w:ind w:firstLine="602"/>
        <w:jc w:val="both"/>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红山镇</w:t>
      </w:r>
    </w:p>
    <w:p w14:paraId="69D5E7A0">
      <w:pPr>
        <w:ind w:firstLine="6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主要承担农副产品加工、旅游服务等职能，重点推进仁化白毛茶研学基地、实验茶厂产学研配套建设项目和金砂茶园茶叶产业带等项目建设。</w:t>
      </w:r>
    </w:p>
    <w:p w14:paraId="2AF28A0C">
      <w:pPr>
        <w:ind w:firstLine="602"/>
        <w:jc w:val="both"/>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闻韶镇</w:t>
      </w:r>
    </w:p>
    <w:p w14:paraId="6AB578DC">
      <w:pPr>
        <w:ind w:firstLine="6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主要承担农副产品加工、旅游服务等职能，重点推进温氏生猪产业园、莞仁农旅项目和韶关市生猪优势产区现代农业产业园等重点项目建设。</w:t>
      </w:r>
    </w:p>
    <w:p w14:paraId="1964C380">
      <w:pPr>
        <w:ind w:firstLine="602"/>
        <w:jc w:val="both"/>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黄坑镇</w:t>
      </w:r>
    </w:p>
    <w:p w14:paraId="436E8614">
      <w:pPr>
        <w:ind w:firstLine="6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主要承担农副产品加工、旅游服务等职能，重点推进现代农业示范区大型农产品批发市场、创盛农业优质羊奶制品冷链加工一体化建设和现代农业产业园等重点项目建设。</w:t>
      </w:r>
    </w:p>
    <w:p w14:paraId="076F5F77">
      <w:pPr>
        <w:ind w:firstLine="602"/>
        <w:jc w:val="both"/>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扶溪镇</w:t>
      </w:r>
    </w:p>
    <w:p w14:paraId="36D10F73">
      <w:pPr>
        <w:ind w:firstLine="6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主要承担农业生产、旅游服务等职能，重点推进“稻米之乡”粮食产业园、扶溪镇给水厂和仁化县卫生院补短板项目等重点项目建设。</w:t>
      </w:r>
    </w:p>
    <w:p w14:paraId="3F37F714">
      <w:pPr>
        <w:ind w:firstLine="602"/>
        <w:jc w:val="both"/>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大桥镇</w:t>
      </w:r>
    </w:p>
    <w:p w14:paraId="1D3A5D63">
      <w:pPr>
        <w:ind w:firstLine="6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主要承担农副产品加工、旅游服务等职能，重点推进牛羊养殖及屠宰厂配套建设项目、乡村振兴示范带和金</w:t>
      </w:r>
      <w:r>
        <w:rPr>
          <w:rFonts w:hint="eastAsia" w:ascii="微软雅黑" w:hAnsi="微软雅黑" w:eastAsia="微软雅黑" w:cs="微软雅黑"/>
          <w:color w:val="000000" w:themeColor="text1"/>
          <w14:textFill>
            <w14:solidFill>
              <w14:schemeClr w14:val="tx1"/>
            </w14:solidFill>
          </w14:textFill>
        </w:rPr>
        <w:t>喆</w:t>
      </w:r>
      <w:r>
        <w:rPr>
          <w:rFonts w:hint="eastAsia" w:ascii="仿宋_GB2312" w:hAnsi="仿宋_GB2312" w:cs="仿宋_GB2312"/>
          <w:color w:val="000000" w:themeColor="text1"/>
          <w14:textFill>
            <w14:solidFill>
              <w14:schemeClr w14:val="tx1"/>
            </w14:solidFill>
          </w14:textFill>
        </w:rPr>
        <w:t>园康养基地</w:t>
      </w:r>
      <w:r>
        <w:rPr>
          <w:rFonts w:hint="eastAsia"/>
          <w:color w:val="000000" w:themeColor="text1"/>
          <w14:textFill>
            <w14:solidFill>
              <w14:schemeClr w14:val="tx1"/>
            </w14:solidFill>
          </w14:textFill>
        </w:rPr>
        <w:t>等重点项目建设。</w:t>
      </w:r>
    </w:p>
    <w:p w14:paraId="35DCB6FD">
      <w:pPr>
        <w:pStyle w:val="5"/>
        <w:numPr>
          <w:ilvl w:val="1"/>
          <w:numId w:val="13"/>
        </w:numPr>
        <w:spacing w:before="163" w:after="163"/>
        <w:rPr>
          <w:b/>
        </w:rPr>
      </w:pPr>
      <w:bookmarkStart w:id="3003" w:name="_Toc162898040"/>
      <w:bookmarkEnd w:id="3003"/>
      <w:bookmarkStart w:id="3004" w:name="_Toc167271438"/>
      <w:bookmarkStart w:id="3005" w:name="_Toc32274"/>
      <w:bookmarkStart w:id="3006" w:name="_Toc141888041"/>
      <w:bookmarkStart w:id="3007" w:name="_Toc132305936"/>
      <w:r>
        <w:rPr>
          <w:rFonts w:hint="eastAsia"/>
        </w:rPr>
        <w:t>规划实施监测</w:t>
      </w:r>
      <w:bookmarkEnd w:id="3002"/>
      <w:r>
        <w:rPr>
          <w:rFonts w:hint="eastAsia"/>
        </w:rPr>
        <w:t>评估预警</w:t>
      </w:r>
      <w:bookmarkEnd w:id="3004"/>
      <w:bookmarkEnd w:id="3005"/>
      <w:bookmarkEnd w:id="3006"/>
      <w:bookmarkEnd w:id="3007"/>
    </w:p>
    <w:p w14:paraId="03C892DF">
      <w:pPr>
        <w:pStyle w:val="6"/>
        <w:spacing w:before="163" w:after="163"/>
        <w:rPr>
          <w:b/>
        </w:rPr>
      </w:pPr>
      <w:bookmarkStart w:id="3008" w:name="_Toc141888042"/>
      <w:bookmarkStart w:id="3009" w:name="_Toc23165"/>
      <w:bookmarkStart w:id="3010" w:name="_Toc132305937"/>
      <w:r>
        <w:rPr>
          <w:rFonts w:hint="eastAsia"/>
        </w:rPr>
        <w:t>加强规划实施评估</w:t>
      </w:r>
      <w:bookmarkEnd w:id="3008"/>
      <w:bookmarkEnd w:id="3009"/>
      <w:bookmarkEnd w:id="3010"/>
    </w:p>
    <w:p w14:paraId="295789A6">
      <w:pPr>
        <w:ind w:firstLine="6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建立</w:t>
      </w:r>
      <w:r>
        <w:rPr>
          <w:rFonts w:hint="eastAsia" w:ascii="仿宋_GB2312"/>
          <w:color w:val="000000" w:themeColor="text1"/>
          <w14:textFill>
            <w14:solidFill>
              <w14:schemeClr w14:val="tx1"/>
            </w14:solidFill>
          </w14:textFill>
        </w:rPr>
        <w:t>“</w:t>
      </w:r>
      <w:r>
        <w:rPr>
          <w:rFonts w:hint="eastAsia"/>
          <w:color w:val="000000" w:themeColor="text1"/>
          <w14:textFill>
            <w14:solidFill>
              <w14:schemeClr w14:val="tx1"/>
            </w14:solidFill>
          </w14:textFill>
        </w:rPr>
        <w:t>一年一体检、五年一评估</w:t>
      </w:r>
      <w:r>
        <w:rPr>
          <w:rFonts w:hint="eastAsia" w:ascii="仿宋_GB2312"/>
          <w:color w:val="000000" w:themeColor="text1"/>
          <w14:textFill>
            <w14:solidFill>
              <w14:schemeClr w14:val="tx1"/>
            </w14:solidFill>
          </w14:textFill>
        </w:rPr>
        <w:t>”</w:t>
      </w:r>
      <w:r>
        <w:rPr>
          <w:rFonts w:hint="eastAsia"/>
          <w:color w:val="000000" w:themeColor="text1"/>
          <w14:textFill>
            <w14:solidFill>
              <w14:schemeClr w14:val="tx1"/>
            </w14:solidFill>
          </w14:textFill>
        </w:rPr>
        <w:t>的评估制度，定期评估县镇两级国土空间总体规划在主要目标、空间布局、重大工程等方面对上层次规划的落实与执行情况，根据评估结论适时组织规划修改。</w:t>
      </w:r>
    </w:p>
    <w:p w14:paraId="08202E00">
      <w:pPr>
        <w:pStyle w:val="6"/>
        <w:spacing w:before="163" w:after="163"/>
        <w:rPr>
          <w:b/>
        </w:rPr>
      </w:pPr>
      <w:bookmarkStart w:id="3011" w:name="_Toc16121"/>
      <w:bookmarkStart w:id="3012" w:name="_Toc141888043"/>
      <w:bookmarkStart w:id="3013" w:name="_Toc132305938"/>
      <w:r>
        <w:rPr>
          <w:rFonts w:hint="eastAsia"/>
        </w:rPr>
        <w:t>建立规划留白机制</w:t>
      </w:r>
      <w:bookmarkEnd w:id="3011"/>
      <w:bookmarkEnd w:id="3012"/>
      <w:bookmarkEnd w:id="3013"/>
    </w:p>
    <w:p w14:paraId="629EE0BD">
      <w:pPr>
        <w:ind w:firstLine="6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建立战略留白用地管理机制，合理确定规划留白的规模，为重大项目、重大事件预留空间，积极应对未来的不确定性，合理预留长远发展空间。需要使用留白用地的，原则上不得占用永久基本农田和生态保护红线，尽量不占或少占耕地，确需占用的应当符合相应管控规则并履行规定程序。</w:t>
      </w:r>
    </w:p>
    <w:p w14:paraId="5D39DE73">
      <w:pPr>
        <w:pStyle w:val="6"/>
        <w:spacing w:before="163" w:after="163"/>
        <w:rPr>
          <w:b/>
        </w:rPr>
      </w:pPr>
      <w:bookmarkStart w:id="3014" w:name="_Toc141888044"/>
      <w:bookmarkStart w:id="3015" w:name="_Toc22649"/>
      <w:bookmarkStart w:id="3016" w:name="_Toc132305939"/>
      <w:r>
        <w:rPr>
          <w:rFonts w:hint="eastAsia"/>
        </w:rPr>
        <w:t>建立实施绩效考核与监督检查制度</w:t>
      </w:r>
      <w:bookmarkEnd w:id="3014"/>
      <w:bookmarkEnd w:id="3015"/>
      <w:bookmarkEnd w:id="3016"/>
    </w:p>
    <w:p w14:paraId="15DCD5E8">
      <w:pPr>
        <w:ind w:firstLine="600"/>
        <w:jc w:val="both"/>
        <w:rPr>
          <w:color w:val="000000" w:themeColor="text1"/>
          <w14:textFill>
            <w14:solidFill>
              <w14:schemeClr w14:val="tx1"/>
            </w14:solidFill>
          </w14:textFill>
        </w:rPr>
      </w:pPr>
      <w:r>
        <w:rPr>
          <w:color w:val="000000" w:themeColor="text1"/>
          <w14:textFill>
            <w14:solidFill>
              <w14:schemeClr w14:val="tx1"/>
            </w14:solidFill>
          </w14:textFill>
        </w:rPr>
        <w:t>建立健全国土空间规划督察员制度，对国土空间规划实施管理工作进行事前和事中监督制度，及时发现、制止和查处违法违规行为。</w:t>
      </w:r>
    </w:p>
    <w:p w14:paraId="348EA0A1">
      <w:pPr>
        <w:ind w:firstLine="600"/>
        <w:jc w:val="both"/>
        <w:rPr>
          <w:color w:val="000000" w:themeColor="text1"/>
          <w14:textFill>
            <w14:solidFill>
              <w14:schemeClr w14:val="tx1"/>
            </w14:solidFill>
          </w14:textFill>
        </w:rPr>
      </w:pPr>
      <w:r>
        <w:rPr>
          <w:color w:val="000000" w:themeColor="text1"/>
          <w14:textFill>
            <w14:solidFill>
              <w14:schemeClr w14:val="tx1"/>
            </w14:solidFill>
          </w14:textFill>
        </w:rPr>
        <w:t>定期向县人大常委会报告国土空间规划实施情况，并进行备案。</w:t>
      </w:r>
    </w:p>
    <w:p w14:paraId="63379E3C">
      <w:pPr>
        <w:ind w:firstLine="600"/>
        <w:jc w:val="both"/>
        <w:rPr>
          <w:color w:val="000000" w:themeColor="text1"/>
          <w14:textFill>
            <w14:solidFill>
              <w14:schemeClr w14:val="tx1"/>
            </w14:solidFill>
          </w14:textFill>
        </w:rPr>
      </w:pPr>
      <w:r>
        <w:rPr>
          <w:color w:val="000000" w:themeColor="text1"/>
          <w14:textFill>
            <w14:solidFill>
              <w14:schemeClr w14:val="tx1"/>
            </w14:solidFill>
          </w14:textFill>
        </w:rPr>
        <w:t>开展国土空间规划实施效能监察工作，对国土空间规划管理实施的相关工作人员依法履行职责情况进行监督，以保证规划得到有效实施。</w:t>
      </w:r>
    </w:p>
    <w:p w14:paraId="3CA0C1F5">
      <w:pPr>
        <w:ind w:firstLine="6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建立重大问题的专家论证制度与重大建设项目的公示与听证制度，积极发挥法律监督、行政监督、舆论监督和公众监督的作用，加大对违法建设行为的查处力度。</w:t>
      </w:r>
    </w:p>
    <w:p w14:paraId="57AD0EE6">
      <w:pPr>
        <w:pStyle w:val="6"/>
        <w:spacing w:before="163" w:after="163"/>
      </w:pPr>
      <w:bookmarkStart w:id="3017" w:name="_Toc68625556"/>
      <w:bookmarkStart w:id="3018" w:name="_Toc88472414"/>
      <w:r>
        <w:rPr>
          <w:rFonts w:hint="eastAsia"/>
        </w:rPr>
        <w:t>建立国土空间基础信息平台</w:t>
      </w:r>
    </w:p>
    <w:p w14:paraId="6E38E138">
      <w:pPr>
        <w:ind w:firstLine="6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以国土</w:t>
      </w:r>
      <w:r>
        <w:rPr>
          <w:rFonts w:hint="eastAsia" w:ascii="仿宋_GB2312"/>
          <w:color w:val="000000" w:themeColor="text1"/>
          <w14:textFill>
            <w14:solidFill>
              <w14:schemeClr w14:val="tx1"/>
            </w14:solidFill>
          </w14:textFill>
        </w:rPr>
        <w:t>“</w:t>
      </w:r>
      <w:r>
        <w:rPr>
          <w:rFonts w:hint="eastAsia"/>
          <w:color w:val="000000" w:themeColor="text1"/>
          <w14:textFill>
            <w14:solidFill>
              <w14:schemeClr w14:val="tx1"/>
            </w14:solidFill>
          </w14:textFill>
        </w:rPr>
        <w:t>三调</w:t>
      </w:r>
      <w:r>
        <w:rPr>
          <w:rFonts w:hint="eastAsia" w:ascii="仿宋_GB2312"/>
          <w:color w:val="000000" w:themeColor="text1"/>
          <w14:textFill>
            <w14:solidFill>
              <w14:schemeClr w14:val="tx1"/>
            </w14:solidFill>
          </w14:textFill>
        </w:rPr>
        <w:t>”</w:t>
      </w:r>
      <w:r>
        <w:rPr>
          <w:rFonts w:hint="eastAsia"/>
          <w:color w:val="000000" w:themeColor="text1"/>
          <w14:textFill>
            <w14:solidFill>
              <w14:schemeClr w14:val="tx1"/>
            </w14:solidFill>
          </w14:textFill>
        </w:rPr>
        <w:t>为基础，整合县镇</w:t>
      </w:r>
      <w:r>
        <w:rPr>
          <w:rFonts w:hint="eastAsia" w:ascii="仿宋_GB2312"/>
          <w:color w:val="000000" w:themeColor="text1"/>
          <w14:textFill>
            <w14:solidFill>
              <w14:schemeClr w14:val="tx1"/>
            </w14:solidFill>
          </w14:textFill>
        </w:rPr>
        <w:t>“</w:t>
      </w:r>
      <w:r>
        <w:rPr>
          <w:rFonts w:hint="eastAsia"/>
          <w:color w:val="000000" w:themeColor="text1"/>
          <w14:textFill>
            <w14:solidFill>
              <w14:schemeClr w14:val="tx1"/>
            </w14:solidFill>
          </w14:textFill>
        </w:rPr>
        <w:t>两级三类</w:t>
      </w:r>
      <w:r>
        <w:rPr>
          <w:rFonts w:hint="eastAsia" w:ascii="仿宋_GB2312"/>
          <w:color w:val="000000" w:themeColor="text1"/>
          <w14:textFill>
            <w14:solidFill>
              <w14:schemeClr w14:val="tx1"/>
            </w14:solidFill>
          </w14:textFill>
        </w:rPr>
        <w:t>”</w:t>
      </w:r>
      <w:r>
        <w:rPr>
          <w:rFonts w:hint="eastAsia"/>
          <w:color w:val="000000" w:themeColor="text1"/>
          <w14:textFill>
            <w14:solidFill>
              <w14:schemeClr w14:val="tx1"/>
            </w14:solidFill>
          </w14:textFill>
        </w:rPr>
        <w:t>国土空间规划编制与实施所需各类空间关联数据，形成坐标一致、边界吻合、上下贯通的一张底图，作为国土空间规划编制的工作基础，建立国土空间基础信息平台。依托平台，以</w:t>
      </w:r>
      <w:r>
        <w:rPr>
          <w:rFonts w:hint="eastAsia" w:ascii="仿宋_GB2312"/>
          <w:color w:val="000000" w:themeColor="text1"/>
          <w14:textFill>
            <w14:solidFill>
              <w14:schemeClr w14:val="tx1"/>
            </w14:solidFill>
          </w14:textFill>
        </w:rPr>
        <w:t>“</w:t>
      </w:r>
      <w:r>
        <w:rPr>
          <w:rFonts w:hint="eastAsia"/>
          <w:color w:val="000000" w:themeColor="text1"/>
          <w14:textFill>
            <w14:solidFill>
              <w14:schemeClr w14:val="tx1"/>
            </w14:solidFill>
          </w14:textFill>
        </w:rPr>
        <w:t>一张图</w:t>
      </w:r>
      <w:r>
        <w:rPr>
          <w:rFonts w:hint="eastAsia" w:ascii="仿宋_GB2312"/>
          <w:color w:val="000000" w:themeColor="text1"/>
          <w14:textFill>
            <w14:solidFill>
              <w14:schemeClr w14:val="tx1"/>
            </w14:solidFill>
          </w14:textFill>
        </w:rPr>
        <w:t>”</w:t>
      </w:r>
      <w:r>
        <w:rPr>
          <w:rFonts w:hint="eastAsia"/>
          <w:color w:val="000000" w:themeColor="text1"/>
          <w14:textFill>
            <w14:solidFill>
              <w14:schemeClr w14:val="tx1"/>
            </w14:solidFill>
          </w14:textFill>
        </w:rPr>
        <w:t>为基础，整合叠加两级三类国土空间规划成果，实现各类空间管控要素精准落地，形成覆盖县域、动态更新、权威统一的国土空间规划基础信息平台，为统一实施国土空间用途管制、强化规划实施监督提供法定依据，为建立健全国土空间规划动态监测评估预警和实施监管机制提供信息化支撑。</w:t>
      </w:r>
    </w:p>
    <w:p w14:paraId="6DAA00DB">
      <w:pPr>
        <w:pStyle w:val="6"/>
        <w:spacing w:before="163" w:after="163"/>
        <w:rPr>
          <w:b/>
        </w:rPr>
      </w:pPr>
      <w:bookmarkStart w:id="3019" w:name="_Toc141888046"/>
      <w:bookmarkStart w:id="3020" w:name="_Toc15910"/>
      <w:bookmarkStart w:id="3021" w:name="_Toc132305941"/>
      <w:r>
        <w:t>加强规划政策保障</w:t>
      </w:r>
      <w:bookmarkEnd w:id="3019"/>
      <w:bookmarkEnd w:id="3020"/>
      <w:bookmarkEnd w:id="3021"/>
    </w:p>
    <w:p w14:paraId="744D63F3">
      <w:pPr>
        <w:ind w:firstLine="600"/>
        <w:jc w:val="both"/>
        <w:rPr>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实行重点项目分类用地保障。</w:t>
      </w:r>
      <w:r>
        <w:rPr>
          <w:rFonts w:hint="eastAsia"/>
          <w:color w:val="000000" w:themeColor="text1"/>
          <w14:textFill>
            <w14:solidFill>
              <w14:schemeClr w14:val="tx1"/>
            </w14:solidFill>
          </w14:textFill>
        </w:rPr>
        <w:t>加强全县空间资源统筹，通过规模整合、整理、腾挪、拆旧复垦和异地购买等方式，推动空间资源向重大项目集聚。完善重大项目推进机制，建立重大项目多部门定期会商制度，协调解决重大项目落地建设涉及自然资源领域的问题，推动重大项目快速落地。探索重大项目提前介入制度，指导建设单位做好前期论证工作。开辟重大项目用地预审、报批等全过程审批绿色通道，推进项目快批快审、批后快征、征后快供、供后快用和及时确权登记。</w:t>
      </w:r>
    </w:p>
    <w:p w14:paraId="51ADD5FC">
      <w:pPr>
        <w:pStyle w:val="5"/>
        <w:numPr>
          <w:ilvl w:val="1"/>
          <w:numId w:val="13"/>
        </w:numPr>
        <w:spacing w:before="163" w:after="163"/>
        <w:rPr>
          <w:b/>
        </w:rPr>
      </w:pPr>
      <w:bookmarkStart w:id="3022" w:name="_Toc132305942"/>
      <w:bookmarkStart w:id="3023" w:name="_Toc141888047"/>
      <w:bookmarkStart w:id="3024" w:name="_Toc167271439"/>
      <w:bookmarkStart w:id="3025" w:name="_Toc5301"/>
      <w:r>
        <w:rPr>
          <w:rFonts w:hint="eastAsia"/>
        </w:rPr>
        <w:t>近期行动和重大项目保障</w:t>
      </w:r>
      <w:bookmarkEnd w:id="3022"/>
      <w:bookmarkEnd w:id="3023"/>
      <w:bookmarkEnd w:id="3024"/>
      <w:bookmarkEnd w:id="3025"/>
    </w:p>
    <w:p w14:paraId="02EC7EEE">
      <w:pPr>
        <w:pStyle w:val="6"/>
        <w:spacing w:before="163" w:after="163"/>
        <w:rPr>
          <w:b/>
        </w:rPr>
      </w:pPr>
      <w:bookmarkStart w:id="3026" w:name="_Toc132305943"/>
      <w:bookmarkStart w:id="3027" w:name="_Toc141888048"/>
      <w:bookmarkStart w:id="3028" w:name="_Toc4195"/>
      <w:bookmarkStart w:id="3029" w:name="_Hlk123839056"/>
      <w:r>
        <w:t>统筹安排近期建设</w:t>
      </w:r>
      <w:bookmarkEnd w:id="3026"/>
      <w:bookmarkEnd w:id="3027"/>
      <w:bookmarkEnd w:id="3028"/>
    </w:p>
    <w:bookmarkEnd w:id="3029"/>
    <w:p w14:paraId="66DC9DA8">
      <w:pPr>
        <w:ind w:firstLine="6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加强对国土空间规划目标任务的分解落实和实施推动，落实上级国土空间规划要求，统筹安排好各类重大平台、重点项目、重大工程建设计划，制定交通、水利、能源、电力、通讯、环保、旅游、民生、产业、生态及其他重大项目清单，明确项目类型、项目名称、建设性质、建设年限、用地规模、所在地区等内容。明确近期建设重点，形成合理的国土空间开发保护时序。</w:t>
      </w:r>
    </w:p>
    <w:p w14:paraId="3350FCEE">
      <w:pPr>
        <w:pStyle w:val="6"/>
        <w:spacing w:before="163" w:after="163"/>
        <w:rPr>
          <w:b/>
        </w:rPr>
      </w:pPr>
      <w:bookmarkStart w:id="3030" w:name="_Toc132305944"/>
      <w:bookmarkStart w:id="3031" w:name="_Toc141888049"/>
      <w:bookmarkStart w:id="3032" w:name="_Toc21945"/>
      <w:r>
        <w:rPr>
          <w:rFonts w:hint="eastAsia"/>
        </w:rPr>
        <w:t>推进重大项目保障</w:t>
      </w:r>
      <w:bookmarkEnd w:id="3030"/>
      <w:r>
        <w:rPr>
          <w:rFonts w:hint="eastAsia"/>
        </w:rPr>
        <w:t>措施</w:t>
      </w:r>
      <w:bookmarkEnd w:id="3031"/>
      <w:bookmarkEnd w:id="3032"/>
    </w:p>
    <w:p w14:paraId="127FF651">
      <w:pPr>
        <w:ind w:firstLine="6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加强重大项目用地保障，通过规模整合、整理、腾挪、拆旧复垦和异地购买等方式，推动空间资源向重大项目集聚，实施差异化的用地和布局保障措施。对已明确选址的项目，强化建设用地规模落实；对未明确选址的项目，做好用地规模预留。积极支持和保障新建铁路项目沿线项目土地综合开发的用地规模，并根据综合开发实施时序，及时对规划进行调整，支持铁路建设实施土地综合开发。重大项目台账应及时衔接国家、省、市重点建设项目计划、国民经济和社会发展五年规划、国土空间专项规划、年度计划等，根据实际建设情况建立规划动态评估调整机制。</w:t>
      </w:r>
    </w:p>
    <w:p w14:paraId="6106860B">
      <w:pPr>
        <w:pStyle w:val="20"/>
        <w:ind w:firstLine="600"/>
      </w:pPr>
      <w:r>
        <w:br w:type="page"/>
      </w:r>
    </w:p>
    <w:p w14:paraId="39CD7311">
      <w:pPr>
        <w:ind w:firstLine="0" w:firstLineChars="0"/>
        <w:jc w:val="center"/>
        <w:rPr>
          <w:rFonts w:ascii="黑体" w:hAnsi="黑体" w:eastAsia="黑体"/>
          <w:color w:val="000000" w:themeColor="text1"/>
          <w:sz w:val="48"/>
          <w:szCs w:val="48"/>
          <w14:textFill>
            <w14:solidFill>
              <w14:schemeClr w14:val="tx1"/>
            </w14:solidFill>
          </w14:textFill>
        </w:rPr>
      </w:pPr>
      <w:bookmarkStart w:id="3033" w:name="_Toc31049"/>
      <w:bookmarkStart w:id="3034" w:name="_Toc141888050"/>
      <w:bookmarkStart w:id="3035" w:name="_Toc132305945"/>
      <w:bookmarkStart w:id="3036" w:name="_Toc167270004"/>
      <w:r>
        <w:rPr>
          <w:rFonts w:hint="eastAsia" w:ascii="黑体" w:hAnsi="黑体" w:eastAsia="黑体"/>
          <w:color w:val="000000" w:themeColor="text1"/>
          <w:sz w:val="48"/>
          <w:szCs w:val="48"/>
          <w14:textFill>
            <w14:solidFill>
              <w14:schemeClr w14:val="tx1"/>
            </w14:solidFill>
          </w14:textFill>
        </w:rPr>
        <w:t>附</w:t>
      </w:r>
      <w:r>
        <w:rPr>
          <w:rFonts w:ascii="黑体" w:hAnsi="黑体" w:eastAsia="黑体"/>
          <w:color w:val="000000" w:themeColor="text1"/>
          <w:sz w:val="48"/>
          <w:szCs w:val="48"/>
          <w14:textFill>
            <w14:solidFill>
              <w14:schemeClr w14:val="tx1"/>
            </w14:solidFill>
          </w14:textFill>
        </w:rPr>
        <w:t xml:space="preserve">  </w:t>
      </w:r>
      <w:bookmarkEnd w:id="3017"/>
      <w:bookmarkEnd w:id="3018"/>
      <w:bookmarkEnd w:id="3033"/>
      <w:bookmarkEnd w:id="3034"/>
      <w:bookmarkEnd w:id="3035"/>
      <w:r>
        <w:rPr>
          <w:rFonts w:hint="eastAsia" w:ascii="黑体" w:hAnsi="黑体" w:eastAsia="黑体"/>
          <w:color w:val="000000" w:themeColor="text1"/>
          <w:sz w:val="48"/>
          <w:szCs w:val="48"/>
          <w14:textFill>
            <w14:solidFill>
              <w14:schemeClr w14:val="tx1"/>
            </w14:solidFill>
          </w14:textFill>
        </w:rPr>
        <w:t>图</w:t>
      </w:r>
      <w:bookmarkEnd w:id="3036"/>
    </w:p>
    <w:p w14:paraId="7D5D82DF">
      <w:pPr>
        <w:pStyle w:val="20"/>
        <w:numPr>
          <w:ilvl w:val="0"/>
          <w:numId w:val="17"/>
        </w:numPr>
        <w:ind w:firstLineChars="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县域国土空间总体格局规划图</w:t>
      </w:r>
    </w:p>
    <w:p w14:paraId="06E9FFB5">
      <w:pPr>
        <w:pStyle w:val="20"/>
        <w:numPr>
          <w:ilvl w:val="0"/>
          <w:numId w:val="17"/>
        </w:numPr>
        <w:ind w:firstLineChars="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县域生态系统保护规划图</w:t>
      </w:r>
    </w:p>
    <w:p w14:paraId="65EA31A6">
      <w:pPr>
        <w:pStyle w:val="20"/>
        <w:numPr>
          <w:ilvl w:val="0"/>
          <w:numId w:val="17"/>
        </w:numPr>
        <w:ind w:firstLineChars="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县域城镇空间布局结构规划图</w:t>
      </w:r>
    </w:p>
    <w:p w14:paraId="00840BBF">
      <w:pPr>
        <w:pStyle w:val="20"/>
        <w:numPr>
          <w:ilvl w:val="0"/>
          <w:numId w:val="17"/>
        </w:numPr>
        <w:ind w:firstLineChars="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县域综合交通规划图</w:t>
      </w:r>
    </w:p>
    <w:p w14:paraId="70B2E534">
      <w:pPr>
        <w:pStyle w:val="20"/>
        <w:numPr>
          <w:ilvl w:val="0"/>
          <w:numId w:val="17"/>
        </w:numPr>
        <w:ind w:firstLineChars="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中心城区空间结构规划图</w:t>
      </w:r>
    </w:p>
    <w:p w14:paraId="6A741A5C">
      <w:pPr>
        <w:pStyle w:val="20"/>
        <w:numPr>
          <w:ilvl w:val="0"/>
          <w:numId w:val="17"/>
        </w:numPr>
        <w:ind w:firstLineChars="0"/>
      </w:pPr>
      <w:r>
        <w:rPr>
          <w:rFonts w:hint="eastAsia" w:hAnsi="宋体"/>
          <w:color w:val="000000" w:themeColor="text1"/>
          <w14:textFill>
            <w14:solidFill>
              <w14:schemeClr w14:val="tx1"/>
            </w14:solidFill>
          </w14:textFill>
        </w:rPr>
        <w:t>中心城区道路交通规划图</w:t>
      </w:r>
    </w:p>
    <w:p w14:paraId="1B14D63E">
      <w:pPr>
        <w:pStyle w:val="20"/>
        <w:numPr>
          <w:ilvl w:val="0"/>
          <w:numId w:val="17"/>
        </w:numPr>
        <w:ind w:firstLineChars="0"/>
      </w:pPr>
      <w:r>
        <w:rPr>
          <w:rFonts w:hint="eastAsia" w:hAnsi="宋体"/>
          <w:color w:val="000000" w:themeColor="text1"/>
          <w14:textFill>
            <w14:solidFill>
              <w14:schemeClr w14:val="tx1"/>
            </w14:solidFill>
          </w14:textFill>
        </w:rPr>
        <w:t>中心城区城市设计与景观风貌管控引导图</w:t>
      </w:r>
    </w:p>
    <w:p w14:paraId="22989B4C">
      <w:pPr>
        <w:pStyle w:val="20"/>
        <w:ind w:firstLine="600"/>
      </w:pPr>
    </w:p>
    <w:p w14:paraId="64674B41">
      <w:pPr>
        <w:ind w:firstLine="0" w:firstLineChars="0"/>
      </w:pPr>
    </w:p>
    <w:sectPr>
      <w:pgSz w:w="11906" w:h="16838"/>
      <w:pgMar w:top="1701" w:right="1418" w:bottom="1701" w:left="1418" w:header="851" w:footer="992" w:gutter="0"/>
      <w:pgNumType w:start="1"/>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00"/>
      </w:pPr>
      <w:r>
        <w:separator/>
      </w:r>
    </w:p>
  </w:endnote>
  <w:endnote w:type="continuationSeparator" w:id="1">
    <w:p>
      <w:pPr>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16"/>
      </w:rPr>
      <w:id w:val="1853910000"/>
    </w:sdtPr>
    <w:sdtEndPr>
      <w:rPr>
        <w:sz w:val="21"/>
        <w:szCs w:val="16"/>
      </w:rPr>
    </w:sdtEndPr>
    <w:sdtContent>
      <w:p w14:paraId="2C77561D">
        <w:pPr>
          <w:ind w:firstLine="420"/>
          <w:jc w:val="center"/>
          <w:rPr>
            <w:sz w:val="21"/>
            <w:szCs w:val="16"/>
          </w:rPr>
        </w:pPr>
        <w:r>
          <w:rPr>
            <w:rFonts w:ascii="Times New Roman" w:hAnsi="Times New Roman" w:cs="Times New Roman"/>
            <w:sz w:val="18"/>
            <w:szCs w:val="18"/>
          </w:rPr>
          <w:fldChar w:fldCharType="begin"/>
        </w:r>
        <w:r>
          <w:rPr>
            <w:rFonts w:ascii="Times New Roman" w:hAnsi="Times New Roman" w:cs="Times New Roman"/>
            <w:sz w:val="18"/>
            <w:szCs w:val="18"/>
          </w:rPr>
          <w:instrText xml:space="preserve">PAGE   \* MERGEFORMAT</w:instrText>
        </w:r>
        <w:r>
          <w:rPr>
            <w:rFonts w:ascii="Times New Roman" w:hAnsi="Times New Roman" w:cs="Times New Roman"/>
            <w:sz w:val="18"/>
            <w:szCs w:val="18"/>
          </w:rPr>
          <w:fldChar w:fldCharType="separate"/>
        </w:r>
        <w:r>
          <w:rPr>
            <w:rFonts w:ascii="Times New Roman" w:hAnsi="Times New Roman" w:cs="Times New Roman"/>
            <w:sz w:val="18"/>
            <w:szCs w:val="18"/>
            <w:lang w:val="zh-CN"/>
          </w:rPr>
          <w:t>5</w:t>
        </w:r>
        <w:r>
          <w:rPr>
            <w:rFonts w:ascii="Times New Roman" w:hAnsi="Times New Roman" w:cs="Times New Roman"/>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pPr>
        <w:ind w:firstLine="600"/>
      </w:pPr>
      <w:r>
        <w:separator/>
      </w:r>
    </w:p>
  </w:footnote>
  <w:footnote w:type="continuationSeparator" w:id="9">
    <w:p>
      <w:pPr>
        <w:ind w:firstLine="600"/>
      </w:pPr>
      <w:r>
        <w:continuationSeparator/>
      </w:r>
    </w:p>
  </w:footnote>
  <w:footnote w:id="0">
    <w:p w14:paraId="36281978">
      <w:pPr>
        <w:pStyle w:val="30"/>
        <w:ind w:firstLine="360"/>
      </w:pPr>
      <w:r>
        <w:rPr>
          <w:rStyle w:val="46"/>
          <w:rFonts w:ascii="Times New Roman" w:hAnsi="Times New Roman" w:cs="Times New Roman"/>
          <w:vertAlign w:val="baseline"/>
        </w:rPr>
        <w:footnoteRef/>
      </w:r>
      <w:r>
        <w:rPr>
          <w:rFonts w:ascii="Times New Roman" w:hAnsi="Times New Roman" w:cs="Times New Roman"/>
        </w:rPr>
        <w:t>.</w:t>
      </w:r>
      <w:r>
        <w:rPr>
          <w:rFonts w:hint="eastAsia"/>
        </w:rPr>
        <w:t>双区：指粤港澳大湾区、深圳建设中国特色社会主义先行示范区。</w:t>
      </w:r>
    </w:p>
  </w:footnote>
  <w:footnote w:id="1">
    <w:p w14:paraId="7ADEE83D">
      <w:pPr>
        <w:pStyle w:val="30"/>
        <w:ind w:firstLine="180" w:firstLineChars="100"/>
      </w:pPr>
      <w:r>
        <w:rPr>
          <w:rFonts w:ascii="Times New Roman" w:hAnsi="Times New Roman" w:cs="Times New Roman"/>
        </w:rPr>
        <w:t>6.</w:t>
      </w:r>
      <w:r>
        <w:rPr>
          <w:rFonts w:hint="eastAsia"/>
        </w:rPr>
        <w:t>“</w:t>
      </w:r>
      <w:r>
        <w:t>三线一单</w:t>
      </w:r>
      <w:r>
        <w:rPr>
          <w:rFonts w:hint="eastAsia" w:ascii="楷体_GB2312" w:eastAsia="楷体_GB2312"/>
        </w:rPr>
        <w:t>”</w:t>
      </w:r>
      <w:r>
        <w:t>指生态保护红线、环境质量底线、资源利用上线和生态环境准入清单。</w:t>
      </w:r>
    </w:p>
  </w:footnote>
  <w:footnote w:id="2">
    <w:p w14:paraId="1E19E890">
      <w:pPr>
        <w:pStyle w:val="30"/>
        <w:ind w:firstLine="360"/>
      </w:pPr>
      <w:r>
        <w:rPr>
          <w:rStyle w:val="46"/>
          <w:rFonts w:ascii="Times New Roman" w:hAnsi="Times New Roman" w:cs="Times New Roman"/>
          <w:vertAlign w:val="baseline"/>
        </w:rPr>
        <w:footnoteRef/>
      </w:r>
      <w:r>
        <w:t>.</w:t>
      </w:r>
      <w:r>
        <w:rPr>
          <w:rFonts w:hint="eastAsia"/>
          <w:color w:val="000000" w:themeColor="text1"/>
          <w14:textFill>
            <w14:solidFill>
              <w14:schemeClr w14:val="tx1"/>
            </w14:solidFill>
          </w14:textFill>
        </w:rPr>
        <w:t>两带两区：指</w:t>
      </w:r>
      <w:r>
        <w:rPr>
          <w:color w:val="000000" w:themeColor="text1"/>
          <w14:textFill>
            <w14:solidFill>
              <w14:schemeClr w14:val="tx1"/>
            </w14:solidFill>
          </w14:textFill>
        </w:rPr>
        <w:t>武深高速农业经济带、红色文化旅游经济带建设，董塘凡口绿色工业园区、</w:t>
      </w:r>
      <w:r>
        <w:rPr>
          <w:rFonts w:hint="eastAsia"/>
          <w:color w:val="333333"/>
          <w:shd w:val="clear" w:color="auto" w:fill="FFFFFF"/>
        </w:rPr>
        <w:t>省级产业转移工业园区</w:t>
      </w:r>
      <w:r>
        <w:rPr>
          <w:color w:val="000000" w:themeColor="text1"/>
          <w14:textFill>
            <w14:solidFill>
              <w14:schemeClr w14:val="tx1"/>
            </w14:solidFill>
          </w14:textFill>
        </w:rPr>
        <w:t>建设</w:t>
      </w:r>
      <w:r>
        <w:t>。</w:t>
      </w:r>
    </w:p>
  </w:footnote>
  <w:footnote w:id="3">
    <w:p w14:paraId="0A104B19">
      <w:pPr>
        <w:pStyle w:val="30"/>
        <w:ind w:firstLine="360"/>
      </w:pPr>
      <w:r>
        <w:rPr>
          <w:rStyle w:val="46"/>
          <w:rFonts w:ascii="Times New Roman" w:hAnsi="Times New Roman" w:cs="Times New Roman"/>
          <w:vertAlign w:val="baseline"/>
        </w:rPr>
        <w:footnoteRef/>
      </w:r>
      <w:r>
        <w:t>.</w:t>
      </w:r>
      <w:r>
        <w:rPr>
          <w:rFonts w:hint="eastAsia"/>
        </w:rPr>
        <w:t>《关于印发</w:t>
      </w:r>
      <w:r>
        <w:t>&lt;广东省村庄分类办法&gt;的通知》（粤农农〔</w:t>
      </w:r>
      <w:r>
        <w:rPr>
          <w:rFonts w:ascii="Times New Roman" w:hAnsi="Times New Roman" w:cs="Times New Roman"/>
        </w:rPr>
        <w:t>2023</w:t>
      </w:r>
      <w:r>
        <w:t>〕</w:t>
      </w:r>
      <w:r>
        <w:rPr>
          <w:rFonts w:ascii="Times New Roman" w:hAnsi="Times New Roman" w:cs="Times New Roman"/>
        </w:rPr>
        <w:t>135</w:t>
      </w:r>
      <w:r>
        <w:t>号）</w:t>
      </w:r>
      <w:r>
        <w:rPr>
          <w:rFonts w:hint="eastAsia"/>
        </w:rPr>
        <w:t>文件要求</w:t>
      </w:r>
      <w:r>
        <w:t>将行政村划分为集聚提升类、城郊融合类、特色保护类、搬迁撤并类和一般发展类</w:t>
      </w:r>
      <w:r>
        <w:rPr>
          <w:rFonts w:ascii="Times New Roman" w:hAnsi="Times New Roman" w:cs="Times New Roman"/>
        </w:rPr>
        <w:t>5</w:t>
      </w:r>
      <w:r>
        <w:t>种类型，</w:t>
      </w:r>
      <w:r>
        <w:rPr>
          <w:rFonts w:hint="eastAsia"/>
        </w:rPr>
        <w:t>仁化</w:t>
      </w:r>
      <w:r>
        <w:t>无搬迁撤并类村庄。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89C1B">
    <w:pPr>
      <w:ind w:left="600"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401934"/>
    <w:multiLevelType w:val="multilevel"/>
    <w:tmpl w:val="17401934"/>
    <w:lvl w:ilvl="0" w:tentative="0">
      <w:start w:val="1"/>
      <w:numFmt w:val="chineseCountingThousand"/>
      <w:suff w:val="nothing"/>
      <w:lvlText w:val="第%1节"/>
      <w:lvlJc w:val="center"/>
      <w:pPr>
        <w:ind w:left="0" w:firstLine="0"/>
      </w:pPr>
      <w:rPr>
        <w:rFonts w:hint="default" w:ascii="Times New Roman" w:hAnsi="Times New Roman" w:eastAsia="黑体"/>
        <w:b w:val="0"/>
        <w:i w:val="0"/>
        <w:sz w:val="30"/>
      </w:rPr>
    </w:lvl>
    <w:lvl w:ilvl="1" w:tentative="0">
      <w:start w:val="1"/>
      <w:numFmt w:val="decimal"/>
      <w:suff w:val="nothing"/>
      <w:lvlText w:val="第%2条  "/>
      <w:lvlJc w:val="left"/>
      <w:pPr>
        <w:ind w:left="0" w:firstLine="0"/>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rPr>
    </w:lvl>
    <w:lvl w:ilvl="2" w:tentative="0">
      <w:start w:val="1"/>
      <w:numFmt w:val="decimal"/>
      <w:lvlRestart w:val="0"/>
      <w:pStyle w:val="6"/>
      <w:suff w:val="nothing"/>
      <w:lvlText w:val="第%3条  "/>
      <w:lvlJc w:val="left"/>
      <w:pPr>
        <w:ind w:left="4394" w:hanging="283"/>
      </w:pPr>
      <w:rPr>
        <w:rFonts w:hint="default" w:ascii="Times New Roman" w:hAnsi="Times New Roman" w:eastAsia="黑体"/>
        <w:b w:val="0"/>
        <w:bCs/>
        <w:i w:val="0"/>
        <w:sz w:val="30"/>
        <w:szCs w:val="30"/>
        <w:lang w:val="en-US"/>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2DDF7192"/>
    <w:multiLevelType w:val="multilevel"/>
    <w:tmpl w:val="2DDF7192"/>
    <w:lvl w:ilvl="0" w:tentative="0">
      <w:start w:val="1"/>
      <w:numFmt w:val="bullet"/>
      <w:lvlText w:val=""/>
      <w:lvlJc w:val="left"/>
      <w:pPr>
        <w:ind w:left="1040" w:hanging="440"/>
      </w:pPr>
      <w:rPr>
        <w:rFonts w:hint="default" w:ascii="Wingdings" w:hAnsi="Wingdings"/>
      </w:rPr>
    </w:lvl>
    <w:lvl w:ilvl="1" w:tentative="0">
      <w:start w:val="1"/>
      <w:numFmt w:val="bullet"/>
      <w:lvlText w:val=""/>
      <w:lvlJc w:val="left"/>
      <w:pPr>
        <w:ind w:left="1480" w:hanging="440"/>
      </w:pPr>
      <w:rPr>
        <w:rFonts w:hint="default" w:ascii="Wingdings" w:hAnsi="Wingdings"/>
      </w:rPr>
    </w:lvl>
    <w:lvl w:ilvl="2" w:tentative="0">
      <w:start w:val="1"/>
      <w:numFmt w:val="bullet"/>
      <w:lvlText w:val=""/>
      <w:lvlJc w:val="left"/>
      <w:pPr>
        <w:ind w:left="1920" w:hanging="440"/>
      </w:pPr>
      <w:rPr>
        <w:rFonts w:hint="default" w:ascii="Wingdings" w:hAnsi="Wingdings"/>
      </w:rPr>
    </w:lvl>
    <w:lvl w:ilvl="3" w:tentative="0">
      <w:start w:val="1"/>
      <w:numFmt w:val="bullet"/>
      <w:lvlText w:val=""/>
      <w:lvlJc w:val="left"/>
      <w:pPr>
        <w:ind w:left="2360" w:hanging="440"/>
      </w:pPr>
      <w:rPr>
        <w:rFonts w:hint="default" w:ascii="Wingdings" w:hAnsi="Wingdings"/>
      </w:rPr>
    </w:lvl>
    <w:lvl w:ilvl="4" w:tentative="0">
      <w:start w:val="1"/>
      <w:numFmt w:val="bullet"/>
      <w:lvlText w:val=""/>
      <w:lvlJc w:val="left"/>
      <w:pPr>
        <w:ind w:left="2800" w:hanging="440"/>
      </w:pPr>
      <w:rPr>
        <w:rFonts w:hint="default" w:ascii="Wingdings" w:hAnsi="Wingdings"/>
      </w:rPr>
    </w:lvl>
    <w:lvl w:ilvl="5" w:tentative="0">
      <w:start w:val="1"/>
      <w:numFmt w:val="bullet"/>
      <w:lvlText w:val=""/>
      <w:lvlJc w:val="left"/>
      <w:pPr>
        <w:ind w:left="3240" w:hanging="440"/>
      </w:pPr>
      <w:rPr>
        <w:rFonts w:hint="default" w:ascii="Wingdings" w:hAnsi="Wingdings"/>
      </w:rPr>
    </w:lvl>
    <w:lvl w:ilvl="6" w:tentative="0">
      <w:start w:val="1"/>
      <w:numFmt w:val="bullet"/>
      <w:lvlText w:val=""/>
      <w:lvlJc w:val="left"/>
      <w:pPr>
        <w:ind w:left="3680" w:hanging="440"/>
      </w:pPr>
      <w:rPr>
        <w:rFonts w:hint="default" w:ascii="Wingdings" w:hAnsi="Wingdings"/>
      </w:rPr>
    </w:lvl>
    <w:lvl w:ilvl="7" w:tentative="0">
      <w:start w:val="1"/>
      <w:numFmt w:val="bullet"/>
      <w:lvlText w:val=""/>
      <w:lvlJc w:val="left"/>
      <w:pPr>
        <w:ind w:left="4120" w:hanging="440"/>
      </w:pPr>
      <w:rPr>
        <w:rFonts w:hint="default" w:ascii="Wingdings" w:hAnsi="Wingdings"/>
      </w:rPr>
    </w:lvl>
    <w:lvl w:ilvl="8" w:tentative="0">
      <w:start w:val="1"/>
      <w:numFmt w:val="bullet"/>
      <w:lvlText w:val=""/>
      <w:lvlJc w:val="left"/>
      <w:pPr>
        <w:ind w:left="4560" w:hanging="440"/>
      </w:pPr>
      <w:rPr>
        <w:rFonts w:hint="default" w:ascii="Wingdings" w:hAnsi="Wingdings"/>
      </w:rPr>
    </w:lvl>
  </w:abstractNum>
  <w:abstractNum w:abstractNumId="2">
    <w:nsid w:val="331565A8"/>
    <w:multiLevelType w:val="multilevel"/>
    <w:tmpl w:val="331565A8"/>
    <w:lvl w:ilvl="0" w:tentative="0">
      <w:start w:val="1"/>
      <w:numFmt w:val="chineseCountingThousand"/>
      <w:pStyle w:val="4"/>
      <w:suff w:val="nothing"/>
      <w:lvlText w:val="第%1章  "/>
      <w:lvlJc w:val="center"/>
      <w:pPr>
        <w:ind w:left="0" w:firstLine="0"/>
      </w:pPr>
      <w:rPr>
        <w:rFonts w:hint="default" w:ascii="Times New Roman" w:hAnsi="Times New Roman" w:eastAsia="黑体"/>
        <w:b w:val="0"/>
        <w:bCs/>
        <w:i w:val="0"/>
        <w:sz w:val="40"/>
        <w:szCs w:val="40"/>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46CE0FBF"/>
    <w:multiLevelType w:val="multilevel"/>
    <w:tmpl w:val="46CE0FBF"/>
    <w:lvl w:ilvl="0" w:tentative="0">
      <w:start w:val="1"/>
      <w:numFmt w:val="decimal"/>
      <w:lvlText w:val="%1"/>
      <w:lvlJc w:val="left"/>
      <w:pPr>
        <w:ind w:left="425" w:hanging="425"/>
      </w:pPr>
      <w:rPr>
        <w:rFonts w:hint="eastAsia"/>
      </w:rPr>
    </w:lvl>
    <w:lvl w:ilvl="1" w:tentative="0">
      <w:start w:val="1"/>
      <w:numFmt w:val="chineseCountingThousand"/>
      <w:pStyle w:val="5"/>
      <w:suff w:val="space"/>
      <w:lvlText w:val="第%2节  "/>
      <w:lvlJc w:val="left"/>
      <w:pPr>
        <w:ind w:left="0" w:firstLine="0"/>
      </w:pPr>
      <w:rPr>
        <w:rFonts w:hint="default" w:ascii="Times New Roman" w:hAnsi="Times New Roman" w:eastAsia="黑体"/>
        <w:b w:val="0"/>
        <w:bCs w:val="0"/>
        <w:i w:val="0"/>
        <w:sz w:val="32"/>
        <w:szCs w:val="32"/>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54367319"/>
    <w:multiLevelType w:val="multilevel"/>
    <w:tmpl w:val="54367319"/>
    <w:lvl w:ilvl="0" w:tentative="0">
      <w:start w:val="1"/>
      <w:numFmt w:val="chineseCountingThousand"/>
      <w:pStyle w:val="163"/>
      <w:lvlText w:val="第%1条"/>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2"/>
  </w:num>
  <w:num w:numId="2">
    <w:abstractNumId w:val="3"/>
  </w:num>
  <w:num w:numId="3">
    <w:abstractNumId w:val="0"/>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hideSpellingErrors/>
  <w:documentProtection w:enforcement="0"/>
  <w:defaultTabStop w:val="420"/>
  <w:drawingGridHorizontalSpacing w:val="150"/>
  <w:drawingGridVerticalSpacing w:val="204"/>
  <w:displayHorizontalDrawingGridEvery w:val="1"/>
  <w:displayVerticalDrawingGridEvery w:val="1"/>
  <w:noPunctuationKerning w:val="1"/>
  <w:characterSpacingControl w:val="doNotCompress"/>
  <w:footnotePr>
    <w:footnote w:id="8"/>
    <w:footnote w:id="9"/>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xZjEyYmY1NjA0YmEzZmQxNzRkZmI0OWRiZDczY2YifQ=="/>
  </w:docVars>
  <w:rsids>
    <w:rsidRoot w:val="00354A5C"/>
    <w:rsid w:val="00000048"/>
    <w:rsid w:val="0000049D"/>
    <w:rsid w:val="00000DA4"/>
    <w:rsid w:val="00001305"/>
    <w:rsid w:val="00002480"/>
    <w:rsid w:val="00002974"/>
    <w:rsid w:val="00003861"/>
    <w:rsid w:val="000038F2"/>
    <w:rsid w:val="0000397A"/>
    <w:rsid w:val="00003E97"/>
    <w:rsid w:val="00004D2C"/>
    <w:rsid w:val="00004DE8"/>
    <w:rsid w:val="0000559A"/>
    <w:rsid w:val="00005BBE"/>
    <w:rsid w:val="000064CA"/>
    <w:rsid w:val="000064E7"/>
    <w:rsid w:val="00006518"/>
    <w:rsid w:val="000067F0"/>
    <w:rsid w:val="000068D0"/>
    <w:rsid w:val="00006AFE"/>
    <w:rsid w:val="00006E4B"/>
    <w:rsid w:val="0000787D"/>
    <w:rsid w:val="0001034E"/>
    <w:rsid w:val="00010A28"/>
    <w:rsid w:val="00010A95"/>
    <w:rsid w:val="00010C35"/>
    <w:rsid w:val="00010C3C"/>
    <w:rsid w:val="00010C65"/>
    <w:rsid w:val="00010FE0"/>
    <w:rsid w:val="00011311"/>
    <w:rsid w:val="00011950"/>
    <w:rsid w:val="00011A6F"/>
    <w:rsid w:val="0001234B"/>
    <w:rsid w:val="000123FE"/>
    <w:rsid w:val="00012F37"/>
    <w:rsid w:val="0001328F"/>
    <w:rsid w:val="0001358E"/>
    <w:rsid w:val="00013DBF"/>
    <w:rsid w:val="000140E9"/>
    <w:rsid w:val="00014104"/>
    <w:rsid w:val="00014645"/>
    <w:rsid w:val="00014CF6"/>
    <w:rsid w:val="0001501B"/>
    <w:rsid w:val="000152E3"/>
    <w:rsid w:val="00015AE0"/>
    <w:rsid w:val="00015AF1"/>
    <w:rsid w:val="00016168"/>
    <w:rsid w:val="00016FDF"/>
    <w:rsid w:val="0001752C"/>
    <w:rsid w:val="00017C2C"/>
    <w:rsid w:val="000201E0"/>
    <w:rsid w:val="000201FD"/>
    <w:rsid w:val="000206C8"/>
    <w:rsid w:val="00020B0F"/>
    <w:rsid w:val="00022001"/>
    <w:rsid w:val="00022204"/>
    <w:rsid w:val="00022426"/>
    <w:rsid w:val="00022CE1"/>
    <w:rsid w:val="0002364C"/>
    <w:rsid w:val="000249DD"/>
    <w:rsid w:val="00024B05"/>
    <w:rsid w:val="00024C8C"/>
    <w:rsid w:val="0002519A"/>
    <w:rsid w:val="000251C3"/>
    <w:rsid w:val="000254B7"/>
    <w:rsid w:val="0002615C"/>
    <w:rsid w:val="0002636D"/>
    <w:rsid w:val="000268E8"/>
    <w:rsid w:val="00026A36"/>
    <w:rsid w:val="00027E52"/>
    <w:rsid w:val="0003036D"/>
    <w:rsid w:val="000304B3"/>
    <w:rsid w:val="00030B14"/>
    <w:rsid w:val="0003176D"/>
    <w:rsid w:val="00031ECE"/>
    <w:rsid w:val="00032373"/>
    <w:rsid w:val="00032EF8"/>
    <w:rsid w:val="00032FCE"/>
    <w:rsid w:val="000330E5"/>
    <w:rsid w:val="000331E1"/>
    <w:rsid w:val="000336B8"/>
    <w:rsid w:val="000338F6"/>
    <w:rsid w:val="00034ADC"/>
    <w:rsid w:val="0003544D"/>
    <w:rsid w:val="000357A8"/>
    <w:rsid w:val="0003658E"/>
    <w:rsid w:val="0003674D"/>
    <w:rsid w:val="00036D21"/>
    <w:rsid w:val="000406ED"/>
    <w:rsid w:val="000413CC"/>
    <w:rsid w:val="00042419"/>
    <w:rsid w:val="000425EF"/>
    <w:rsid w:val="00042BEF"/>
    <w:rsid w:val="000430DC"/>
    <w:rsid w:val="00043408"/>
    <w:rsid w:val="00043505"/>
    <w:rsid w:val="00043621"/>
    <w:rsid w:val="00043788"/>
    <w:rsid w:val="000444FD"/>
    <w:rsid w:val="00044555"/>
    <w:rsid w:val="00044806"/>
    <w:rsid w:val="00044B15"/>
    <w:rsid w:val="000458DE"/>
    <w:rsid w:val="00045C75"/>
    <w:rsid w:val="0004674D"/>
    <w:rsid w:val="00046968"/>
    <w:rsid w:val="00046B2A"/>
    <w:rsid w:val="0004704B"/>
    <w:rsid w:val="00050129"/>
    <w:rsid w:val="00050207"/>
    <w:rsid w:val="000506C4"/>
    <w:rsid w:val="00050CB9"/>
    <w:rsid w:val="00050EDC"/>
    <w:rsid w:val="00050F09"/>
    <w:rsid w:val="00051086"/>
    <w:rsid w:val="0005134C"/>
    <w:rsid w:val="00051A53"/>
    <w:rsid w:val="00052653"/>
    <w:rsid w:val="000530DE"/>
    <w:rsid w:val="000534AD"/>
    <w:rsid w:val="000536D3"/>
    <w:rsid w:val="00053ADA"/>
    <w:rsid w:val="00053D36"/>
    <w:rsid w:val="00053E96"/>
    <w:rsid w:val="00054A60"/>
    <w:rsid w:val="00054B9D"/>
    <w:rsid w:val="00054CB4"/>
    <w:rsid w:val="00055571"/>
    <w:rsid w:val="00055C38"/>
    <w:rsid w:val="00055ED8"/>
    <w:rsid w:val="00056975"/>
    <w:rsid w:val="00056A4F"/>
    <w:rsid w:val="00056F1A"/>
    <w:rsid w:val="00056FD4"/>
    <w:rsid w:val="00057006"/>
    <w:rsid w:val="00057B85"/>
    <w:rsid w:val="00061C6A"/>
    <w:rsid w:val="0006208A"/>
    <w:rsid w:val="00062267"/>
    <w:rsid w:val="00063435"/>
    <w:rsid w:val="00063465"/>
    <w:rsid w:val="00063CFE"/>
    <w:rsid w:val="0006415E"/>
    <w:rsid w:val="00064654"/>
    <w:rsid w:val="00064684"/>
    <w:rsid w:val="00064772"/>
    <w:rsid w:val="00064893"/>
    <w:rsid w:val="000653D2"/>
    <w:rsid w:val="0006664E"/>
    <w:rsid w:val="00067065"/>
    <w:rsid w:val="000678C1"/>
    <w:rsid w:val="00067A21"/>
    <w:rsid w:val="00067AE7"/>
    <w:rsid w:val="00067BAC"/>
    <w:rsid w:val="00067D59"/>
    <w:rsid w:val="00070B9D"/>
    <w:rsid w:val="00071B99"/>
    <w:rsid w:val="00071E2D"/>
    <w:rsid w:val="00072167"/>
    <w:rsid w:val="000735D7"/>
    <w:rsid w:val="0007493E"/>
    <w:rsid w:val="00074C89"/>
    <w:rsid w:val="000752BF"/>
    <w:rsid w:val="000758E9"/>
    <w:rsid w:val="000759D9"/>
    <w:rsid w:val="0007694A"/>
    <w:rsid w:val="00076B34"/>
    <w:rsid w:val="000803D6"/>
    <w:rsid w:val="00080F1E"/>
    <w:rsid w:val="000811B6"/>
    <w:rsid w:val="00081DF2"/>
    <w:rsid w:val="00081F7E"/>
    <w:rsid w:val="00082454"/>
    <w:rsid w:val="0008276A"/>
    <w:rsid w:val="00082956"/>
    <w:rsid w:val="00082A24"/>
    <w:rsid w:val="00082D0C"/>
    <w:rsid w:val="00083222"/>
    <w:rsid w:val="00083A32"/>
    <w:rsid w:val="00084A50"/>
    <w:rsid w:val="00084CEE"/>
    <w:rsid w:val="00084E4C"/>
    <w:rsid w:val="00084E7B"/>
    <w:rsid w:val="0008589C"/>
    <w:rsid w:val="00085D81"/>
    <w:rsid w:val="00085DA5"/>
    <w:rsid w:val="0008729E"/>
    <w:rsid w:val="0009083D"/>
    <w:rsid w:val="00091287"/>
    <w:rsid w:val="000913A8"/>
    <w:rsid w:val="000913FD"/>
    <w:rsid w:val="000924A4"/>
    <w:rsid w:val="000926AC"/>
    <w:rsid w:val="0009276B"/>
    <w:rsid w:val="000930A0"/>
    <w:rsid w:val="00093272"/>
    <w:rsid w:val="0009351D"/>
    <w:rsid w:val="00093EE2"/>
    <w:rsid w:val="0009415F"/>
    <w:rsid w:val="00094D7E"/>
    <w:rsid w:val="00094DEB"/>
    <w:rsid w:val="00094F53"/>
    <w:rsid w:val="000951DA"/>
    <w:rsid w:val="0009590D"/>
    <w:rsid w:val="00096FC4"/>
    <w:rsid w:val="00097357"/>
    <w:rsid w:val="00097987"/>
    <w:rsid w:val="00097CFB"/>
    <w:rsid w:val="000A0F0E"/>
    <w:rsid w:val="000A179F"/>
    <w:rsid w:val="000A238C"/>
    <w:rsid w:val="000A23B9"/>
    <w:rsid w:val="000A5400"/>
    <w:rsid w:val="000A592B"/>
    <w:rsid w:val="000A5BB5"/>
    <w:rsid w:val="000A5D25"/>
    <w:rsid w:val="000A5E0A"/>
    <w:rsid w:val="000A6BCD"/>
    <w:rsid w:val="000A71D1"/>
    <w:rsid w:val="000A75FA"/>
    <w:rsid w:val="000B00AE"/>
    <w:rsid w:val="000B0582"/>
    <w:rsid w:val="000B0899"/>
    <w:rsid w:val="000B0C5F"/>
    <w:rsid w:val="000B103A"/>
    <w:rsid w:val="000B1AC0"/>
    <w:rsid w:val="000B1E78"/>
    <w:rsid w:val="000B208C"/>
    <w:rsid w:val="000B2224"/>
    <w:rsid w:val="000B2584"/>
    <w:rsid w:val="000B2B0D"/>
    <w:rsid w:val="000B3695"/>
    <w:rsid w:val="000B3C44"/>
    <w:rsid w:val="000B3E93"/>
    <w:rsid w:val="000B51BA"/>
    <w:rsid w:val="000B5B06"/>
    <w:rsid w:val="000B7209"/>
    <w:rsid w:val="000B7419"/>
    <w:rsid w:val="000B757E"/>
    <w:rsid w:val="000B758C"/>
    <w:rsid w:val="000B796D"/>
    <w:rsid w:val="000B7CB0"/>
    <w:rsid w:val="000B7EBD"/>
    <w:rsid w:val="000C1218"/>
    <w:rsid w:val="000C12DF"/>
    <w:rsid w:val="000C1348"/>
    <w:rsid w:val="000C1784"/>
    <w:rsid w:val="000C23D9"/>
    <w:rsid w:val="000C248B"/>
    <w:rsid w:val="000C26F1"/>
    <w:rsid w:val="000C3CFD"/>
    <w:rsid w:val="000C4116"/>
    <w:rsid w:val="000C44C0"/>
    <w:rsid w:val="000C471B"/>
    <w:rsid w:val="000C4780"/>
    <w:rsid w:val="000C4C6E"/>
    <w:rsid w:val="000C4DBC"/>
    <w:rsid w:val="000C5253"/>
    <w:rsid w:val="000C587E"/>
    <w:rsid w:val="000C637E"/>
    <w:rsid w:val="000C64B9"/>
    <w:rsid w:val="000C67A8"/>
    <w:rsid w:val="000C6C27"/>
    <w:rsid w:val="000C6EEB"/>
    <w:rsid w:val="000C728E"/>
    <w:rsid w:val="000C73D0"/>
    <w:rsid w:val="000C7684"/>
    <w:rsid w:val="000C77B9"/>
    <w:rsid w:val="000C7CF2"/>
    <w:rsid w:val="000D076E"/>
    <w:rsid w:val="000D0D52"/>
    <w:rsid w:val="000D0EFB"/>
    <w:rsid w:val="000D1E3B"/>
    <w:rsid w:val="000D294F"/>
    <w:rsid w:val="000D33F2"/>
    <w:rsid w:val="000D3894"/>
    <w:rsid w:val="000D4BDF"/>
    <w:rsid w:val="000D5450"/>
    <w:rsid w:val="000D65C2"/>
    <w:rsid w:val="000D6DBA"/>
    <w:rsid w:val="000D7CBC"/>
    <w:rsid w:val="000D7F6A"/>
    <w:rsid w:val="000E0FCC"/>
    <w:rsid w:val="000E138F"/>
    <w:rsid w:val="000E1CB8"/>
    <w:rsid w:val="000E20A9"/>
    <w:rsid w:val="000E2A5D"/>
    <w:rsid w:val="000E2B30"/>
    <w:rsid w:val="000E3EFC"/>
    <w:rsid w:val="000E4DC0"/>
    <w:rsid w:val="000E5A4B"/>
    <w:rsid w:val="000E5E84"/>
    <w:rsid w:val="000E63A0"/>
    <w:rsid w:val="000F0560"/>
    <w:rsid w:val="000F071D"/>
    <w:rsid w:val="000F08ED"/>
    <w:rsid w:val="000F0ADE"/>
    <w:rsid w:val="000F1191"/>
    <w:rsid w:val="000F1FB7"/>
    <w:rsid w:val="000F2DC9"/>
    <w:rsid w:val="000F2E35"/>
    <w:rsid w:val="000F43B2"/>
    <w:rsid w:val="000F45EB"/>
    <w:rsid w:val="000F5727"/>
    <w:rsid w:val="000F67C4"/>
    <w:rsid w:val="000F6D15"/>
    <w:rsid w:val="000F750D"/>
    <w:rsid w:val="000F78A8"/>
    <w:rsid w:val="000F7AAA"/>
    <w:rsid w:val="00100975"/>
    <w:rsid w:val="00100F86"/>
    <w:rsid w:val="0010168E"/>
    <w:rsid w:val="00101D45"/>
    <w:rsid w:val="001023D3"/>
    <w:rsid w:val="0010273C"/>
    <w:rsid w:val="00103BD2"/>
    <w:rsid w:val="00103E0D"/>
    <w:rsid w:val="00104AEA"/>
    <w:rsid w:val="0010547B"/>
    <w:rsid w:val="00105965"/>
    <w:rsid w:val="00105E84"/>
    <w:rsid w:val="0010606B"/>
    <w:rsid w:val="0010632A"/>
    <w:rsid w:val="0010646A"/>
    <w:rsid w:val="00107490"/>
    <w:rsid w:val="00107829"/>
    <w:rsid w:val="00107B80"/>
    <w:rsid w:val="00107C61"/>
    <w:rsid w:val="00107C8D"/>
    <w:rsid w:val="00110341"/>
    <w:rsid w:val="001103B7"/>
    <w:rsid w:val="00110611"/>
    <w:rsid w:val="00110B49"/>
    <w:rsid w:val="0011106B"/>
    <w:rsid w:val="00111B54"/>
    <w:rsid w:val="00112019"/>
    <w:rsid w:val="00112BD9"/>
    <w:rsid w:val="00112E5F"/>
    <w:rsid w:val="00114729"/>
    <w:rsid w:val="00114761"/>
    <w:rsid w:val="001148D4"/>
    <w:rsid w:val="001159C3"/>
    <w:rsid w:val="00116080"/>
    <w:rsid w:val="0011637C"/>
    <w:rsid w:val="00116613"/>
    <w:rsid w:val="00117259"/>
    <w:rsid w:val="00117B95"/>
    <w:rsid w:val="00117BE6"/>
    <w:rsid w:val="00117FC9"/>
    <w:rsid w:val="001208AD"/>
    <w:rsid w:val="00120AC1"/>
    <w:rsid w:val="00120D38"/>
    <w:rsid w:val="00120E16"/>
    <w:rsid w:val="0012169C"/>
    <w:rsid w:val="00121864"/>
    <w:rsid w:val="00121E2C"/>
    <w:rsid w:val="00121EED"/>
    <w:rsid w:val="00123474"/>
    <w:rsid w:val="001238CC"/>
    <w:rsid w:val="00123B99"/>
    <w:rsid w:val="0012574C"/>
    <w:rsid w:val="00125B10"/>
    <w:rsid w:val="001261C3"/>
    <w:rsid w:val="001271F2"/>
    <w:rsid w:val="00131BAA"/>
    <w:rsid w:val="0013297A"/>
    <w:rsid w:val="00133297"/>
    <w:rsid w:val="00133919"/>
    <w:rsid w:val="00133F04"/>
    <w:rsid w:val="00134273"/>
    <w:rsid w:val="00134969"/>
    <w:rsid w:val="00134D78"/>
    <w:rsid w:val="001361D7"/>
    <w:rsid w:val="00136488"/>
    <w:rsid w:val="00136CB0"/>
    <w:rsid w:val="00140289"/>
    <w:rsid w:val="00141A21"/>
    <w:rsid w:val="00141D50"/>
    <w:rsid w:val="00143302"/>
    <w:rsid w:val="001434A0"/>
    <w:rsid w:val="00143EF0"/>
    <w:rsid w:val="00144CC7"/>
    <w:rsid w:val="001457F9"/>
    <w:rsid w:val="00145D19"/>
    <w:rsid w:val="00146609"/>
    <w:rsid w:val="0014662A"/>
    <w:rsid w:val="0014677E"/>
    <w:rsid w:val="00146C71"/>
    <w:rsid w:val="00146FBA"/>
    <w:rsid w:val="00147F2A"/>
    <w:rsid w:val="00150169"/>
    <w:rsid w:val="00151F9B"/>
    <w:rsid w:val="00152C9D"/>
    <w:rsid w:val="001535F6"/>
    <w:rsid w:val="00153624"/>
    <w:rsid w:val="00153A30"/>
    <w:rsid w:val="00153CFA"/>
    <w:rsid w:val="00155254"/>
    <w:rsid w:val="0015547B"/>
    <w:rsid w:val="001555D1"/>
    <w:rsid w:val="00155C26"/>
    <w:rsid w:val="00155E97"/>
    <w:rsid w:val="00156371"/>
    <w:rsid w:val="00157D96"/>
    <w:rsid w:val="0016021E"/>
    <w:rsid w:val="001604E5"/>
    <w:rsid w:val="00160ECB"/>
    <w:rsid w:val="00160EE2"/>
    <w:rsid w:val="00160F38"/>
    <w:rsid w:val="001616F0"/>
    <w:rsid w:val="00162240"/>
    <w:rsid w:val="001623DF"/>
    <w:rsid w:val="00162442"/>
    <w:rsid w:val="001636E5"/>
    <w:rsid w:val="001637F7"/>
    <w:rsid w:val="00165452"/>
    <w:rsid w:val="00166A95"/>
    <w:rsid w:val="00167265"/>
    <w:rsid w:val="00167D09"/>
    <w:rsid w:val="00170227"/>
    <w:rsid w:val="00170EA6"/>
    <w:rsid w:val="00170EBA"/>
    <w:rsid w:val="00171045"/>
    <w:rsid w:val="00171D9D"/>
    <w:rsid w:val="0017212F"/>
    <w:rsid w:val="00172B8F"/>
    <w:rsid w:val="0017306D"/>
    <w:rsid w:val="0017358F"/>
    <w:rsid w:val="00173821"/>
    <w:rsid w:val="001738B1"/>
    <w:rsid w:val="00173BF6"/>
    <w:rsid w:val="00173CA3"/>
    <w:rsid w:val="00174F48"/>
    <w:rsid w:val="001752AE"/>
    <w:rsid w:val="001756F3"/>
    <w:rsid w:val="001758E0"/>
    <w:rsid w:val="00175983"/>
    <w:rsid w:val="00176016"/>
    <w:rsid w:val="0017634F"/>
    <w:rsid w:val="00176B1A"/>
    <w:rsid w:val="00177387"/>
    <w:rsid w:val="00177778"/>
    <w:rsid w:val="00177F4A"/>
    <w:rsid w:val="0018019F"/>
    <w:rsid w:val="00180688"/>
    <w:rsid w:val="00180B1D"/>
    <w:rsid w:val="00180D5B"/>
    <w:rsid w:val="00181200"/>
    <w:rsid w:val="00182B31"/>
    <w:rsid w:val="00183746"/>
    <w:rsid w:val="001847D4"/>
    <w:rsid w:val="001847F0"/>
    <w:rsid w:val="00184EF0"/>
    <w:rsid w:val="001858CE"/>
    <w:rsid w:val="0018631E"/>
    <w:rsid w:val="001866C9"/>
    <w:rsid w:val="00187124"/>
    <w:rsid w:val="00187985"/>
    <w:rsid w:val="00187BB7"/>
    <w:rsid w:val="00187FC2"/>
    <w:rsid w:val="00190740"/>
    <w:rsid w:val="0019093A"/>
    <w:rsid w:val="00190A59"/>
    <w:rsid w:val="00190BC7"/>
    <w:rsid w:val="00191321"/>
    <w:rsid w:val="001913BC"/>
    <w:rsid w:val="0019160D"/>
    <w:rsid w:val="0019164F"/>
    <w:rsid w:val="00191A60"/>
    <w:rsid w:val="00191F67"/>
    <w:rsid w:val="001922F0"/>
    <w:rsid w:val="001924EA"/>
    <w:rsid w:val="001927B9"/>
    <w:rsid w:val="00192AEE"/>
    <w:rsid w:val="00192B0F"/>
    <w:rsid w:val="0019341C"/>
    <w:rsid w:val="0019536D"/>
    <w:rsid w:val="00195B54"/>
    <w:rsid w:val="0019619E"/>
    <w:rsid w:val="001962EE"/>
    <w:rsid w:val="001968F4"/>
    <w:rsid w:val="001969B8"/>
    <w:rsid w:val="00196AAF"/>
    <w:rsid w:val="00196C0C"/>
    <w:rsid w:val="00196C3F"/>
    <w:rsid w:val="001A017E"/>
    <w:rsid w:val="001A021A"/>
    <w:rsid w:val="001A102A"/>
    <w:rsid w:val="001A1B84"/>
    <w:rsid w:val="001A255C"/>
    <w:rsid w:val="001A2F41"/>
    <w:rsid w:val="001A3A46"/>
    <w:rsid w:val="001A4321"/>
    <w:rsid w:val="001A4DDD"/>
    <w:rsid w:val="001A4FFA"/>
    <w:rsid w:val="001A504D"/>
    <w:rsid w:val="001A57D0"/>
    <w:rsid w:val="001A580B"/>
    <w:rsid w:val="001A5A0D"/>
    <w:rsid w:val="001A5C59"/>
    <w:rsid w:val="001A6977"/>
    <w:rsid w:val="001A6A66"/>
    <w:rsid w:val="001A6FEB"/>
    <w:rsid w:val="001A75E9"/>
    <w:rsid w:val="001A7AA3"/>
    <w:rsid w:val="001A7B33"/>
    <w:rsid w:val="001B0135"/>
    <w:rsid w:val="001B0380"/>
    <w:rsid w:val="001B0BFF"/>
    <w:rsid w:val="001B0E7E"/>
    <w:rsid w:val="001B120F"/>
    <w:rsid w:val="001B12CB"/>
    <w:rsid w:val="001B12D7"/>
    <w:rsid w:val="001B141A"/>
    <w:rsid w:val="001B16F8"/>
    <w:rsid w:val="001B1943"/>
    <w:rsid w:val="001B1EFE"/>
    <w:rsid w:val="001B3A11"/>
    <w:rsid w:val="001B4499"/>
    <w:rsid w:val="001B453F"/>
    <w:rsid w:val="001B4669"/>
    <w:rsid w:val="001B57DF"/>
    <w:rsid w:val="001B72A4"/>
    <w:rsid w:val="001B7431"/>
    <w:rsid w:val="001B7784"/>
    <w:rsid w:val="001B7BE2"/>
    <w:rsid w:val="001C0290"/>
    <w:rsid w:val="001C0606"/>
    <w:rsid w:val="001C0ADD"/>
    <w:rsid w:val="001C0BC3"/>
    <w:rsid w:val="001C104E"/>
    <w:rsid w:val="001C10F8"/>
    <w:rsid w:val="001C14B1"/>
    <w:rsid w:val="001C1DBA"/>
    <w:rsid w:val="001C228F"/>
    <w:rsid w:val="001C27D6"/>
    <w:rsid w:val="001C2A73"/>
    <w:rsid w:val="001C32E4"/>
    <w:rsid w:val="001C357E"/>
    <w:rsid w:val="001C4667"/>
    <w:rsid w:val="001C4875"/>
    <w:rsid w:val="001C4BC4"/>
    <w:rsid w:val="001C4D3A"/>
    <w:rsid w:val="001C4D80"/>
    <w:rsid w:val="001C4E85"/>
    <w:rsid w:val="001C54D7"/>
    <w:rsid w:val="001C5715"/>
    <w:rsid w:val="001C5896"/>
    <w:rsid w:val="001C5E8F"/>
    <w:rsid w:val="001C6D79"/>
    <w:rsid w:val="001D0232"/>
    <w:rsid w:val="001D0659"/>
    <w:rsid w:val="001D0FCE"/>
    <w:rsid w:val="001D0FFB"/>
    <w:rsid w:val="001D1172"/>
    <w:rsid w:val="001D1779"/>
    <w:rsid w:val="001D17F3"/>
    <w:rsid w:val="001D20EF"/>
    <w:rsid w:val="001D225D"/>
    <w:rsid w:val="001D28FC"/>
    <w:rsid w:val="001D2C4A"/>
    <w:rsid w:val="001D3302"/>
    <w:rsid w:val="001D35D8"/>
    <w:rsid w:val="001D4317"/>
    <w:rsid w:val="001D5197"/>
    <w:rsid w:val="001D5209"/>
    <w:rsid w:val="001D5566"/>
    <w:rsid w:val="001D6383"/>
    <w:rsid w:val="001D6701"/>
    <w:rsid w:val="001D67DF"/>
    <w:rsid w:val="001D69FB"/>
    <w:rsid w:val="001D6B15"/>
    <w:rsid w:val="001D6F58"/>
    <w:rsid w:val="001D6FC7"/>
    <w:rsid w:val="001E04DB"/>
    <w:rsid w:val="001E1068"/>
    <w:rsid w:val="001E18CD"/>
    <w:rsid w:val="001E1D3D"/>
    <w:rsid w:val="001E2850"/>
    <w:rsid w:val="001E28E5"/>
    <w:rsid w:val="001E2AE3"/>
    <w:rsid w:val="001E3E09"/>
    <w:rsid w:val="001E494C"/>
    <w:rsid w:val="001E58B5"/>
    <w:rsid w:val="001E5A9E"/>
    <w:rsid w:val="001E7781"/>
    <w:rsid w:val="001E788D"/>
    <w:rsid w:val="001E7916"/>
    <w:rsid w:val="001F040C"/>
    <w:rsid w:val="001F054F"/>
    <w:rsid w:val="001F0721"/>
    <w:rsid w:val="001F0ACB"/>
    <w:rsid w:val="001F1832"/>
    <w:rsid w:val="001F2032"/>
    <w:rsid w:val="001F39F6"/>
    <w:rsid w:val="001F40A7"/>
    <w:rsid w:val="001F44C8"/>
    <w:rsid w:val="001F469E"/>
    <w:rsid w:val="001F4757"/>
    <w:rsid w:val="001F4ECD"/>
    <w:rsid w:val="001F5503"/>
    <w:rsid w:val="001F555B"/>
    <w:rsid w:val="001F5B6C"/>
    <w:rsid w:val="001F612A"/>
    <w:rsid w:val="001F6B85"/>
    <w:rsid w:val="001F73A6"/>
    <w:rsid w:val="0020050E"/>
    <w:rsid w:val="0020051C"/>
    <w:rsid w:val="0020079D"/>
    <w:rsid w:val="00200B8A"/>
    <w:rsid w:val="00200FFD"/>
    <w:rsid w:val="00201DD7"/>
    <w:rsid w:val="00201E79"/>
    <w:rsid w:val="00201F57"/>
    <w:rsid w:val="0020201E"/>
    <w:rsid w:val="00202D04"/>
    <w:rsid w:val="002034A1"/>
    <w:rsid w:val="00204DB0"/>
    <w:rsid w:val="00205581"/>
    <w:rsid w:val="002055B3"/>
    <w:rsid w:val="00205E1E"/>
    <w:rsid w:val="00206597"/>
    <w:rsid w:val="002073CD"/>
    <w:rsid w:val="002073F6"/>
    <w:rsid w:val="00210151"/>
    <w:rsid w:val="00210363"/>
    <w:rsid w:val="002109E2"/>
    <w:rsid w:val="00210DCE"/>
    <w:rsid w:val="00211AE3"/>
    <w:rsid w:val="00211C94"/>
    <w:rsid w:val="0021219A"/>
    <w:rsid w:val="00212788"/>
    <w:rsid w:val="002127FF"/>
    <w:rsid w:val="00212B40"/>
    <w:rsid w:val="00212C91"/>
    <w:rsid w:val="00213317"/>
    <w:rsid w:val="00213763"/>
    <w:rsid w:val="00213891"/>
    <w:rsid w:val="00213BEF"/>
    <w:rsid w:val="00214C7B"/>
    <w:rsid w:val="00214FE1"/>
    <w:rsid w:val="00214FE9"/>
    <w:rsid w:val="002154D3"/>
    <w:rsid w:val="00216512"/>
    <w:rsid w:val="00216634"/>
    <w:rsid w:val="00216975"/>
    <w:rsid w:val="00217400"/>
    <w:rsid w:val="00217AA3"/>
    <w:rsid w:val="0022015D"/>
    <w:rsid w:val="00220543"/>
    <w:rsid w:val="00220F63"/>
    <w:rsid w:val="0022156F"/>
    <w:rsid w:val="00222A09"/>
    <w:rsid w:val="002231EF"/>
    <w:rsid w:val="002232C6"/>
    <w:rsid w:val="002236F7"/>
    <w:rsid w:val="00223FF2"/>
    <w:rsid w:val="002246D9"/>
    <w:rsid w:val="00224BBA"/>
    <w:rsid w:val="00225037"/>
    <w:rsid w:val="00225876"/>
    <w:rsid w:val="00225BA4"/>
    <w:rsid w:val="00226B29"/>
    <w:rsid w:val="00226FDE"/>
    <w:rsid w:val="002274EE"/>
    <w:rsid w:val="00230399"/>
    <w:rsid w:val="00230654"/>
    <w:rsid w:val="002306EE"/>
    <w:rsid w:val="002307D8"/>
    <w:rsid w:val="002315E9"/>
    <w:rsid w:val="00231C7A"/>
    <w:rsid w:val="00231D05"/>
    <w:rsid w:val="002331B6"/>
    <w:rsid w:val="00233925"/>
    <w:rsid w:val="00233CDB"/>
    <w:rsid w:val="00234266"/>
    <w:rsid w:val="00234B5F"/>
    <w:rsid w:val="00235249"/>
    <w:rsid w:val="0023670B"/>
    <w:rsid w:val="00236E7F"/>
    <w:rsid w:val="0023777C"/>
    <w:rsid w:val="00240DD2"/>
    <w:rsid w:val="00241293"/>
    <w:rsid w:val="002418A7"/>
    <w:rsid w:val="0024195A"/>
    <w:rsid w:val="00241E51"/>
    <w:rsid w:val="00242924"/>
    <w:rsid w:val="002444F1"/>
    <w:rsid w:val="0024455C"/>
    <w:rsid w:val="00244A33"/>
    <w:rsid w:val="00244F4D"/>
    <w:rsid w:val="00245B63"/>
    <w:rsid w:val="00245F31"/>
    <w:rsid w:val="00245F84"/>
    <w:rsid w:val="00246083"/>
    <w:rsid w:val="00246189"/>
    <w:rsid w:val="002464CD"/>
    <w:rsid w:val="00246AC8"/>
    <w:rsid w:val="0025082D"/>
    <w:rsid w:val="00250BDD"/>
    <w:rsid w:val="002511DC"/>
    <w:rsid w:val="0025224D"/>
    <w:rsid w:val="00252356"/>
    <w:rsid w:val="00252940"/>
    <w:rsid w:val="002529E5"/>
    <w:rsid w:val="00252E4F"/>
    <w:rsid w:val="00252EEE"/>
    <w:rsid w:val="002541B0"/>
    <w:rsid w:val="00255458"/>
    <w:rsid w:val="00255539"/>
    <w:rsid w:val="00255A14"/>
    <w:rsid w:val="0025658C"/>
    <w:rsid w:val="00256AD4"/>
    <w:rsid w:val="002578CE"/>
    <w:rsid w:val="00260DD7"/>
    <w:rsid w:val="00262843"/>
    <w:rsid w:val="00262975"/>
    <w:rsid w:val="002638F3"/>
    <w:rsid w:val="00263F0C"/>
    <w:rsid w:val="00263F67"/>
    <w:rsid w:val="002641E2"/>
    <w:rsid w:val="002643B2"/>
    <w:rsid w:val="0026480B"/>
    <w:rsid w:val="00264A9E"/>
    <w:rsid w:val="00264B64"/>
    <w:rsid w:val="00264B90"/>
    <w:rsid w:val="002652F9"/>
    <w:rsid w:val="002655D3"/>
    <w:rsid w:val="00265CFC"/>
    <w:rsid w:val="00265D22"/>
    <w:rsid w:val="00266027"/>
    <w:rsid w:val="002661DA"/>
    <w:rsid w:val="00266990"/>
    <w:rsid w:val="00267D64"/>
    <w:rsid w:val="00270393"/>
    <w:rsid w:val="00271376"/>
    <w:rsid w:val="00271694"/>
    <w:rsid w:val="002717BF"/>
    <w:rsid w:val="00271FE0"/>
    <w:rsid w:val="0027291F"/>
    <w:rsid w:val="00272B91"/>
    <w:rsid w:val="00272DF2"/>
    <w:rsid w:val="0027385D"/>
    <w:rsid w:val="00273864"/>
    <w:rsid w:val="00273CEC"/>
    <w:rsid w:val="00275325"/>
    <w:rsid w:val="00275450"/>
    <w:rsid w:val="00275A27"/>
    <w:rsid w:val="00275EB5"/>
    <w:rsid w:val="002764EF"/>
    <w:rsid w:val="002811A5"/>
    <w:rsid w:val="002816A5"/>
    <w:rsid w:val="00281A48"/>
    <w:rsid w:val="00281FF9"/>
    <w:rsid w:val="0028217E"/>
    <w:rsid w:val="00282E31"/>
    <w:rsid w:val="00283A9D"/>
    <w:rsid w:val="00283C6B"/>
    <w:rsid w:val="00284597"/>
    <w:rsid w:val="00284F66"/>
    <w:rsid w:val="00285028"/>
    <w:rsid w:val="0028517F"/>
    <w:rsid w:val="002857FB"/>
    <w:rsid w:val="00286A4B"/>
    <w:rsid w:val="00286A92"/>
    <w:rsid w:val="002872DC"/>
    <w:rsid w:val="00287E7E"/>
    <w:rsid w:val="00287ED6"/>
    <w:rsid w:val="00290564"/>
    <w:rsid w:val="00290856"/>
    <w:rsid w:val="00291341"/>
    <w:rsid w:val="00291811"/>
    <w:rsid w:val="00291984"/>
    <w:rsid w:val="002919C1"/>
    <w:rsid w:val="00292FC1"/>
    <w:rsid w:val="00294261"/>
    <w:rsid w:val="00294523"/>
    <w:rsid w:val="00294608"/>
    <w:rsid w:val="002949E9"/>
    <w:rsid w:val="00295652"/>
    <w:rsid w:val="002957B9"/>
    <w:rsid w:val="00296067"/>
    <w:rsid w:val="002A0116"/>
    <w:rsid w:val="002A0142"/>
    <w:rsid w:val="002A0163"/>
    <w:rsid w:val="002A0A1E"/>
    <w:rsid w:val="002A25BE"/>
    <w:rsid w:val="002A2F58"/>
    <w:rsid w:val="002A3710"/>
    <w:rsid w:val="002A3BE1"/>
    <w:rsid w:val="002A4393"/>
    <w:rsid w:val="002A4ADC"/>
    <w:rsid w:val="002A4C79"/>
    <w:rsid w:val="002A5093"/>
    <w:rsid w:val="002A5483"/>
    <w:rsid w:val="002A5713"/>
    <w:rsid w:val="002A5851"/>
    <w:rsid w:val="002A628B"/>
    <w:rsid w:val="002A62D6"/>
    <w:rsid w:val="002A6661"/>
    <w:rsid w:val="002A741E"/>
    <w:rsid w:val="002A74B5"/>
    <w:rsid w:val="002A754E"/>
    <w:rsid w:val="002A7CAB"/>
    <w:rsid w:val="002B0AD0"/>
    <w:rsid w:val="002B107B"/>
    <w:rsid w:val="002B1587"/>
    <w:rsid w:val="002B19D3"/>
    <w:rsid w:val="002B1D40"/>
    <w:rsid w:val="002B2430"/>
    <w:rsid w:val="002B2EAA"/>
    <w:rsid w:val="002B3A47"/>
    <w:rsid w:val="002B47C2"/>
    <w:rsid w:val="002B5553"/>
    <w:rsid w:val="002B6CA3"/>
    <w:rsid w:val="002B6D12"/>
    <w:rsid w:val="002B7488"/>
    <w:rsid w:val="002B772A"/>
    <w:rsid w:val="002B7958"/>
    <w:rsid w:val="002C1AFD"/>
    <w:rsid w:val="002C1F3D"/>
    <w:rsid w:val="002C1FCF"/>
    <w:rsid w:val="002C2172"/>
    <w:rsid w:val="002C33DE"/>
    <w:rsid w:val="002C3597"/>
    <w:rsid w:val="002C3AEF"/>
    <w:rsid w:val="002C3C9D"/>
    <w:rsid w:val="002C3E4F"/>
    <w:rsid w:val="002C45AC"/>
    <w:rsid w:val="002C4921"/>
    <w:rsid w:val="002C4E7B"/>
    <w:rsid w:val="002C5388"/>
    <w:rsid w:val="002C5C15"/>
    <w:rsid w:val="002C6B77"/>
    <w:rsid w:val="002C7B18"/>
    <w:rsid w:val="002C7C20"/>
    <w:rsid w:val="002D0994"/>
    <w:rsid w:val="002D19BA"/>
    <w:rsid w:val="002D21E0"/>
    <w:rsid w:val="002D2D96"/>
    <w:rsid w:val="002D3A5F"/>
    <w:rsid w:val="002D443D"/>
    <w:rsid w:val="002D5588"/>
    <w:rsid w:val="002D574A"/>
    <w:rsid w:val="002D5FAE"/>
    <w:rsid w:val="002D76FE"/>
    <w:rsid w:val="002D7E06"/>
    <w:rsid w:val="002E0041"/>
    <w:rsid w:val="002E0313"/>
    <w:rsid w:val="002E10C4"/>
    <w:rsid w:val="002E130A"/>
    <w:rsid w:val="002E1580"/>
    <w:rsid w:val="002E1957"/>
    <w:rsid w:val="002E22BA"/>
    <w:rsid w:val="002E2962"/>
    <w:rsid w:val="002E3C66"/>
    <w:rsid w:val="002E432F"/>
    <w:rsid w:val="002E4666"/>
    <w:rsid w:val="002E47A7"/>
    <w:rsid w:val="002E65D4"/>
    <w:rsid w:val="002F07D3"/>
    <w:rsid w:val="002F09EF"/>
    <w:rsid w:val="002F11D6"/>
    <w:rsid w:val="002F14D2"/>
    <w:rsid w:val="002F296D"/>
    <w:rsid w:val="002F2A3B"/>
    <w:rsid w:val="002F2FED"/>
    <w:rsid w:val="002F467E"/>
    <w:rsid w:val="002F48DF"/>
    <w:rsid w:val="002F52A6"/>
    <w:rsid w:val="002F58ED"/>
    <w:rsid w:val="002F5D9D"/>
    <w:rsid w:val="002F6513"/>
    <w:rsid w:val="002F7296"/>
    <w:rsid w:val="0030097E"/>
    <w:rsid w:val="00300A9D"/>
    <w:rsid w:val="00300AC3"/>
    <w:rsid w:val="0030123F"/>
    <w:rsid w:val="00301E50"/>
    <w:rsid w:val="00302439"/>
    <w:rsid w:val="0030329E"/>
    <w:rsid w:val="00303510"/>
    <w:rsid w:val="003038E6"/>
    <w:rsid w:val="00304688"/>
    <w:rsid w:val="003049E4"/>
    <w:rsid w:val="00305648"/>
    <w:rsid w:val="0030595A"/>
    <w:rsid w:val="00305F1D"/>
    <w:rsid w:val="003070C9"/>
    <w:rsid w:val="00307346"/>
    <w:rsid w:val="00307537"/>
    <w:rsid w:val="00307B15"/>
    <w:rsid w:val="00307F6E"/>
    <w:rsid w:val="0031028E"/>
    <w:rsid w:val="003104CC"/>
    <w:rsid w:val="003105DA"/>
    <w:rsid w:val="00310E7B"/>
    <w:rsid w:val="00311128"/>
    <w:rsid w:val="00311E32"/>
    <w:rsid w:val="003134AB"/>
    <w:rsid w:val="00313BB2"/>
    <w:rsid w:val="003142A1"/>
    <w:rsid w:val="00315FDC"/>
    <w:rsid w:val="00316010"/>
    <w:rsid w:val="00316047"/>
    <w:rsid w:val="0031684A"/>
    <w:rsid w:val="00316BF5"/>
    <w:rsid w:val="00317650"/>
    <w:rsid w:val="003179EC"/>
    <w:rsid w:val="00321548"/>
    <w:rsid w:val="00322525"/>
    <w:rsid w:val="003227F6"/>
    <w:rsid w:val="003237B4"/>
    <w:rsid w:val="003243F4"/>
    <w:rsid w:val="00324468"/>
    <w:rsid w:val="0032484D"/>
    <w:rsid w:val="003249F6"/>
    <w:rsid w:val="0032548E"/>
    <w:rsid w:val="003254BC"/>
    <w:rsid w:val="00325D24"/>
    <w:rsid w:val="0032632F"/>
    <w:rsid w:val="003264F5"/>
    <w:rsid w:val="00326BB7"/>
    <w:rsid w:val="00327412"/>
    <w:rsid w:val="00327803"/>
    <w:rsid w:val="003302E9"/>
    <w:rsid w:val="00330887"/>
    <w:rsid w:val="00330D1A"/>
    <w:rsid w:val="003313F4"/>
    <w:rsid w:val="00332D2D"/>
    <w:rsid w:val="003335A4"/>
    <w:rsid w:val="003337C0"/>
    <w:rsid w:val="00333D54"/>
    <w:rsid w:val="00334223"/>
    <w:rsid w:val="003346B6"/>
    <w:rsid w:val="0033543D"/>
    <w:rsid w:val="003356B3"/>
    <w:rsid w:val="00335F1C"/>
    <w:rsid w:val="0033625D"/>
    <w:rsid w:val="00336ACE"/>
    <w:rsid w:val="003374A6"/>
    <w:rsid w:val="003404A4"/>
    <w:rsid w:val="003412D0"/>
    <w:rsid w:val="00342006"/>
    <w:rsid w:val="0034225D"/>
    <w:rsid w:val="00342B66"/>
    <w:rsid w:val="00343197"/>
    <w:rsid w:val="00343864"/>
    <w:rsid w:val="00343E1F"/>
    <w:rsid w:val="0034533C"/>
    <w:rsid w:val="003453CF"/>
    <w:rsid w:val="00345BDD"/>
    <w:rsid w:val="00347067"/>
    <w:rsid w:val="0034707A"/>
    <w:rsid w:val="00347B5D"/>
    <w:rsid w:val="00350033"/>
    <w:rsid w:val="0035059D"/>
    <w:rsid w:val="0035097C"/>
    <w:rsid w:val="003510D5"/>
    <w:rsid w:val="0035172A"/>
    <w:rsid w:val="00351B58"/>
    <w:rsid w:val="00351CC1"/>
    <w:rsid w:val="003525BA"/>
    <w:rsid w:val="0035277A"/>
    <w:rsid w:val="00352D29"/>
    <w:rsid w:val="003534CF"/>
    <w:rsid w:val="00353677"/>
    <w:rsid w:val="0035464B"/>
    <w:rsid w:val="00354695"/>
    <w:rsid w:val="00354A5C"/>
    <w:rsid w:val="00354AEB"/>
    <w:rsid w:val="00354CE3"/>
    <w:rsid w:val="0035589F"/>
    <w:rsid w:val="00355A9D"/>
    <w:rsid w:val="003568AB"/>
    <w:rsid w:val="00356AFC"/>
    <w:rsid w:val="00356D3D"/>
    <w:rsid w:val="00356E81"/>
    <w:rsid w:val="003578D1"/>
    <w:rsid w:val="00357D0A"/>
    <w:rsid w:val="00360257"/>
    <w:rsid w:val="00360348"/>
    <w:rsid w:val="00361863"/>
    <w:rsid w:val="00361B66"/>
    <w:rsid w:val="00361EE6"/>
    <w:rsid w:val="0036304A"/>
    <w:rsid w:val="0036340B"/>
    <w:rsid w:val="003637C0"/>
    <w:rsid w:val="00363A0C"/>
    <w:rsid w:val="00363F08"/>
    <w:rsid w:val="00364621"/>
    <w:rsid w:val="003646D9"/>
    <w:rsid w:val="00365510"/>
    <w:rsid w:val="0036556E"/>
    <w:rsid w:val="003658D4"/>
    <w:rsid w:val="00365C58"/>
    <w:rsid w:val="00365C86"/>
    <w:rsid w:val="00365DB5"/>
    <w:rsid w:val="0036649E"/>
    <w:rsid w:val="0036688B"/>
    <w:rsid w:val="00366C0C"/>
    <w:rsid w:val="0036704B"/>
    <w:rsid w:val="0037049A"/>
    <w:rsid w:val="0037059C"/>
    <w:rsid w:val="0037066C"/>
    <w:rsid w:val="003707F5"/>
    <w:rsid w:val="003709B1"/>
    <w:rsid w:val="00371181"/>
    <w:rsid w:val="00371263"/>
    <w:rsid w:val="00371BE9"/>
    <w:rsid w:val="00371CA1"/>
    <w:rsid w:val="0037246E"/>
    <w:rsid w:val="00372EFB"/>
    <w:rsid w:val="003730CF"/>
    <w:rsid w:val="0037380B"/>
    <w:rsid w:val="00374843"/>
    <w:rsid w:val="00374910"/>
    <w:rsid w:val="00374CFD"/>
    <w:rsid w:val="00374E32"/>
    <w:rsid w:val="0037604F"/>
    <w:rsid w:val="003762F7"/>
    <w:rsid w:val="0037671C"/>
    <w:rsid w:val="0037794C"/>
    <w:rsid w:val="00380010"/>
    <w:rsid w:val="003807D7"/>
    <w:rsid w:val="00380990"/>
    <w:rsid w:val="00380FB7"/>
    <w:rsid w:val="003819EE"/>
    <w:rsid w:val="00381A03"/>
    <w:rsid w:val="00381D0C"/>
    <w:rsid w:val="00382066"/>
    <w:rsid w:val="0038214D"/>
    <w:rsid w:val="00382A43"/>
    <w:rsid w:val="0038565C"/>
    <w:rsid w:val="00385AA0"/>
    <w:rsid w:val="00385E78"/>
    <w:rsid w:val="00387565"/>
    <w:rsid w:val="003876AB"/>
    <w:rsid w:val="00387AC0"/>
    <w:rsid w:val="0039020B"/>
    <w:rsid w:val="00390355"/>
    <w:rsid w:val="00390747"/>
    <w:rsid w:val="00391660"/>
    <w:rsid w:val="00391C34"/>
    <w:rsid w:val="003932A0"/>
    <w:rsid w:val="00393C4E"/>
    <w:rsid w:val="003946D9"/>
    <w:rsid w:val="00394B8F"/>
    <w:rsid w:val="00394E2D"/>
    <w:rsid w:val="00395E05"/>
    <w:rsid w:val="00396BC0"/>
    <w:rsid w:val="00397EA0"/>
    <w:rsid w:val="003A006F"/>
    <w:rsid w:val="003A0647"/>
    <w:rsid w:val="003A0B1E"/>
    <w:rsid w:val="003A0E35"/>
    <w:rsid w:val="003A11E9"/>
    <w:rsid w:val="003A12E5"/>
    <w:rsid w:val="003A240A"/>
    <w:rsid w:val="003A29C2"/>
    <w:rsid w:val="003A2D5B"/>
    <w:rsid w:val="003A43C4"/>
    <w:rsid w:val="003A43E8"/>
    <w:rsid w:val="003A472C"/>
    <w:rsid w:val="003A4910"/>
    <w:rsid w:val="003A497B"/>
    <w:rsid w:val="003A5FEB"/>
    <w:rsid w:val="003A6199"/>
    <w:rsid w:val="003A637B"/>
    <w:rsid w:val="003A6940"/>
    <w:rsid w:val="003B033F"/>
    <w:rsid w:val="003B17CD"/>
    <w:rsid w:val="003B3244"/>
    <w:rsid w:val="003B3AFF"/>
    <w:rsid w:val="003B3BDB"/>
    <w:rsid w:val="003B3C6E"/>
    <w:rsid w:val="003B4191"/>
    <w:rsid w:val="003B48D5"/>
    <w:rsid w:val="003B4C5F"/>
    <w:rsid w:val="003B4E8C"/>
    <w:rsid w:val="003B7186"/>
    <w:rsid w:val="003B7468"/>
    <w:rsid w:val="003C0601"/>
    <w:rsid w:val="003C10A0"/>
    <w:rsid w:val="003C1107"/>
    <w:rsid w:val="003C27DD"/>
    <w:rsid w:val="003C2BB6"/>
    <w:rsid w:val="003C3309"/>
    <w:rsid w:val="003C36E0"/>
    <w:rsid w:val="003C3CEF"/>
    <w:rsid w:val="003C3DF9"/>
    <w:rsid w:val="003C4648"/>
    <w:rsid w:val="003C4FC4"/>
    <w:rsid w:val="003C5DFA"/>
    <w:rsid w:val="003C6669"/>
    <w:rsid w:val="003C6811"/>
    <w:rsid w:val="003C6D29"/>
    <w:rsid w:val="003C783B"/>
    <w:rsid w:val="003C7C0B"/>
    <w:rsid w:val="003C7C10"/>
    <w:rsid w:val="003D0350"/>
    <w:rsid w:val="003D05E9"/>
    <w:rsid w:val="003D0634"/>
    <w:rsid w:val="003D081F"/>
    <w:rsid w:val="003D0A31"/>
    <w:rsid w:val="003D0F44"/>
    <w:rsid w:val="003D110D"/>
    <w:rsid w:val="003D122B"/>
    <w:rsid w:val="003D1DEE"/>
    <w:rsid w:val="003D2054"/>
    <w:rsid w:val="003D2C1F"/>
    <w:rsid w:val="003D2E8B"/>
    <w:rsid w:val="003D3459"/>
    <w:rsid w:val="003D3FD4"/>
    <w:rsid w:val="003D434A"/>
    <w:rsid w:val="003D4820"/>
    <w:rsid w:val="003D5284"/>
    <w:rsid w:val="003D545D"/>
    <w:rsid w:val="003D65A6"/>
    <w:rsid w:val="003D664A"/>
    <w:rsid w:val="003D6CA5"/>
    <w:rsid w:val="003D71E6"/>
    <w:rsid w:val="003D7A3B"/>
    <w:rsid w:val="003E0D91"/>
    <w:rsid w:val="003E123D"/>
    <w:rsid w:val="003E14C5"/>
    <w:rsid w:val="003E1837"/>
    <w:rsid w:val="003E1F6B"/>
    <w:rsid w:val="003E23FA"/>
    <w:rsid w:val="003E257E"/>
    <w:rsid w:val="003E32AE"/>
    <w:rsid w:val="003E3CC1"/>
    <w:rsid w:val="003E3F79"/>
    <w:rsid w:val="003E40A2"/>
    <w:rsid w:val="003E44BA"/>
    <w:rsid w:val="003E4705"/>
    <w:rsid w:val="003E4969"/>
    <w:rsid w:val="003E4A24"/>
    <w:rsid w:val="003E5523"/>
    <w:rsid w:val="003E6415"/>
    <w:rsid w:val="003E77BA"/>
    <w:rsid w:val="003E7D42"/>
    <w:rsid w:val="003E7D9E"/>
    <w:rsid w:val="003F0BAD"/>
    <w:rsid w:val="003F116C"/>
    <w:rsid w:val="003F190F"/>
    <w:rsid w:val="003F2204"/>
    <w:rsid w:val="003F2CA1"/>
    <w:rsid w:val="003F2D32"/>
    <w:rsid w:val="003F31BB"/>
    <w:rsid w:val="003F35C1"/>
    <w:rsid w:val="003F367F"/>
    <w:rsid w:val="003F39ED"/>
    <w:rsid w:val="003F3D24"/>
    <w:rsid w:val="003F4623"/>
    <w:rsid w:val="003F4A3E"/>
    <w:rsid w:val="003F4A82"/>
    <w:rsid w:val="003F508A"/>
    <w:rsid w:val="003F528E"/>
    <w:rsid w:val="003F55A0"/>
    <w:rsid w:val="003F5E1A"/>
    <w:rsid w:val="003F7183"/>
    <w:rsid w:val="003F71F9"/>
    <w:rsid w:val="003F771C"/>
    <w:rsid w:val="003F77B0"/>
    <w:rsid w:val="003F7C61"/>
    <w:rsid w:val="0040073B"/>
    <w:rsid w:val="00400999"/>
    <w:rsid w:val="00400C9C"/>
    <w:rsid w:val="00400D8B"/>
    <w:rsid w:val="004013BB"/>
    <w:rsid w:val="004019EB"/>
    <w:rsid w:val="00402793"/>
    <w:rsid w:val="00402AE0"/>
    <w:rsid w:val="004045FF"/>
    <w:rsid w:val="004046C1"/>
    <w:rsid w:val="004046D5"/>
    <w:rsid w:val="00404A43"/>
    <w:rsid w:val="0040584F"/>
    <w:rsid w:val="00405F86"/>
    <w:rsid w:val="00407F90"/>
    <w:rsid w:val="0041061A"/>
    <w:rsid w:val="00410A46"/>
    <w:rsid w:val="00410FD1"/>
    <w:rsid w:val="0041121D"/>
    <w:rsid w:val="00412060"/>
    <w:rsid w:val="00412369"/>
    <w:rsid w:val="00412E86"/>
    <w:rsid w:val="004135CA"/>
    <w:rsid w:val="004136C8"/>
    <w:rsid w:val="00413E7E"/>
    <w:rsid w:val="00414623"/>
    <w:rsid w:val="00414C61"/>
    <w:rsid w:val="004152FE"/>
    <w:rsid w:val="00415547"/>
    <w:rsid w:val="004164CF"/>
    <w:rsid w:val="00416675"/>
    <w:rsid w:val="0041668D"/>
    <w:rsid w:val="00416807"/>
    <w:rsid w:val="00416F0C"/>
    <w:rsid w:val="00417FAB"/>
    <w:rsid w:val="004205FA"/>
    <w:rsid w:val="00420F34"/>
    <w:rsid w:val="00421B5E"/>
    <w:rsid w:val="00422883"/>
    <w:rsid w:val="00422A3B"/>
    <w:rsid w:val="00422D1C"/>
    <w:rsid w:val="00422DAD"/>
    <w:rsid w:val="00423260"/>
    <w:rsid w:val="00423B46"/>
    <w:rsid w:val="00423B75"/>
    <w:rsid w:val="00423DCA"/>
    <w:rsid w:val="00426D89"/>
    <w:rsid w:val="0042761B"/>
    <w:rsid w:val="00430037"/>
    <w:rsid w:val="004301B7"/>
    <w:rsid w:val="00430474"/>
    <w:rsid w:val="00430794"/>
    <w:rsid w:val="004309B1"/>
    <w:rsid w:val="004324DC"/>
    <w:rsid w:val="0043343C"/>
    <w:rsid w:val="00434034"/>
    <w:rsid w:val="00434594"/>
    <w:rsid w:val="00434F08"/>
    <w:rsid w:val="00435BB3"/>
    <w:rsid w:val="00435D30"/>
    <w:rsid w:val="0043634A"/>
    <w:rsid w:val="00436652"/>
    <w:rsid w:val="004369B8"/>
    <w:rsid w:val="00436DEA"/>
    <w:rsid w:val="004370CD"/>
    <w:rsid w:val="00437AF3"/>
    <w:rsid w:val="00437ED6"/>
    <w:rsid w:val="004407D0"/>
    <w:rsid w:val="0044100F"/>
    <w:rsid w:val="00441628"/>
    <w:rsid w:val="00441C79"/>
    <w:rsid w:val="00442448"/>
    <w:rsid w:val="00442571"/>
    <w:rsid w:val="00442E59"/>
    <w:rsid w:val="0044326B"/>
    <w:rsid w:val="00443323"/>
    <w:rsid w:val="00443C77"/>
    <w:rsid w:val="00444329"/>
    <w:rsid w:val="00444339"/>
    <w:rsid w:val="0044445A"/>
    <w:rsid w:val="004444F4"/>
    <w:rsid w:val="004447DC"/>
    <w:rsid w:val="00444B7E"/>
    <w:rsid w:val="00444CD3"/>
    <w:rsid w:val="00444E09"/>
    <w:rsid w:val="004452FD"/>
    <w:rsid w:val="00445D69"/>
    <w:rsid w:val="004469FD"/>
    <w:rsid w:val="00446C8D"/>
    <w:rsid w:val="00446CE4"/>
    <w:rsid w:val="00447284"/>
    <w:rsid w:val="00447797"/>
    <w:rsid w:val="0044780E"/>
    <w:rsid w:val="00447DDC"/>
    <w:rsid w:val="00450237"/>
    <w:rsid w:val="00450457"/>
    <w:rsid w:val="00451EA8"/>
    <w:rsid w:val="00451EDD"/>
    <w:rsid w:val="0045215E"/>
    <w:rsid w:val="00453570"/>
    <w:rsid w:val="00453A4E"/>
    <w:rsid w:val="0045471E"/>
    <w:rsid w:val="00454C69"/>
    <w:rsid w:val="00455143"/>
    <w:rsid w:val="00455E04"/>
    <w:rsid w:val="00456769"/>
    <w:rsid w:val="004569FD"/>
    <w:rsid w:val="00456CA8"/>
    <w:rsid w:val="0045751E"/>
    <w:rsid w:val="00457F18"/>
    <w:rsid w:val="0046002B"/>
    <w:rsid w:val="0046069C"/>
    <w:rsid w:val="00460B02"/>
    <w:rsid w:val="00460E19"/>
    <w:rsid w:val="00460E61"/>
    <w:rsid w:val="00460E7B"/>
    <w:rsid w:val="004615C2"/>
    <w:rsid w:val="00461FB8"/>
    <w:rsid w:val="0046226F"/>
    <w:rsid w:val="00462702"/>
    <w:rsid w:val="00462857"/>
    <w:rsid w:val="00462AD5"/>
    <w:rsid w:val="00463A21"/>
    <w:rsid w:val="00464530"/>
    <w:rsid w:val="0046526A"/>
    <w:rsid w:val="0046528F"/>
    <w:rsid w:val="00465AD1"/>
    <w:rsid w:val="00465EA6"/>
    <w:rsid w:val="00466897"/>
    <w:rsid w:val="004672E3"/>
    <w:rsid w:val="00467AA4"/>
    <w:rsid w:val="00467EFD"/>
    <w:rsid w:val="004706FC"/>
    <w:rsid w:val="00471615"/>
    <w:rsid w:val="00471FEC"/>
    <w:rsid w:val="004725C0"/>
    <w:rsid w:val="00472E68"/>
    <w:rsid w:val="004734A5"/>
    <w:rsid w:val="00473502"/>
    <w:rsid w:val="00473BAC"/>
    <w:rsid w:val="00473CCF"/>
    <w:rsid w:val="00473DBC"/>
    <w:rsid w:val="00473E47"/>
    <w:rsid w:val="00474027"/>
    <w:rsid w:val="004745B7"/>
    <w:rsid w:val="00475928"/>
    <w:rsid w:val="00475C8C"/>
    <w:rsid w:val="00476ABF"/>
    <w:rsid w:val="004772E0"/>
    <w:rsid w:val="00477A9C"/>
    <w:rsid w:val="00477B62"/>
    <w:rsid w:val="0048061D"/>
    <w:rsid w:val="0048108E"/>
    <w:rsid w:val="00481A2F"/>
    <w:rsid w:val="004822E3"/>
    <w:rsid w:val="00482635"/>
    <w:rsid w:val="00482AB5"/>
    <w:rsid w:val="00483B06"/>
    <w:rsid w:val="00484144"/>
    <w:rsid w:val="004841BF"/>
    <w:rsid w:val="00484D90"/>
    <w:rsid w:val="0048508C"/>
    <w:rsid w:val="004861EC"/>
    <w:rsid w:val="004863FA"/>
    <w:rsid w:val="004864D7"/>
    <w:rsid w:val="004866D7"/>
    <w:rsid w:val="00486BC4"/>
    <w:rsid w:val="00487BA4"/>
    <w:rsid w:val="004910D9"/>
    <w:rsid w:val="00491F38"/>
    <w:rsid w:val="00492ACA"/>
    <w:rsid w:val="00492E7C"/>
    <w:rsid w:val="00493332"/>
    <w:rsid w:val="00493690"/>
    <w:rsid w:val="00493A4C"/>
    <w:rsid w:val="00495AF5"/>
    <w:rsid w:val="00495D9B"/>
    <w:rsid w:val="0049604D"/>
    <w:rsid w:val="004961EF"/>
    <w:rsid w:val="00496213"/>
    <w:rsid w:val="00497337"/>
    <w:rsid w:val="00497B5B"/>
    <w:rsid w:val="004A047F"/>
    <w:rsid w:val="004A05FA"/>
    <w:rsid w:val="004A07C8"/>
    <w:rsid w:val="004A1C15"/>
    <w:rsid w:val="004A2166"/>
    <w:rsid w:val="004A2BF0"/>
    <w:rsid w:val="004A319C"/>
    <w:rsid w:val="004A347E"/>
    <w:rsid w:val="004A38D1"/>
    <w:rsid w:val="004A3C5F"/>
    <w:rsid w:val="004A3DC0"/>
    <w:rsid w:val="004A42C9"/>
    <w:rsid w:val="004A4698"/>
    <w:rsid w:val="004A4B92"/>
    <w:rsid w:val="004A4D18"/>
    <w:rsid w:val="004A59D8"/>
    <w:rsid w:val="004A6160"/>
    <w:rsid w:val="004A66B9"/>
    <w:rsid w:val="004A76D2"/>
    <w:rsid w:val="004A779A"/>
    <w:rsid w:val="004A7FB7"/>
    <w:rsid w:val="004B0B61"/>
    <w:rsid w:val="004B1C32"/>
    <w:rsid w:val="004B1FC8"/>
    <w:rsid w:val="004B3102"/>
    <w:rsid w:val="004B3970"/>
    <w:rsid w:val="004B3B99"/>
    <w:rsid w:val="004B4EA9"/>
    <w:rsid w:val="004B53B4"/>
    <w:rsid w:val="004B5A83"/>
    <w:rsid w:val="004B5D84"/>
    <w:rsid w:val="004B5DB9"/>
    <w:rsid w:val="004B5E47"/>
    <w:rsid w:val="004B68B9"/>
    <w:rsid w:val="004B6E0A"/>
    <w:rsid w:val="004C0FC4"/>
    <w:rsid w:val="004C15DD"/>
    <w:rsid w:val="004C1D37"/>
    <w:rsid w:val="004C2587"/>
    <w:rsid w:val="004C265A"/>
    <w:rsid w:val="004C3BB6"/>
    <w:rsid w:val="004C3F45"/>
    <w:rsid w:val="004C404B"/>
    <w:rsid w:val="004C4974"/>
    <w:rsid w:val="004C508E"/>
    <w:rsid w:val="004C52E2"/>
    <w:rsid w:val="004C597C"/>
    <w:rsid w:val="004C6052"/>
    <w:rsid w:val="004C7015"/>
    <w:rsid w:val="004C7619"/>
    <w:rsid w:val="004C7AB0"/>
    <w:rsid w:val="004D052C"/>
    <w:rsid w:val="004D06AE"/>
    <w:rsid w:val="004D174A"/>
    <w:rsid w:val="004D21B8"/>
    <w:rsid w:val="004D51BD"/>
    <w:rsid w:val="004D5480"/>
    <w:rsid w:val="004D587C"/>
    <w:rsid w:val="004D58DB"/>
    <w:rsid w:val="004D686B"/>
    <w:rsid w:val="004D6A98"/>
    <w:rsid w:val="004D78C4"/>
    <w:rsid w:val="004E195D"/>
    <w:rsid w:val="004E1E1C"/>
    <w:rsid w:val="004E1FD1"/>
    <w:rsid w:val="004E2E7A"/>
    <w:rsid w:val="004E2FA6"/>
    <w:rsid w:val="004E3BB0"/>
    <w:rsid w:val="004E4825"/>
    <w:rsid w:val="004E4FA5"/>
    <w:rsid w:val="004E5227"/>
    <w:rsid w:val="004E68C8"/>
    <w:rsid w:val="004E7393"/>
    <w:rsid w:val="004E7AC1"/>
    <w:rsid w:val="004F003D"/>
    <w:rsid w:val="004F0A87"/>
    <w:rsid w:val="004F154E"/>
    <w:rsid w:val="004F1683"/>
    <w:rsid w:val="004F268F"/>
    <w:rsid w:val="004F2823"/>
    <w:rsid w:val="004F29F6"/>
    <w:rsid w:val="004F2A4A"/>
    <w:rsid w:val="004F2FFB"/>
    <w:rsid w:val="004F316D"/>
    <w:rsid w:val="004F3575"/>
    <w:rsid w:val="004F3E2E"/>
    <w:rsid w:val="004F4EE2"/>
    <w:rsid w:val="004F5059"/>
    <w:rsid w:val="004F5423"/>
    <w:rsid w:val="004F566D"/>
    <w:rsid w:val="004F57B3"/>
    <w:rsid w:val="004F5DE4"/>
    <w:rsid w:val="004F65A2"/>
    <w:rsid w:val="004F6C28"/>
    <w:rsid w:val="004F7573"/>
    <w:rsid w:val="004F7CFD"/>
    <w:rsid w:val="005005BB"/>
    <w:rsid w:val="005013B2"/>
    <w:rsid w:val="00501C36"/>
    <w:rsid w:val="00502C45"/>
    <w:rsid w:val="0050348C"/>
    <w:rsid w:val="005038AD"/>
    <w:rsid w:val="00503FB0"/>
    <w:rsid w:val="00504365"/>
    <w:rsid w:val="00504387"/>
    <w:rsid w:val="00504F0C"/>
    <w:rsid w:val="005053F1"/>
    <w:rsid w:val="00506142"/>
    <w:rsid w:val="005065C2"/>
    <w:rsid w:val="0050677F"/>
    <w:rsid w:val="005067CC"/>
    <w:rsid w:val="00506D06"/>
    <w:rsid w:val="0050726C"/>
    <w:rsid w:val="00507430"/>
    <w:rsid w:val="00507EDE"/>
    <w:rsid w:val="00510B4D"/>
    <w:rsid w:val="0051148A"/>
    <w:rsid w:val="005116E8"/>
    <w:rsid w:val="00511F4E"/>
    <w:rsid w:val="00511FA1"/>
    <w:rsid w:val="005125E4"/>
    <w:rsid w:val="005125EB"/>
    <w:rsid w:val="00512774"/>
    <w:rsid w:val="0051324B"/>
    <w:rsid w:val="00513683"/>
    <w:rsid w:val="00513F71"/>
    <w:rsid w:val="005159CD"/>
    <w:rsid w:val="00515AEB"/>
    <w:rsid w:val="005163C5"/>
    <w:rsid w:val="005204DA"/>
    <w:rsid w:val="005208A9"/>
    <w:rsid w:val="005208D4"/>
    <w:rsid w:val="00520BDA"/>
    <w:rsid w:val="00521CAF"/>
    <w:rsid w:val="00522BAD"/>
    <w:rsid w:val="00523094"/>
    <w:rsid w:val="00523681"/>
    <w:rsid w:val="00523CC3"/>
    <w:rsid w:val="00523DD3"/>
    <w:rsid w:val="00523EEF"/>
    <w:rsid w:val="005240D4"/>
    <w:rsid w:val="00524464"/>
    <w:rsid w:val="005252F4"/>
    <w:rsid w:val="00526193"/>
    <w:rsid w:val="00526615"/>
    <w:rsid w:val="00526C48"/>
    <w:rsid w:val="00527043"/>
    <w:rsid w:val="00527C56"/>
    <w:rsid w:val="00530226"/>
    <w:rsid w:val="00530389"/>
    <w:rsid w:val="00530643"/>
    <w:rsid w:val="005306B0"/>
    <w:rsid w:val="005308D6"/>
    <w:rsid w:val="005316AC"/>
    <w:rsid w:val="00531EA9"/>
    <w:rsid w:val="00532C26"/>
    <w:rsid w:val="00533A8D"/>
    <w:rsid w:val="00533AAC"/>
    <w:rsid w:val="00533B26"/>
    <w:rsid w:val="00533BF5"/>
    <w:rsid w:val="00533DCF"/>
    <w:rsid w:val="00533DE1"/>
    <w:rsid w:val="005342B0"/>
    <w:rsid w:val="0053439B"/>
    <w:rsid w:val="005347CB"/>
    <w:rsid w:val="00534CED"/>
    <w:rsid w:val="005355CA"/>
    <w:rsid w:val="00535DC4"/>
    <w:rsid w:val="005364A1"/>
    <w:rsid w:val="00536529"/>
    <w:rsid w:val="00536597"/>
    <w:rsid w:val="0053666F"/>
    <w:rsid w:val="00536ECD"/>
    <w:rsid w:val="005379F4"/>
    <w:rsid w:val="0054035F"/>
    <w:rsid w:val="00540539"/>
    <w:rsid w:val="00540653"/>
    <w:rsid w:val="005406B8"/>
    <w:rsid w:val="005409E1"/>
    <w:rsid w:val="00540E02"/>
    <w:rsid w:val="005411A3"/>
    <w:rsid w:val="00542825"/>
    <w:rsid w:val="0054295E"/>
    <w:rsid w:val="00543735"/>
    <w:rsid w:val="00543776"/>
    <w:rsid w:val="005438D5"/>
    <w:rsid w:val="00543C59"/>
    <w:rsid w:val="005440E9"/>
    <w:rsid w:val="005444AC"/>
    <w:rsid w:val="00544B1C"/>
    <w:rsid w:val="00544CFD"/>
    <w:rsid w:val="00544E12"/>
    <w:rsid w:val="00544E24"/>
    <w:rsid w:val="0054539C"/>
    <w:rsid w:val="00545511"/>
    <w:rsid w:val="00545AD2"/>
    <w:rsid w:val="00546195"/>
    <w:rsid w:val="00546BCD"/>
    <w:rsid w:val="00547501"/>
    <w:rsid w:val="0055080B"/>
    <w:rsid w:val="00550C72"/>
    <w:rsid w:val="00551675"/>
    <w:rsid w:val="00552282"/>
    <w:rsid w:val="005525A6"/>
    <w:rsid w:val="0055360A"/>
    <w:rsid w:val="00553680"/>
    <w:rsid w:val="005538F6"/>
    <w:rsid w:val="00553D48"/>
    <w:rsid w:val="0055499A"/>
    <w:rsid w:val="00555BDA"/>
    <w:rsid w:val="0055779A"/>
    <w:rsid w:val="00557A5E"/>
    <w:rsid w:val="00557AE8"/>
    <w:rsid w:val="00557C2A"/>
    <w:rsid w:val="00557F84"/>
    <w:rsid w:val="00560003"/>
    <w:rsid w:val="00560C89"/>
    <w:rsid w:val="00560E6F"/>
    <w:rsid w:val="005619D0"/>
    <w:rsid w:val="005624AF"/>
    <w:rsid w:val="0056263B"/>
    <w:rsid w:val="00562D35"/>
    <w:rsid w:val="00563EE8"/>
    <w:rsid w:val="00563FF1"/>
    <w:rsid w:val="00564543"/>
    <w:rsid w:val="00564BEB"/>
    <w:rsid w:val="00565156"/>
    <w:rsid w:val="005653C3"/>
    <w:rsid w:val="005654D1"/>
    <w:rsid w:val="00565E8B"/>
    <w:rsid w:val="005672EF"/>
    <w:rsid w:val="00567A98"/>
    <w:rsid w:val="00567F81"/>
    <w:rsid w:val="005700A4"/>
    <w:rsid w:val="0057042C"/>
    <w:rsid w:val="00571470"/>
    <w:rsid w:val="005716A7"/>
    <w:rsid w:val="00571E05"/>
    <w:rsid w:val="00572128"/>
    <w:rsid w:val="00572402"/>
    <w:rsid w:val="005725F0"/>
    <w:rsid w:val="00572C07"/>
    <w:rsid w:val="00572FFB"/>
    <w:rsid w:val="00573F70"/>
    <w:rsid w:val="005748A5"/>
    <w:rsid w:val="005748FA"/>
    <w:rsid w:val="005757B3"/>
    <w:rsid w:val="00575C59"/>
    <w:rsid w:val="00575D45"/>
    <w:rsid w:val="0057630A"/>
    <w:rsid w:val="00576553"/>
    <w:rsid w:val="005775DE"/>
    <w:rsid w:val="00581036"/>
    <w:rsid w:val="00581D77"/>
    <w:rsid w:val="00582274"/>
    <w:rsid w:val="00582EC6"/>
    <w:rsid w:val="005834F3"/>
    <w:rsid w:val="0058382D"/>
    <w:rsid w:val="00583B00"/>
    <w:rsid w:val="00584C4B"/>
    <w:rsid w:val="00584D84"/>
    <w:rsid w:val="00585727"/>
    <w:rsid w:val="005857BB"/>
    <w:rsid w:val="00585E90"/>
    <w:rsid w:val="00586CE5"/>
    <w:rsid w:val="00587E39"/>
    <w:rsid w:val="00587FFC"/>
    <w:rsid w:val="00590682"/>
    <w:rsid w:val="00591044"/>
    <w:rsid w:val="00591653"/>
    <w:rsid w:val="005917CB"/>
    <w:rsid w:val="00592851"/>
    <w:rsid w:val="0059347B"/>
    <w:rsid w:val="005934FD"/>
    <w:rsid w:val="0059373D"/>
    <w:rsid w:val="0059400B"/>
    <w:rsid w:val="0059433F"/>
    <w:rsid w:val="005949D5"/>
    <w:rsid w:val="00594D61"/>
    <w:rsid w:val="00594EAD"/>
    <w:rsid w:val="00595A47"/>
    <w:rsid w:val="005965E3"/>
    <w:rsid w:val="005976EC"/>
    <w:rsid w:val="00597E25"/>
    <w:rsid w:val="005A0293"/>
    <w:rsid w:val="005A071B"/>
    <w:rsid w:val="005A1223"/>
    <w:rsid w:val="005A1547"/>
    <w:rsid w:val="005A1E7D"/>
    <w:rsid w:val="005A25EC"/>
    <w:rsid w:val="005A3CD9"/>
    <w:rsid w:val="005A4099"/>
    <w:rsid w:val="005A4845"/>
    <w:rsid w:val="005A5D76"/>
    <w:rsid w:val="005A618F"/>
    <w:rsid w:val="005A6BAC"/>
    <w:rsid w:val="005A6D6A"/>
    <w:rsid w:val="005A7CF2"/>
    <w:rsid w:val="005B03B9"/>
    <w:rsid w:val="005B03F8"/>
    <w:rsid w:val="005B0518"/>
    <w:rsid w:val="005B0623"/>
    <w:rsid w:val="005B0C1A"/>
    <w:rsid w:val="005B0CEA"/>
    <w:rsid w:val="005B12F1"/>
    <w:rsid w:val="005B1454"/>
    <w:rsid w:val="005B14D0"/>
    <w:rsid w:val="005B1722"/>
    <w:rsid w:val="005B1A64"/>
    <w:rsid w:val="005B2203"/>
    <w:rsid w:val="005B254F"/>
    <w:rsid w:val="005B2A15"/>
    <w:rsid w:val="005B2E62"/>
    <w:rsid w:val="005B3185"/>
    <w:rsid w:val="005B33F5"/>
    <w:rsid w:val="005B450A"/>
    <w:rsid w:val="005B4588"/>
    <w:rsid w:val="005B5223"/>
    <w:rsid w:val="005B6625"/>
    <w:rsid w:val="005B6C91"/>
    <w:rsid w:val="005B73DE"/>
    <w:rsid w:val="005B7ED8"/>
    <w:rsid w:val="005C1C21"/>
    <w:rsid w:val="005C2F42"/>
    <w:rsid w:val="005C30E8"/>
    <w:rsid w:val="005C325A"/>
    <w:rsid w:val="005C3CD4"/>
    <w:rsid w:val="005C5464"/>
    <w:rsid w:val="005C56F7"/>
    <w:rsid w:val="005C581D"/>
    <w:rsid w:val="005C59B2"/>
    <w:rsid w:val="005C5FF4"/>
    <w:rsid w:val="005C7E26"/>
    <w:rsid w:val="005D0247"/>
    <w:rsid w:val="005D105C"/>
    <w:rsid w:val="005D12BC"/>
    <w:rsid w:val="005D1D59"/>
    <w:rsid w:val="005D3486"/>
    <w:rsid w:val="005D3E17"/>
    <w:rsid w:val="005D410F"/>
    <w:rsid w:val="005D472E"/>
    <w:rsid w:val="005D4CE7"/>
    <w:rsid w:val="005D514D"/>
    <w:rsid w:val="005D5415"/>
    <w:rsid w:val="005D5D3B"/>
    <w:rsid w:val="005D5E32"/>
    <w:rsid w:val="005D5EEA"/>
    <w:rsid w:val="005D5FA6"/>
    <w:rsid w:val="005D6D9A"/>
    <w:rsid w:val="005D7E28"/>
    <w:rsid w:val="005D7F89"/>
    <w:rsid w:val="005E113E"/>
    <w:rsid w:val="005E1901"/>
    <w:rsid w:val="005E1BAC"/>
    <w:rsid w:val="005E4A8C"/>
    <w:rsid w:val="005E535C"/>
    <w:rsid w:val="005E5E6D"/>
    <w:rsid w:val="005E5F7A"/>
    <w:rsid w:val="005E6A12"/>
    <w:rsid w:val="005E72A7"/>
    <w:rsid w:val="005E769B"/>
    <w:rsid w:val="005F0641"/>
    <w:rsid w:val="005F2050"/>
    <w:rsid w:val="005F21E2"/>
    <w:rsid w:val="005F27DE"/>
    <w:rsid w:val="005F2B66"/>
    <w:rsid w:val="005F2BB6"/>
    <w:rsid w:val="005F3CEA"/>
    <w:rsid w:val="005F47D3"/>
    <w:rsid w:val="005F4E7C"/>
    <w:rsid w:val="005F4EE4"/>
    <w:rsid w:val="005F56C7"/>
    <w:rsid w:val="005F630D"/>
    <w:rsid w:val="005F7636"/>
    <w:rsid w:val="005F7B17"/>
    <w:rsid w:val="005F7B5F"/>
    <w:rsid w:val="005F7B67"/>
    <w:rsid w:val="0060026E"/>
    <w:rsid w:val="0060030D"/>
    <w:rsid w:val="00601FE3"/>
    <w:rsid w:val="0060284E"/>
    <w:rsid w:val="006031C1"/>
    <w:rsid w:val="0060321D"/>
    <w:rsid w:val="006032F1"/>
    <w:rsid w:val="0060334A"/>
    <w:rsid w:val="006035AE"/>
    <w:rsid w:val="00603CC5"/>
    <w:rsid w:val="00603CDF"/>
    <w:rsid w:val="00603DEE"/>
    <w:rsid w:val="006050FB"/>
    <w:rsid w:val="0060585C"/>
    <w:rsid w:val="0060630F"/>
    <w:rsid w:val="00606419"/>
    <w:rsid w:val="0060688D"/>
    <w:rsid w:val="00606D50"/>
    <w:rsid w:val="006071E5"/>
    <w:rsid w:val="00607BA6"/>
    <w:rsid w:val="00610799"/>
    <w:rsid w:val="00610D76"/>
    <w:rsid w:val="006117E1"/>
    <w:rsid w:val="0061242C"/>
    <w:rsid w:val="006126AA"/>
    <w:rsid w:val="00612771"/>
    <w:rsid w:val="006137D2"/>
    <w:rsid w:val="006146D3"/>
    <w:rsid w:val="00614AFE"/>
    <w:rsid w:val="006158AE"/>
    <w:rsid w:val="00615B01"/>
    <w:rsid w:val="00615E67"/>
    <w:rsid w:val="00615EAE"/>
    <w:rsid w:val="0061613E"/>
    <w:rsid w:val="00616343"/>
    <w:rsid w:val="00617226"/>
    <w:rsid w:val="00617DB8"/>
    <w:rsid w:val="006201FE"/>
    <w:rsid w:val="00620390"/>
    <w:rsid w:val="006203B1"/>
    <w:rsid w:val="00620695"/>
    <w:rsid w:val="00620A8F"/>
    <w:rsid w:val="00620E31"/>
    <w:rsid w:val="00620EF6"/>
    <w:rsid w:val="00620F16"/>
    <w:rsid w:val="006219CE"/>
    <w:rsid w:val="00621EAC"/>
    <w:rsid w:val="00621F00"/>
    <w:rsid w:val="006224C7"/>
    <w:rsid w:val="00622A2F"/>
    <w:rsid w:val="00622BA2"/>
    <w:rsid w:val="00622DFC"/>
    <w:rsid w:val="006232FE"/>
    <w:rsid w:val="00623746"/>
    <w:rsid w:val="00623D64"/>
    <w:rsid w:val="00624983"/>
    <w:rsid w:val="00624E42"/>
    <w:rsid w:val="00625312"/>
    <w:rsid w:val="006262C9"/>
    <w:rsid w:val="006264ED"/>
    <w:rsid w:val="0062657C"/>
    <w:rsid w:val="00626588"/>
    <w:rsid w:val="0062690D"/>
    <w:rsid w:val="006278BC"/>
    <w:rsid w:val="00630118"/>
    <w:rsid w:val="00630BCA"/>
    <w:rsid w:val="00630E13"/>
    <w:rsid w:val="00630E8D"/>
    <w:rsid w:val="00630F44"/>
    <w:rsid w:val="0063169A"/>
    <w:rsid w:val="00631B68"/>
    <w:rsid w:val="00632169"/>
    <w:rsid w:val="0063222A"/>
    <w:rsid w:val="0063224A"/>
    <w:rsid w:val="006324CC"/>
    <w:rsid w:val="00632614"/>
    <w:rsid w:val="0063281A"/>
    <w:rsid w:val="00632B55"/>
    <w:rsid w:val="00634053"/>
    <w:rsid w:val="0063498C"/>
    <w:rsid w:val="00635020"/>
    <w:rsid w:val="00635D0D"/>
    <w:rsid w:val="00635E6A"/>
    <w:rsid w:val="00640BD1"/>
    <w:rsid w:val="00640C77"/>
    <w:rsid w:val="00640D18"/>
    <w:rsid w:val="00640EDB"/>
    <w:rsid w:val="00641325"/>
    <w:rsid w:val="00641AF4"/>
    <w:rsid w:val="00641D13"/>
    <w:rsid w:val="00641FAD"/>
    <w:rsid w:val="00642585"/>
    <w:rsid w:val="00642DDD"/>
    <w:rsid w:val="00643397"/>
    <w:rsid w:val="0064339A"/>
    <w:rsid w:val="006436EF"/>
    <w:rsid w:val="0064378E"/>
    <w:rsid w:val="00643DB0"/>
    <w:rsid w:val="00644AF1"/>
    <w:rsid w:val="0064539A"/>
    <w:rsid w:val="00645607"/>
    <w:rsid w:val="00645C22"/>
    <w:rsid w:val="00646061"/>
    <w:rsid w:val="00646112"/>
    <w:rsid w:val="00646323"/>
    <w:rsid w:val="006470AA"/>
    <w:rsid w:val="00647FC3"/>
    <w:rsid w:val="006500AF"/>
    <w:rsid w:val="006502DA"/>
    <w:rsid w:val="00650E7E"/>
    <w:rsid w:val="0065126F"/>
    <w:rsid w:val="0065132C"/>
    <w:rsid w:val="006518B8"/>
    <w:rsid w:val="006518D5"/>
    <w:rsid w:val="00651E31"/>
    <w:rsid w:val="00651EB9"/>
    <w:rsid w:val="00652F5F"/>
    <w:rsid w:val="00653E8E"/>
    <w:rsid w:val="00655C35"/>
    <w:rsid w:val="00655FC7"/>
    <w:rsid w:val="00656273"/>
    <w:rsid w:val="00656B51"/>
    <w:rsid w:val="00657820"/>
    <w:rsid w:val="00657944"/>
    <w:rsid w:val="00657B1D"/>
    <w:rsid w:val="006601EA"/>
    <w:rsid w:val="006605CB"/>
    <w:rsid w:val="006607B9"/>
    <w:rsid w:val="00661030"/>
    <w:rsid w:val="00661314"/>
    <w:rsid w:val="00661BA4"/>
    <w:rsid w:val="006626EA"/>
    <w:rsid w:val="006636B7"/>
    <w:rsid w:val="0066383B"/>
    <w:rsid w:val="00663A20"/>
    <w:rsid w:val="006640C1"/>
    <w:rsid w:val="006650B1"/>
    <w:rsid w:val="00665FCF"/>
    <w:rsid w:val="00666116"/>
    <w:rsid w:val="00666A0D"/>
    <w:rsid w:val="00666FD6"/>
    <w:rsid w:val="00667045"/>
    <w:rsid w:val="00667D2B"/>
    <w:rsid w:val="006700A5"/>
    <w:rsid w:val="0067056C"/>
    <w:rsid w:val="006706E0"/>
    <w:rsid w:val="00670994"/>
    <w:rsid w:val="00670DDA"/>
    <w:rsid w:val="00671BDB"/>
    <w:rsid w:val="00671E7D"/>
    <w:rsid w:val="0067205E"/>
    <w:rsid w:val="00672AD9"/>
    <w:rsid w:val="00674212"/>
    <w:rsid w:val="006744C8"/>
    <w:rsid w:val="006745CA"/>
    <w:rsid w:val="00674726"/>
    <w:rsid w:val="006757CA"/>
    <w:rsid w:val="006767A9"/>
    <w:rsid w:val="00676D47"/>
    <w:rsid w:val="006774C5"/>
    <w:rsid w:val="00680B88"/>
    <w:rsid w:val="00680FDB"/>
    <w:rsid w:val="00681058"/>
    <w:rsid w:val="00681213"/>
    <w:rsid w:val="006818D4"/>
    <w:rsid w:val="00681A36"/>
    <w:rsid w:val="00682EFA"/>
    <w:rsid w:val="006836F5"/>
    <w:rsid w:val="00683C8E"/>
    <w:rsid w:val="006852D2"/>
    <w:rsid w:val="006852E8"/>
    <w:rsid w:val="00685C3E"/>
    <w:rsid w:val="00685FFC"/>
    <w:rsid w:val="0068638E"/>
    <w:rsid w:val="006865A6"/>
    <w:rsid w:val="006865AC"/>
    <w:rsid w:val="006872A1"/>
    <w:rsid w:val="006874C1"/>
    <w:rsid w:val="00690DCD"/>
    <w:rsid w:val="006913F1"/>
    <w:rsid w:val="00691988"/>
    <w:rsid w:val="006919F6"/>
    <w:rsid w:val="00691B88"/>
    <w:rsid w:val="00691F9C"/>
    <w:rsid w:val="006928A8"/>
    <w:rsid w:val="006928DB"/>
    <w:rsid w:val="00692C29"/>
    <w:rsid w:val="00693130"/>
    <w:rsid w:val="006936F6"/>
    <w:rsid w:val="00693976"/>
    <w:rsid w:val="00693A3B"/>
    <w:rsid w:val="006940AA"/>
    <w:rsid w:val="0069525E"/>
    <w:rsid w:val="006953BF"/>
    <w:rsid w:val="006954E0"/>
    <w:rsid w:val="00696030"/>
    <w:rsid w:val="006965C8"/>
    <w:rsid w:val="006A0616"/>
    <w:rsid w:val="006A0D9A"/>
    <w:rsid w:val="006A1828"/>
    <w:rsid w:val="006A1A94"/>
    <w:rsid w:val="006A1D1A"/>
    <w:rsid w:val="006A24FF"/>
    <w:rsid w:val="006A29A7"/>
    <w:rsid w:val="006A4351"/>
    <w:rsid w:val="006A4404"/>
    <w:rsid w:val="006A4821"/>
    <w:rsid w:val="006A4924"/>
    <w:rsid w:val="006A4BE7"/>
    <w:rsid w:val="006A4C48"/>
    <w:rsid w:val="006A544B"/>
    <w:rsid w:val="006A5AAF"/>
    <w:rsid w:val="006A5F1B"/>
    <w:rsid w:val="006A6802"/>
    <w:rsid w:val="006A6D50"/>
    <w:rsid w:val="006A6F65"/>
    <w:rsid w:val="006A7209"/>
    <w:rsid w:val="006A7441"/>
    <w:rsid w:val="006B0B84"/>
    <w:rsid w:val="006B0D66"/>
    <w:rsid w:val="006B0F3A"/>
    <w:rsid w:val="006B0FBE"/>
    <w:rsid w:val="006B1062"/>
    <w:rsid w:val="006B34EB"/>
    <w:rsid w:val="006B36F4"/>
    <w:rsid w:val="006B38AC"/>
    <w:rsid w:val="006B4085"/>
    <w:rsid w:val="006B4D4D"/>
    <w:rsid w:val="006B579A"/>
    <w:rsid w:val="006B648C"/>
    <w:rsid w:val="006B6B06"/>
    <w:rsid w:val="006B6DD5"/>
    <w:rsid w:val="006B7CBB"/>
    <w:rsid w:val="006C0AD9"/>
    <w:rsid w:val="006C0D37"/>
    <w:rsid w:val="006C0D60"/>
    <w:rsid w:val="006C102F"/>
    <w:rsid w:val="006C122D"/>
    <w:rsid w:val="006C1D78"/>
    <w:rsid w:val="006C218F"/>
    <w:rsid w:val="006C227A"/>
    <w:rsid w:val="006C2759"/>
    <w:rsid w:val="006C2C27"/>
    <w:rsid w:val="006C3B3B"/>
    <w:rsid w:val="006C3CF3"/>
    <w:rsid w:val="006C413F"/>
    <w:rsid w:val="006C4C9D"/>
    <w:rsid w:val="006C4D11"/>
    <w:rsid w:val="006C5C0F"/>
    <w:rsid w:val="006C6068"/>
    <w:rsid w:val="006C6283"/>
    <w:rsid w:val="006C65DB"/>
    <w:rsid w:val="006C6BDE"/>
    <w:rsid w:val="006C74B1"/>
    <w:rsid w:val="006D076A"/>
    <w:rsid w:val="006D0874"/>
    <w:rsid w:val="006D0DDB"/>
    <w:rsid w:val="006D0FED"/>
    <w:rsid w:val="006D158B"/>
    <w:rsid w:val="006D176E"/>
    <w:rsid w:val="006D1B91"/>
    <w:rsid w:val="006D1EE4"/>
    <w:rsid w:val="006D37B2"/>
    <w:rsid w:val="006D3EAA"/>
    <w:rsid w:val="006D406B"/>
    <w:rsid w:val="006D500E"/>
    <w:rsid w:val="006D51AD"/>
    <w:rsid w:val="006D549F"/>
    <w:rsid w:val="006D56FC"/>
    <w:rsid w:val="006D5748"/>
    <w:rsid w:val="006D582E"/>
    <w:rsid w:val="006D621B"/>
    <w:rsid w:val="006D6AB6"/>
    <w:rsid w:val="006D6D78"/>
    <w:rsid w:val="006D6F31"/>
    <w:rsid w:val="006D74E7"/>
    <w:rsid w:val="006D7F5A"/>
    <w:rsid w:val="006D7FDE"/>
    <w:rsid w:val="006E04E7"/>
    <w:rsid w:val="006E0B9D"/>
    <w:rsid w:val="006E1448"/>
    <w:rsid w:val="006E2423"/>
    <w:rsid w:val="006E2796"/>
    <w:rsid w:val="006E34FA"/>
    <w:rsid w:val="006E351B"/>
    <w:rsid w:val="006E36D3"/>
    <w:rsid w:val="006E3B01"/>
    <w:rsid w:val="006E3D7B"/>
    <w:rsid w:val="006E410E"/>
    <w:rsid w:val="006E4A41"/>
    <w:rsid w:val="006E4B40"/>
    <w:rsid w:val="006E4FFF"/>
    <w:rsid w:val="006E62DF"/>
    <w:rsid w:val="006E6B8C"/>
    <w:rsid w:val="006E6ECA"/>
    <w:rsid w:val="006E70CA"/>
    <w:rsid w:val="006E7E13"/>
    <w:rsid w:val="006F0915"/>
    <w:rsid w:val="006F1456"/>
    <w:rsid w:val="006F1B2D"/>
    <w:rsid w:val="006F1BDF"/>
    <w:rsid w:val="006F243E"/>
    <w:rsid w:val="006F2F7A"/>
    <w:rsid w:val="006F3160"/>
    <w:rsid w:val="006F3BBD"/>
    <w:rsid w:val="006F3C76"/>
    <w:rsid w:val="006F3DEE"/>
    <w:rsid w:val="006F408E"/>
    <w:rsid w:val="006F453C"/>
    <w:rsid w:val="006F45F6"/>
    <w:rsid w:val="006F5D49"/>
    <w:rsid w:val="006F5E70"/>
    <w:rsid w:val="006F653C"/>
    <w:rsid w:val="006F66EC"/>
    <w:rsid w:val="006F6FED"/>
    <w:rsid w:val="006F7194"/>
    <w:rsid w:val="006F79DD"/>
    <w:rsid w:val="006F7DA7"/>
    <w:rsid w:val="006F7DD2"/>
    <w:rsid w:val="007000FA"/>
    <w:rsid w:val="00701814"/>
    <w:rsid w:val="00701C8A"/>
    <w:rsid w:val="00702DF5"/>
    <w:rsid w:val="00703313"/>
    <w:rsid w:val="00703357"/>
    <w:rsid w:val="00703384"/>
    <w:rsid w:val="00703E71"/>
    <w:rsid w:val="00704734"/>
    <w:rsid w:val="00704921"/>
    <w:rsid w:val="00704937"/>
    <w:rsid w:val="00704A27"/>
    <w:rsid w:val="00704B3C"/>
    <w:rsid w:val="00705188"/>
    <w:rsid w:val="00705498"/>
    <w:rsid w:val="00706109"/>
    <w:rsid w:val="007062B2"/>
    <w:rsid w:val="0070678B"/>
    <w:rsid w:val="00706BE2"/>
    <w:rsid w:val="00707178"/>
    <w:rsid w:val="0070757B"/>
    <w:rsid w:val="00707ACC"/>
    <w:rsid w:val="00707F1B"/>
    <w:rsid w:val="007105E6"/>
    <w:rsid w:val="00710B27"/>
    <w:rsid w:val="00710FB7"/>
    <w:rsid w:val="0071170C"/>
    <w:rsid w:val="00711973"/>
    <w:rsid w:val="0071369D"/>
    <w:rsid w:val="007143C0"/>
    <w:rsid w:val="007157B4"/>
    <w:rsid w:val="007162A2"/>
    <w:rsid w:val="00717063"/>
    <w:rsid w:val="00717103"/>
    <w:rsid w:val="007209CF"/>
    <w:rsid w:val="00721ACC"/>
    <w:rsid w:val="00722E26"/>
    <w:rsid w:val="007236B1"/>
    <w:rsid w:val="007246C2"/>
    <w:rsid w:val="007247BA"/>
    <w:rsid w:val="007249A3"/>
    <w:rsid w:val="0072524F"/>
    <w:rsid w:val="007267E2"/>
    <w:rsid w:val="007279E6"/>
    <w:rsid w:val="0073007A"/>
    <w:rsid w:val="00730F99"/>
    <w:rsid w:val="007317D9"/>
    <w:rsid w:val="00731910"/>
    <w:rsid w:val="00731EB4"/>
    <w:rsid w:val="007327A2"/>
    <w:rsid w:val="00732BAE"/>
    <w:rsid w:val="00732C8E"/>
    <w:rsid w:val="00732CEC"/>
    <w:rsid w:val="00733DB8"/>
    <w:rsid w:val="00734793"/>
    <w:rsid w:val="00735443"/>
    <w:rsid w:val="007354FC"/>
    <w:rsid w:val="00735F57"/>
    <w:rsid w:val="00736162"/>
    <w:rsid w:val="00736D22"/>
    <w:rsid w:val="007372FD"/>
    <w:rsid w:val="00737821"/>
    <w:rsid w:val="00737E96"/>
    <w:rsid w:val="00737F40"/>
    <w:rsid w:val="007404CD"/>
    <w:rsid w:val="00740C2B"/>
    <w:rsid w:val="00741D0C"/>
    <w:rsid w:val="00741DF3"/>
    <w:rsid w:val="00741F26"/>
    <w:rsid w:val="00741FE0"/>
    <w:rsid w:val="00742690"/>
    <w:rsid w:val="007429CD"/>
    <w:rsid w:val="00743400"/>
    <w:rsid w:val="00743BF3"/>
    <w:rsid w:val="0074440F"/>
    <w:rsid w:val="007449B4"/>
    <w:rsid w:val="007504CF"/>
    <w:rsid w:val="007509A4"/>
    <w:rsid w:val="00751A0E"/>
    <w:rsid w:val="00751A13"/>
    <w:rsid w:val="00751D75"/>
    <w:rsid w:val="00752217"/>
    <w:rsid w:val="0075232B"/>
    <w:rsid w:val="00752701"/>
    <w:rsid w:val="007527D4"/>
    <w:rsid w:val="00752EF2"/>
    <w:rsid w:val="00753CC9"/>
    <w:rsid w:val="00753F34"/>
    <w:rsid w:val="00753F55"/>
    <w:rsid w:val="007547E8"/>
    <w:rsid w:val="00754AD6"/>
    <w:rsid w:val="00754CBA"/>
    <w:rsid w:val="007551C8"/>
    <w:rsid w:val="00755F91"/>
    <w:rsid w:val="007563AA"/>
    <w:rsid w:val="0075652C"/>
    <w:rsid w:val="00756E47"/>
    <w:rsid w:val="00756F36"/>
    <w:rsid w:val="0076093F"/>
    <w:rsid w:val="0076113E"/>
    <w:rsid w:val="007621EE"/>
    <w:rsid w:val="00762526"/>
    <w:rsid w:val="00762AAD"/>
    <w:rsid w:val="00763BAE"/>
    <w:rsid w:val="00763DB7"/>
    <w:rsid w:val="007644E5"/>
    <w:rsid w:val="00764516"/>
    <w:rsid w:val="007656FC"/>
    <w:rsid w:val="00766105"/>
    <w:rsid w:val="007663FE"/>
    <w:rsid w:val="00766ADD"/>
    <w:rsid w:val="00766C3C"/>
    <w:rsid w:val="007674E1"/>
    <w:rsid w:val="0076759A"/>
    <w:rsid w:val="00767CCC"/>
    <w:rsid w:val="00770D1C"/>
    <w:rsid w:val="00770F88"/>
    <w:rsid w:val="007716A7"/>
    <w:rsid w:val="007718A2"/>
    <w:rsid w:val="00772889"/>
    <w:rsid w:val="00774ED3"/>
    <w:rsid w:val="0077529D"/>
    <w:rsid w:val="007757DC"/>
    <w:rsid w:val="00775A68"/>
    <w:rsid w:val="00775EC1"/>
    <w:rsid w:val="00776371"/>
    <w:rsid w:val="007763E3"/>
    <w:rsid w:val="007764E5"/>
    <w:rsid w:val="00776AE3"/>
    <w:rsid w:val="00776DF2"/>
    <w:rsid w:val="0077783F"/>
    <w:rsid w:val="00777B84"/>
    <w:rsid w:val="00780D7D"/>
    <w:rsid w:val="00780E5A"/>
    <w:rsid w:val="007811DB"/>
    <w:rsid w:val="007817DE"/>
    <w:rsid w:val="007818E7"/>
    <w:rsid w:val="00781E56"/>
    <w:rsid w:val="00782A9F"/>
    <w:rsid w:val="00782BE3"/>
    <w:rsid w:val="00783B21"/>
    <w:rsid w:val="00783FF7"/>
    <w:rsid w:val="007842D9"/>
    <w:rsid w:val="00784724"/>
    <w:rsid w:val="00785793"/>
    <w:rsid w:val="00785932"/>
    <w:rsid w:val="0078604A"/>
    <w:rsid w:val="00787330"/>
    <w:rsid w:val="00787428"/>
    <w:rsid w:val="007875D9"/>
    <w:rsid w:val="00787998"/>
    <w:rsid w:val="00787D49"/>
    <w:rsid w:val="007909A3"/>
    <w:rsid w:val="007916CA"/>
    <w:rsid w:val="00791EF3"/>
    <w:rsid w:val="00792E07"/>
    <w:rsid w:val="00793B8A"/>
    <w:rsid w:val="007941D1"/>
    <w:rsid w:val="007952BE"/>
    <w:rsid w:val="00795573"/>
    <w:rsid w:val="00795D08"/>
    <w:rsid w:val="007960D0"/>
    <w:rsid w:val="00797B6D"/>
    <w:rsid w:val="00797BCE"/>
    <w:rsid w:val="00797BE8"/>
    <w:rsid w:val="00797FDB"/>
    <w:rsid w:val="007A0261"/>
    <w:rsid w:val="007A07B2"/>
    <w:rsid w:val="007A0B4E"/>
    <w:rsid w:val="007A1658"/>
    <w:rsid w:val="007A1E89"/>
    <w:rsid w:val="007A2045"/>
    <w:rsid w:val="007A236E"/>
    <w:rsid w:val="007A2CC9"/>
    <w:rsid w:val="007A3155"/>
    <w:rsid w:val="007A32A1"/>
    <w:rsid w:val="007A3453"/>
    <w:rsid w:val="007A3FD6"/>
    <w:rsid w:val="007A4069"/>
    <w:rsid w:val="007A452C"/>
    <w:rsid w:val="007A5CFB"/>
    <w:rsid w:val="007A625B"/>
    <w:rsid w:val="007A65A1"/>
    <w:rsid w:val="007A691A"/>
    <w:rsid w:val="007A7370"/>
    <w:rsid w:val="007B0086"/>
    <w:rsid w:val="007B018B"/>
    <w:rsid w:val="007B0194"/>
    <w:rsid w:val="007B2C8D"/>
    <w:rsid w:val="007B3673"/>
    <w:rsid w:val="007B3D15"/>
    <w:rsid w:val="007B40C0"/>
    <w:rsid w:val="007B41E7"/>
    <w:rsid w:val="007B634D"/>
    <w:rsid w:val="007B7786"/>
    <w:rsid w:val="007B77D5"/>
    <w:rsid w:val="007C0623"/>
    <w:rsid w:val="007C0625"/>
    <w:rsid w:val="007C0664"/>
    <w:rsid w:val="007C08C8"/>
    <w:rsid w:val="007C0AF0"/>
    <w:rsid w:val="007C18BD"/>
    <w:rsid w:val="007C2475"/>
    <w:rsid w:val="007C2842"/>
    <w:rsid w:val="007C293B"/>
    <w:rsid w:val="007C3103"/>
    <w:rsid w:val="007C333E"/>
    <w:rsid w:val="007C33DD"/>
    <w:rsid w:val="007C3516"/>
    <w:rsid w:val="007C4024"/>
    <w:rsid w:val="007C40D1"/>
    <w:rsid w:val="007C42DA"/>
    <w:rsid w:val="007C4831"/>
    <w:rsid w:val="007C505D"/>
    <w:rsid w:val="007C5651"/>
    <w:rsid w:val="007C5DE5"/>
    <w:rsid w:val="007C5ED9"/>
    <w:rsid w:val="007C5F80"/>
    <w:rsid w:val="007C6E49"/>
    <w:rsid w:val="007D0C3C"/>
    <w:rsid w:val="007D0E0A"/>
    <w:rsid w:val="007D1B8D"/>
    <w:rsid w:val="007D2171"/>
    <w:rsid w:val="007D25FE"/>
    <w:rsid w:val="007D2B9F"/>
    <w:rsid w:val="007D2D6F"/>
    <w:rsid w:val="007D341F"/>
    <w:rsid w:val="007D35B4"/>
    <w:rsid w:val="007D35CD"/>
    <w:rsid w:val="007D39D6"/>
    <w:rsid w:val="007D4724"/>
    <w:rsid w:val="007D49C8"/>
    <w:rsid w:val="007D57D3"/>
    <w:rsid w:val="007D5B2A"/>
    <w:rsid w:val="007D66D5"/>
    <w:rsid w:val="007D782E"/>
    <w:rsid w:val="007D7FA7"/>
    <w:rsid w:val="007E0B72"/>
    <w:rsid w:val="007E1067"/>
    <w:rsid w:val="007E120A"/>
    <w:rsid w:val="007E1553"/>
    <w:rsid w:val="007E1688"/>
    <w:rsid w:val="007E1A31"/>
    <w:rsid w:val="007E1E51"/>
    <w:rsid w:val="007E236E"/>
    <w:rsid w:val="007E2E5D"/>
    <w:rsid w:val="007E3242"/>
    <w:rsid w:val="007E3736"/>
    <w:rsid w:val="007E389A"/>
    <w:rsid w:val="007E3910"/>
    <w:rsid w:val="007E43C2"/>
    <w:rsid w:val="007E4537"/>
    <w:rsid w:val="007E475D"/>
    <w:rsid w:val="007E4CFF"/>
    <w:rsid w:val="007E4D77"/>
    <w:rsid w:val="007E5116"/>
    <w:rsid w:val="007E52BE"/>
    <w:rsid w:val="007E5E07"/>
    <w:rsid w:val="007E6B49"/>
    <w:rsid w:val="007E6CD9"/>
    <w:rsid w:val="007E7820"/>
    <w:rsid w:val="007E7C1F"/>
    <w:rsid w:val="007E7FAC"/>
    <w:rsid w:val="007F0411"/>
    <w:rsid w:val="007F0C2C"/>
    <w:rsid w:val="007F1431"/>
    <w:rsid w:val="007F1C3D"/>
    <w:rsid w:val="007F1D5C"/>
    <w:rsid w:val="007F26CA"/>
    <w:rsid w:val="007F29CC"/>
    <w:rsid w:val="007F2A2E"/>
    <w:rsid w:val="007F2D4E"/>
    <w:rsid w:val="007F32CB"/>
    <w:rsid w:val="007F3509"/>
    <w:rsid w:val="007F3617"/>
    <w:rsid w:val="007F3D8D"/>
    <w:rsid w:val="007F4818"/>
    <w:rsid w:val="007F48CF"/>
    <w:rsid w:val="007F5123"/>
    <w:rsid w:val="007F584C"/>
    <w:rsid w:val="007F5D5E"/>
    <w:rsid w:val="007F6269"/>
    <w:rsid w:val="007F686D"/>
    <w:rsid w:val="007F7235"/>
    <w:rsid w:val="007F73F3"/>
    <w:rsid w:val="007F7E82"/>
    <w:rsid w:val="008001D4"/>
    <w:rsid w:val="00800410"/>
    <w:rsid w:val="008004BC"/>
    <w:rsid w:val="008008F3"/>
    <w:rsid w:val="00800A11"/>
    <w:rsid w:val="0080112E"/>
    <w:rsid w:val="00801152"/>
    <w:rsid w:val="008024EE"/>
    <w:rsid w:val="00802DC6"/>
    <w:rsid w:val="008030F6"/>
    <w:rsid w:val="0080353F"/>
    <w:rsid w:val="008039DE"/>
    <w:rsid w:val="008040A2"/>
    <w:rsid w:val="00804680"/>
    <w:rsid w:val="008047AE"/>
    <w:rsid w:val="00805293"/>
    <w:rsid w:val="0080533F"/>
    <w:rsid w:val="0080665B"/>
    <w:rsid w:val="0080766C"/>
    <w:rsid w:val="008105F1"/>
    <w:rsid w:val="00811048"/>
    <w:rsid w:val="00811173"/>
    <w:rsid w:val="00811E1F"/>
    <w:rsid w:val="0081250A"/>
    <w:rsid w:val="00812680"/>
    <w:rsid w:val="0081272E"/>
    <w:rsid w:val="00812A73"/>
    <w:rsid w:val="00813460"/>
    <w:rsid w:val="008138FE"/>
    <w:rsid w:val="00813A2A"/>
    <w:rsid w:val="00814C9B"/>
    <w:rsid w:val="00814E1B"/>
    <w:rsid w:val="00815042"/>
    <w:rsid w:val="00815AEF"/>
    <w:rsid w:val="00815D77"/>
    <w:rsid w:val="00816DAD"/>
    <w:rsid w:val="00816EAC"/>
    <w:rsid w:val="00816FBD"/>
    <w:rsid w:val="00817420"/>
    <w:rsid w:val="00817B5A"/>
    <w:rsid w:val="00820168"/>
    <w:rsid w:val="008202C1"/>
    <w:rsid w:val="00820AB9"/>
    <w:rsid w:val="00821458"/>
    <w:rsid w:val="008221AD"/>
    <w:rsid w:val="008225B4"/>
    <w:rsid w:val="0082285E"/>
    <w:rsid w:val="0082303E"/>
    <w:rsid w:val="00823877"/>
    <w:rsid w:val="008238C8"/>
    <w:rsid w:val="00823999"/>
    <w:rsid w:val="00823E83"/>
    <w:rsid w:val="00824043"/>
    <w:rsid w:val="00824185"/>
    <w:rsid w:val="008248A5"/>
    <w:rsid w:val="00825143"/>
    <w:rsid w:val="008258BC"/>
    <w:rsid w:val="00825FAF"/>
    <w:rsid w:val="0082638F"/>
    <w:rsid w:val="00826A60"/>
    <w:rsid w:val="00826FEB"/>
    <w:rsid w:val="00827272"/>
    <w:rsid w:val="008276E3"/>
    <w:rsid w:val="008279E7"/>
    <w:rsid w:val="00827E7E"/>
    <w:rsid w:val="00830573"/>
    <w:rsid w:val="00830BFD"/>
    <w:rsid w:val="00830E50"/>
    <w:rsid w:val="0083116C"/>
    <w:rsid w:val="008313F7"/>
    <w:rsid w:val="008314D8"/>
    <w:rsid w:val="008316E3"/>
    <w:rsid w:val="0083300E"/>
    <w:rsid w:val="008356E9"/>
    <w:rsid w:val="00835BCB"/>
    <w:rsid w:val="00836D9D"/>
    <w:rsid w:val="00836EFB"/>
    <w:rsid w:val="008370C4"/>
    <w:rsid w:val="0084011A"/>
    <w:rsid w:val="0084056C"/>
    <w:rsid w:val="00840A36"/>
    <w:rsid w:val="00841425"/>
    <w:rsid w:val="00841719"/>
    <w:rsid w:val="00841AF1"/>
    <w:rsid w:val="0084273A"/>
    <w:rsid w:val="00842B35"/>
    <w:rsid w:val="00842D9A"/>
    <w:rsid w:val="0084318B"/>
    <w:rsid w:val="008440E9"/>
    <w:rsid w:val="00844E4A"/>
    <w:rsid w:val="00845CE1"/>
    <w:rsid w:val="00845F08"/>
    <w:rsid w:val="0084622E"/>
    <w:rsid w:val="00846C02"/>
    <w:rsid w:val="00846F80"/>
    <w:rsid w:val="00850035"/>
    <w:rsid w:val="008508F6"/>
    <w:rsid w:val="00850E55"/>
    <w:rsid w:val="00852D73"/>
    <w:rsid w:val="0085350C"/>
    <w:rsid w:val="00853ABA"/>
    <w:rsid w:val="00853D96"/>
    <w:rsid w:val="008549EB"/>
    <w:rsid w:val="00854B96"/>
    <w:rsid w:val="00855256"/>
    <w:rsid w:val="0085565A"/>
    <w:rsid w:val="00855D6D"/>
    <w:rsid w:val="00855E5B"/>
    <w:rsid w:val="0085656E"/>
    <w:rsid w:val="00856618"/>
    <w:rsid w:val="00856E08"/>
    <w:rsid w:val="00860166"/>
    <w:rsid w:val="0086039B"/>
    <w:rsid w:val="00862126"/>
    <w:rsid w:val="008626EF"/>
    <w:rsid w:val="008628D2"/>
    <w:rsid w:val="0086342D"/>
    <w:rsid w:val="00863775"/>
    <w:rsid w:val="00863968"/>
    <w:rsid w:val="008645C9"/>
    <w:rsid w:val="008647AF"/>
    <w:rsid w:val="00866940"/>
    <w:rsid w:val="00866E66"/>
    <w:rsid w:val="00870B28"/>
    <w:rsid w:val="00870C05"/>
    <w:rsid w:val="00870D64"/>
    <w:rsid w:val="00870E0C"/>
    <w:rsid w:val="00870FB1"/>
    <w:rsid w:val="00871902"/>
    <w:rsid w:val="00871EF8"/>
    <w:rsid w:val="008722F9"/>
    <w:rsid w:val="00872598"/>
    <w:rsid w:val="008739CF"/>
    <w:rsid w:val="00874408"/>
    <w:rsid w:val="0087473C"/>
    <w:rsid w:val="0087555B"/>
    <w:rsid w:val="00875D55"/>
    <w:rsid w:val="00876660"/>
    <w:rsid w:val="00876A3B"/>
    <w:rsid w:val="00876BD7"/>
    <w:rsid w:val="008777FC"/>
    <w:rsid w:val="0087795F"/>
    <w:rsid w:val="0088070F"/>
    <w:rsid w:val="008821DE"/>
    <w:rsid w:val="008839A6"/>
    <w:rsid w:val="008842F5"/>
    <w:rsid w:val="00884638"/>
    <w:rsid w:val="00884B19"/>
    <w:rsid w:val="00884D8A"/>
    <w:rsid w:val="0088515F"/>
    <w:rsid w:val="00885D04"/>
    <w:rsid w:val="008865A8"/>
    <w:rsid w:val="00886716"/>
    <w:rsid w:val="00886AFB"/>
    <w:rsid w:val="00887A16"/>
    <w:rsid w:val="00887B0E"/>
    <w:rsid w:val="0089047E"/>
    <w:rsid w:val="00890580"/>
    <w:rsid w:val="00890A68"/>
    <w:rsid w:val="00890CD9"/>
    <w:rsid w:val="00890F9B"/>
    <w:rsid w:val="0089257F"/>
    <w:rsid w:val="008925B7"/>
    <w:rsid w:val="00892B28"/>
    <w:rsid w:val="00893425"/>
    <w:rsid w:val="00893760"/>
    <w:rsid w:val="00893F29"/>
    <w:rsid w:val="008946D2"/>
    <w:rsid w:val="00894938"/>
    <w:rsid w:val="00895068"/>
    <w:rsid w:val="00895AB9"/>
    <w:rsid w:val="00896324"/>
    <w:rsid w:val="008965BF"/>
    <w:rsid w:val="008967C9"/>
    <w:rsid w:val="00896E5B"/>
    <w:rsid w:val="00896F44"/>
    <w:rsid w:val="00897183"/>
    <w:rsid w:val="00897293"/>
    <w:rsid w:val="00897336"/>
    <w:rsid w:val="00897C5A"/>
    <w:rsid w:val="008A04FF"/>
    <w:rsid w:val="008A06A7"/>
    <w:rsid w:val="008A0BE8"/>
    <w:rsid w:val="008A0F0C"/>
    <w:rsid w:val="008A1180"/>
    <w:rsid w:val="008A1953"/>
    <w:rsid w:val="008A1A42"/>
    <w:rsid w:val="008A28A8"/>
    <w:rsid w:val="008A298F"/>
    <w:rsid w:val="008A2A2B"/>
    <w:rsid w:val="008A381B"/>
    <w:rsid w:val="008A3A8B"/>
    <w:rsid w:val="008A3AFA"/>
    <w:rsid w:val="008A4921"/>
    <w:rsid w:val="008A5ACC"/>
    <w:rsid w:val="008A68F8"/>
    <w:rsid w:val="008A6930"/>
    <w:rsid w:val="008A6CFD"/>
    <w:rsid w:val="008A6F48"/>
    <w:rsid w:val="008A71E9"/>
    <w:rsid w:val="008A7337"/>
    <w:rsid w:val="008A75F2"/>
    <w:rsid w:val="008B00ED"/>
    <w:rsid w:val="008B048A"/>
    <w:rsid w:val="008B0B54"/>
    <w:rsid w:val="008B0E83"/>
    <w:rsid w:val="008B1234"/>
    <w:rsid w:val="008B1521"/>
    <w:rsid w:val="008B208C"/>
    <w:rsid w:val="008B23D5"/>
    <w:rsid w:val="008B2FD7"/>
    <w:rsid w:val="008B336A"/>
    <w:rsid w:val="008B3687"/>
    <w:rsid w:val="008B39AE"/>
    <w:rsid w:val="008B3EA0"/>
    <w:rsid w:val="008B4AD3"/>
    <w:rsid w:val="008B5252"/>
    <w:rsid w:val="008B534D"/>
    <w:rsid w:val="008B53D5"/>
    <w:rsid w:val="008B5586"/>
    <w:rsid w:val="008B5667"/>
    <w:rsid w:val="008B59B3"/>
    <w:rsid w:val="008B5A7E"/>
    <w:rsid w:val="008B6093"/>
    <w:rsid w:val="008B7034"/>
    <w:rsid w:val="008C0029"/>
    <w:rsid w:val="008C033D"/>
    <w:rsid w:val="008C0DA6"/>
    <w:rsid w:val="008C16D0"/>
    <w:rsid w:val="008C252A"/>
    <w:rsid w:val="008C2A8B"/>
    <w:rsid w:val="008C4761"/>
    <w:rsid w:val="008C53B7"/>
    <w:rsid w:val="008C566D"/>
    <w:rsid w:val="008C594B"/>
    <w:rsid w:val="008C5963"/>
    <w:rsid w:val="008C5E1A"/>
    <w:rsid w:val="008C5E79"/>
    <w:rsid w:val="008C758A"/>
    <w:rsid w:val="008C778E"/>
    <w:rsid w:val="008C77A9"/>
    <w:rsid w:val="008C7D74"/>
    <w:rsid w:val="008D07E3"/>
    <w:rsid w:val="008D2054"/>
    <w:rsid w:val="008D22E3"/>
    <w:rsid w:val="008D247B"/>
    <w:rsid w:val="008D2784"/>
    <w:rsid w:val="008D2A20"/>
    <w:rsid w:val="008D2CA0"/>
    <w:rsid w:val="008D45E4"/>
    <w:rsid w:val="008D4755"/>
    <w:rsid w:val="008D4CAD"/>
    <w:rsid w:val="008D5024"/>
    <w:rsid w:val="008D57D1"/>
    <w:rsid w:val="008D59E9"/>
    <w:rsid w:val="008D6389"/>
    <w:rsid w:val="008D6711"/>
    <w:rsid w:val="008D69FA"/>
    <w:rsid w:val="008D71E6"/>
    <w:rsid w:val="008D720E"/>
    <w:rsid w:val="008D78A5"/>
    <w:rsid w:val="008D7BA6"/>
    <w:rsid w:val="008E0005"/>
    <w:rsid w:val="008E0175"/>
    <w:rsid w:val="008E0FC9"/>
    <w:rsid w:val="008E1FAB"/>
    <w:rsid w:val="008E30EB"/>
    <w:rsid w:val="008E383D"/>
    <w:rsid w:val="008E3B8B"/>
    <w:rsid w:val="008E4546"/>
    <w:rsid w:val="008E45E1"/>
    <w:rsid w:val="008E4D47"/>
    <w:rsid w:val="008E510A"/>
    <w:rsid w:val="008E52A6"/>
    <w:rsid w:val="008E5E80"/>
    <w:rsid w:val="008F097C"/>
    <w:rsid w:val="008F09D9"/>
    <w:rsid w:val="008F18A5"/>
    <w:rsid w:val="008F1924"/>
    <w:rsid w:val="008F2238"/>
    <w:rsid w:val="008F31EB"/>
    <w:rsid w:val="008F3698"/>
    <w:rsid w:val="008F396B"/>
    <w:rsid w:val="008F4090"/>
    <w:rsid w:val="008F4255"/>
    <w:rsid w:val="008F42E4"/>
    <w:rsid w:val="008F4C4E"/>
    <w:rsid w:val="008F57D3"/>
    <w:rsid w:val="008F5B71"/>
    <w:rsid w:val="008F67C2"/>
    <w:rsid w:val="008F692C"/>
    <w:rsid w:val="008F7A50"/>
    <w:rsid w:val="00901212"/>
    <w:rsid w:val="00901C50"/>
    <w:rsid w:val="00901E53"/>
    <w:rsid w:val="00902329"/>
    <w:rsid w:val="00902F79"/>
    <w:rsid w:val="00903228"/>
    <w:rsid w:val="009038B3"/>
    <w:rsid w:val="00903FB3"/>
    <w:rsid w:val="00904D90"/>
    <w:rsid w:val="00905A5D"/>
    <w:rsid w:val="00906448"/>
    <w:rsid w:val="00907049"/>
    <w:rsid w:val="0090706E"/>
    <w:rsid w:val="009073C9"/>
    <w:rsid w:val="00907766"/>
    <w:rsid w:val="0091000C"/>
    <w:rsid w:val="00910355"/>
    <w:rsid w:val="009107C4"/>
    <w:rsid w:val="0091091D"/>
    <w:rsid w:val="00911A27"/>
    <w:rsid w:val="0091273A"/>
    <w:rsid w:val="0091292C"/>
    <w:rsid w:val="009136F0"/>
    <w:rsid w:val="00913C5B"/>
    <w:rsid w:val="009146DC"/>
    <w:rsid w:val="009157FE"/>
    <w:rsid w:val="00915A02"/>
    <w:rsid w:val="00915E27"/>
    <w:rsid w:val="009161B3"/>
    <w:rsid w:val="00916586"/>
    <w:rsid w:val="00916C02"/>
    <w:rsid w:val="00917793"/>
    <w:rsid w:val="00920544"/>
    <w:rsid w:val="00920EEC"/>
    <w:rsid w:val="009229CA"/>
    <w:rsid w:val="00922FE7"/>
    <w:rsid w:val="00923012"/>
    <w:rsid w:val="009254C0"/>
    <w:rsid w:val="00925905"/>
    <w:rsid w:val="009259EF"/>
    <w:rsid w:val="00925D67"/>
    <w:rsid w:val="00925ED4"/>
    <w:rsid w:val="00926BB5"/>
    <w:rsid w:val="009273CF"/>
    <w:rsid w:val="00927CBC"/>
    <w:rsid w:val="0093026F"/>
    <w:rsid w:val="00930652"/>
    <w:rsid w:val="00931935"/>
    <w:rsid w:val="00932810"/>
    <w:rsid w:val="00932973"/>
    <w:rsid w:val="009338E7"/>
    <w:rsid w:val="00933BEE"/>
    <w:rsid w:val="00934C7B"/>
    <w:rsid w:val="00934C97"/>
    <w:rsid w:val="00934EAF"/>
    <w:rsid w:val="00935495"/>
    <w:rsid w:val="00936344"/>
    <w:rsid w:val="00936618"/>
    <w:rsid w:val="00936A45"/>
    <w:rsid w:val="00936D31"/>
    <w:rsid w:val="009405A0"/>
    <w:rsid w:val="009414AA"/>
    <w:rsid w:val="00943104"/>
    <w:rsid w:val="00943777"/>
    <w:rsid w:val="00943D8C"/>
    <w:rsid w:val="00943DD9"/>
    <w:rsid w:val="009452D2"/>
    <w:rsid w:val="00945349"/>
    <w:rsid w:val="00945F72"/>
    <w:rsid w:val="0094757F"/>
    <w:rsid w:val="00947FF8"/>
    <w:rsid w:val="00950828"/>
    <w:rsid w:val="00950864"/>
    <w:rsid w:val="00950F37"/>
    <w:rsid w:val="00951AE0"/>
    <w:rsid w:val="00951E32"/>
    <w:rsid w:val="00951EA4"/>
    <w:rsid w:val="009525EA"/>
    <w:rsid w:val="009525FF"/>
    <w:rsid w:val="00952743"/>
    <w:rsid w:val="00952BA3"/>
    <w:rsid w:val="009533D5"/>
    <w:rsid w:val="00953DC8"/>
    <w:rsid w:val="00954A48"/>
    <w:rsid w:val="00954C0E"/>
    <w:rsid w:val="00954DE0"/>
    <w:rsid w:val="00954F48"/>
    <w:rsid w:val="009558C1"/>
    <w:rsid w:val="00956269"/>
    <w:rsid w:val="00956545"/>
    <w:rsid w:val="009566CE"/>
    <w:rsid w:val="00956850"/>
    <w:rsid w:val="009569E9"/>
    <w:rsid w:val="00956F1A"/>
    <w:rsid w:val="009572C2"/>
    <w:rsid w:val="00960085"/>
    <w:rsid w:val="00960E42"/>
    <w:rsid w:val="00961564"/>
    <w:rsid w:val="00961E78"/>
    <w:rsid w:val="00964443"/>
    <w:rsid w:val="009649B7"/>
    <w:rsid w:val="00965B05"/>
    <w:rsid w:val="00965C36"/>
    <w:rsid w:val="009661AE"/>
    <w:rsid w:val="00966DFC"/>
    <w:rsid w:val="009673EE"/>
    <w:rsid w:val="009675A5"/>
    <w:rsid w:val="009679D5"/>
    <w:rsid w:val="00967D30"/>
    <w:rsid w:val="00967F9B"/>
    <w:rsid w:val="00970C82"/>
    <w:rsid w:val="00970FAF"/>
    <w:rsid w:val="0097164E"/>
    <w:rsid w:val="00971C1D"/>
    <w:rsid w:val="00971F4E"/>
    <w:rsid w:val="0097238F"/>
    <w:rsid w:val="0097273A"/>
    <w:rsid w:val="0097352B"/>
    <w:rsid w:val="00973C57"/>
    <w:rsid w:val="00974789"/>
    <w:rsid w:val="00974F68"/>
    <w:rsid w:val="0097501C"/>
    <w:rsid w:val="009762BB"/>
    <w:rsid w:val="00976414"/>
    <w:rsid w:val="00976463"/>
    <w:rsid w:val="00977711"/>
    <w:rsid w:val="009777A4"/>
    <w:rsid w:val="00977A1D"/>
    <w:rsid w:val="00977A81"/>
    <w:rsid w:val="00980091"/>
    <w:rsid w:val="0098022E"/>
    <w:rsid w:val="0098069F"/>
    <w:rsid w:val="00980924"/>
    <w:rsid w:val="00980C36"/>
    <w:rsid w:val="00980E43"/>
    <w:rsid w:val="00980FE4"/>
    <w:rsid w:val="0098105C"/>
    <w:rsid w:val="009819BF"/>
    <w:rsid w:val="009819D4"/>
    <w:rsid w:val="00981BF1"/>
    <w:rsid w:val="00981C05"/>
    <w:rsid w:val="009821A3"/>
    <w:rsid w:val="00982291"/>
    <w:rsid w:val="00982699"/>
    <w:rsid w:val="00982B80"/>
    <w:rsid w:val="00982D24"/>
    <w:rsid w:val="009832A1"/>
    <w:rsid w:val="00983B4A"/>
    <w:rsid w:val="009848BC"/>
    <w:rsid w:val="00984DF1"/>
    <w:rsid w:val="009853BB"/>
    <w:rsid w:val="00985BB4"/>
    <w:rsid w:val="00985C2C"/>
    <w:rsid w:val="00986229"/>
    <w:rsid w:val="0098677F"/>
    <w:rsid w:val="009869C5"/>
    <w:rsid w:val="00986D9F"/>
    <w:rsid w:val="00987271"/>
    <w:rsid w:val="00987288"/>
    <w:rsid w:val="0099017D"/>
    <w:rsid w:val="009901C0"/>
    <w:rsid w:val="009902D7"/>
    <w:rsid w:val="009903CF"/>
    <w:rsid w:val="009908EE"/>
    <w:rsid w:val="00990C5B"/>
    <w:rsid w:val="00990E9A"/>
    <w:rsid w:val="0099112D"/>
    <w:rsid w:val="009915AE"/>
    <w:rsid w:val="0099210C"/>
    <w:rsid w:val="009922FD"/>
    <w:rsid w:val="009923F8"/>
    <w:rsid w:val="00992441"/>
    <w:rsid w:val="00992634"/>
    <w:rsid w:val="00992843"/>
    <w:rsid w:val="009929CC"/>
    <w:rsid w:val="00993C6B"/>
    <w:rsid w:val="009940D3"/>
    <w:rsid w:val="00994411"/>
    <w:rsid w:val="0099454D"/>
    <w:rsid w:val="009949AB"/>
    <w:rsid w:val="00994C79"/>
    <w:rsid w:val="00995520"/>
    <w:rsid w:val="00995592"/>
    <w:rsid w:val="009958CA"/>
    <w:rsid w:val="00996745"/>
    <w:rsid w:val="00996F7E"/>
    <w:rsid w:val="009A020A"/>
    <w:rsid w:val="009A0727"/>
    <w:rsid w:val="009A0B16"/>
    <w:rsid w:val="009A0B78"/>
    <w:rsid w:val="009A0C95"/>
    <w:rsid w:val="009A12B9"/>
    <w:rsid w:val="009A159B"/>
    <w:rsid w:val="009A1A31"/>
    <w:rsid w:val="009A1C72"/>
    <w:rsid w:val="009A2CB1"/>
    <w:rsid w:val="009A2E14"/>
    <w:rsid w:val="009A326F"/>
    <w:rsid w:val="009A3A35"/>
    <w:rsid w:val="009A3EA0"/>
    <w:rsid w:val="009A419E"/>
    <w:rsid w:val="009A4266"/>
    <w:rsid w:val="009A45ED"/>
    <w:rsid w:val="009A468E"/>
    <w:rsid w:val="009A557C"/>
    <w:rsid w:val="009A577B"/>
    <w:rsid w:val="009A5914"/>
    <w:rsid w:val="009A5F2B"/>
    <w:rsid w:val="009A60B4"/>
    <w:rsid w:val="009A63C3"/>
    <w:rsid w:val="009A6A95"/>
    <w:rsid w:val="009A6E61"/>
    <w:rsid w:val="009A6EF6"/>
    <w:rsid w:val="009B02EE"/>
    <w:rsid w:val="009B0300"/>
    <w:rsid w:val="009B03CA"/>
    <w:rsid w:val="009B0AB2"/>
    <w:rsid w:val="009B1311"/>
    <w:rsid w:val="009B138A"/>
    <w:rsid w:val="009B139F"/>
    <w:rsid w:val="009B21C1"/>
    <w:rsid w:val="009B2A05"/>
    <w:rsid w:val="009B2C89"/>
    <w:rsid w:val="009B391D"/>
    <w:rsid w:val="009B3C04"/>
    <w:rsid w:val="009B3DF4"/>
    <w:rsid w:val="009B438B"/>
    <w:rsid w:val="009B4AB9"/>
    <w:rsid w:val="009B5486"/>
    <w:rsid w:val="009B6997"/>
    <w:rsid w:val="009B6ECC"/>
    <w:rsid w:val="009B717E"/>
    <w:rsid w:val="009C0BB9"/>
    <w:rsid w:val="009C0DF2"/>
    <w:rsid w:val="009C11B2"/>
    <w:rsid w:val="009C17B6"/>
    <w:rsid w:val="009C25B0"/>
    <w:rsid w:val="009C3214"/>
    <w:rsid w:val="009C3362"/>
    <w:rsid w:val="009C3BDD"/>
    <w:rsid w:val="009C4337"/>
    <w:rsid w:val="009C51A9"/>
    <w:rsid w:val="009C55B7"/>
    <w:rsid w:val="009C5690"/>
    <w:rsid w:val="009C5926"/>
    <w:rsid w:val="009C5B18"/>
    <w:rsid w:val="009C5D58"/>
    <w:rsid w:val="009C717C"/>
    <w:rsid w:val="009D0537"/>
    <w:rsid w:val="009D0873"/>
    <w:rsid w:val="009D19F2"/>
    <w:rsid w:val="009D2132"/>
    <w:rsid w:val="009D2313"/>
    <w:rsid w:val="009D2AA2"/>
    <w:rsid w:val="009D2AEA"/>
    <w:rsid w:val="009D2D1C"/>
    <w:rsid w:val="009D4743"/>
    <w:rsid w:val="009D486A"/>
    <w:rsid w:val="009D5F61"/>
    <w:rsid w:val="009D5FE9"/>
    <w:rsid w:val="009D6616"/>
    <w:rsid w:val="009D6F12"/>
    <w:rsid w:val="009D70B5"/>
    <w:rsid w:val="009D7525"/>
    <w:rsid w:val="009D778C"/>
    <w:rsid w:val="009D7973"/>
    <w:rsid w:val="009D7C23"/>
    <w:rsid w:val="009D7CD3"/>
    <w:rsid w:val="009E001A"/>
    <w:rsid w:val="009E0A11"/>
    <w:rsid w:val="009E0A16"/>
    <w:rsid w:val="009E16A9"/>
    <w:rsid w:val="009E16CC"/>
    <w:rsid w:val="009E1DB6"/>
    <w:rsid w:val="009E247A"/>
    <w:rsid w:val="009E2E91"/>
    <w:rsid w:val="009E3D34"/>
    <w:rsid w:val="009E439A"/>
    <w:rsid w:val="009E4B60"/>
    <w:rsid w:val="009E4D6E"/>
    <w:rsid w:val="009E547E"/>
    <w:rsid w:val="009E61A4"/>
    <w:rsid w:val="009E6D65"/>
    <w:rsid w:val="009E6DDC"/>
    <w:rsid w:val="009E6E58"/>
    <w:rsid w:val="009F0719"/>
    <w:rsid w:val="009F07EC"/>
    <w:rsid w:val="009F1BAA"/>
    <w:rsid w:val="009F1D99"/>
    <w:rsid w:val="009F1E6F"/>
    <w:rsid w:val="009F30A1"/>
    <w:rsid w:val="009F3796"/>
    <w:rsid w:val="009F4269"/>
    <w:rsid w:val="009F470D"/>
    <w:rsid w:val="009F48BB"/>
    <w:rsid w:val="009F4F53"/>
    <w:rsid w:val="009F5771"/>
    <w:rsid w:val="009F5B3E"/>
    <w:rsid w:val="009F5C98"/>
    <w:rsid w:val="009F67B6"/>
    <w:rsid w:val="009F6D38"/>
    <w:rsid w:val="009F6F24"/>
    <w:rsid w:val="009F707D"/>
    <w:rsid w:val="009F73A1"/>
    <w:rsid w:val="009F7446"/>
    <w:rsid w:val="009F77F4"/>
    <w:rsid w:val="009F7A18"/>
    <w:rsid w:val="009F7EE7"/>
    <w:rsid w:val="00A004A2"/>
    <w:rsid w:val="00A00A67"/>
    <w:rsid w:val="00A00ED3"/>
    <w:rsid w:val="00A022C7"/>
    <w:rsid w:val="00A02876"/>
    <w:rsid w:val="00A03EA7"/>
    <w:rsid w:val="00A03FE5"/>
    <w:rsid w:val="00A04872"/>
    <w:rsid w:val="00A05A94"/>
    <w:rsid w:val="00A0667C"/>
    <w:rsid w:val="00A06C83"/>
    <w:rsid w:val="00A07B94"/>
    <w:rsid w:val="00A07DE9"/>
    <w:rsid w:val="00A110D6"/>
    <w:rsid w:val="00A126C1"/>
    <w:rsid w:val="00A13572"/>
    <w:rsid w:val="00A1362B"/>
    <w:rsid w:val="00A139D6"/>
    <w:rsid w:val="00A13F4B"/>
    <w:rsid w:val="00A1426C"/>
    <w:rsid w:val="00A14EF9"/>
    <w:rsid w:val="00A15109"/>
    <w:rsid w:val="00A15423"/>
    <w:rsid w:val="00A15583"/>
    <w:rsid w:val="00A15C14"/>
    <w:rsid w:val="00A16870"/>
    <w:rsid w:val="00A169AA"/>
    <w:rsid w:val="00A16B01"/>
    <w:rsid w:val="00A1711F"/>
    <w:rsid w:val="00A17399"/>
    <w:rsid w:val="00A17473"/>
    <w:rsid w:val="00A2093B"/>
    <w:rsid w:val="00A21730"/>
    <w:rsid w:val="00A2173C"/>
    <w:rsid w:val="00A21EB9"/>
    <w:rsid w:val="00A22192"/>
    <w:rsid w:val="00A228C1"/>
    <w:rsid w:val="00A22AF9"/>
    <w:rsid w:val="00A2322C"/>
    <w:rsid w:val="00A24520"/>
    <w:rsid w:val="00A25649"/>
    <w:rsid w:val="00A258B2"/>
    <w:rsid w:val="00A26B23"/>
    <w:rsid w:val="00A26BC2"/>
    <w:rsid w:val="00A26F79"/>
    <w:rsid w:val="00A27088"/>
    <w:rsid w:val="00A27831"/>
    <w:rsid w:val="00A307E8"/>
    <w:rsid w:val="00A30C55"/>
    <w:rsid w:val="00A30DF6"/>
    <w:rsid w:val="00A30E11"/>
    <w:rsid w:val="00A3106D"/>
    <w:rsid w:val="00A3206F"/>
    <w:rsid w:val="00A32770"/>
    <w:rsid w:val="00A34DAC"/>
    <w:rsid w:val="00A355F7"/>
    <w:rsid w:val="00A35E98"/>
    <w:rsid w:val="00A35FE0"/>
    <w:rsid w:val="00A36574"/>
    <w:rsid w:val="00A375FB"/>
    <w:rsid w:val="00A3791D"/>
    <w:rsid w:val="00A408D9"/>
    <w:rsid w:val="00A40B54"/>
    <w:rsid w:val="00A41255"/>
    <w:rsid w:val="00A4198C"/>
    <w:rsid w:val="00A428D5"/>
    <w:rsid w:val="00A42CB5"/>
    <w:rsid w:val="00A430D4"/>
    <w:rsid w:val="00A43D1B"/>
    <w:rsid w:val="00A44294"/>
    <w:rsid w:val="00A45F24"/>
    <w:rsid w:val="00A46B73"/>
    <w:rsid w:val="00A47285"/>
    <w:rsid w:val="00A4788C"/>
    <w:rsid w:val="00A47DF4"/>
    <w:rsid w:val="00A50219"/>
    <w:rsid w:val="00A5051E"/>
    <w:rsid w:val="00A505D5"/>
    <w:rsid w:val="00A50830"/>
    <w:rsid w:val="00A512B5"/>
    <w:rsid w:val="00A51BD0"/>
    <w:rsid w:val="00A521CE"/>
    <w:rsid w:val="00A52E4D"/>
    <w:rsid w:val="00A5368C"/>
    <w:rsid w:val="00A53FC0"/>
    <w:rsid w:val="00A5479E"/>
    <w:rsid w:val="00A55CC9"/>
    <w:rsid w:val="00A561FF"/>
    <w:rsid w:val="00A567B1"/>
    <w:rsid w:val="00A579D7"/>
    <w:rsid w:val="00A57A0F"/>
    <w:rsid w:val="00A57BDA"/>
    <w:rsid w:val="00A60228"/>
    <w:rsid w:val="00A60C82"/>
    <w:rsid w:val="00A610E1"/>
    <w:rsid w:val="00A61400"/>
    <w:rsid w:val="00A61B53"/>
    <w:rsid w:val="00A6248C"/>
    <w:rsid w:val="00A627C0"/>
    <w:rsid w:val="00A6284B"/>
    <w:rsid w:val="00A631DB"/>
    <w:rsid w:val="00A634A5"/>
    <w:rsid w:val="00A634A8"/>
    <w:rsid w:val="00A639AE"/>
    <w:rsid w:val="00A644CF"/>
    <w:rsid w:val="00A64710"/>
    <w:rsid w:val="00A64EAB"/>
    <w:rsid w:val="00A657F2"/>
    <w:rsid w:val="00A65B29"/>
    <w:rsid w:val="00A65CE8"/>
    <w:rsid w:val="00A65FA1"/>
    <w:rsid w:val="00A664EB"/>
    <w:rsid w:val="00A66E52"/>
    <w:rsid w:val="00A67167"/>
    <w:rsid w:val="00A67664"/>
    <w:rsid w:val="00A67E41"/>
    <w:rsid w:val="00A70113"/>
    <w:rsid w:val="00A706B4"/>
    <w:rsid w:val="00A70D97"/>
    <w:rsid w:val="00A71236"/>
    <w:rsid w:val="00A71E7D"/>
    <w:rsid w:val="00A7220E"/>
    <w:rsid w:val="00A72CCC"/>
    <w:rsid w:val="00A72F98"/>
    <w:rsid w:val="00A7317F"/>
    <w:rsid w:val="00A734BA"/>
    <w:rsid w:val="00A73659"/>
    <w:rsid w:val="00A73AFA"/>
    <w:rsid w:val="00A74390"/>
    <w:rsid w:val="00A75339"/>
    <w:rsid w:val="00A76011"/>
    <w:rsid w:val="00A766C3"/>
    <w:rsid w:val="00A7713E"/>
    <w:rsid w:val="00A77C1C"/>
    <w:rsid w:val="00A800EC"/>
    <w:rsid w:val="00A804B1"/>
    <w:rsid w:val="00A80A39"/>
    <w:rsid w:val="00A80C83"/>
    <w:rsid w:val="00A80D24"/>
    <w:rsid w:val="00A81C12"/>
    <w:rsid w:val="00A82865"/>
    <w:rsid w:val="00A834DA"/>
    <w:rsid w:val="00A83A8E"/>
    <w:rsid w:val="00A83B40"/>
    <w:rsid w:val="00A8441D"/>
    <w:rsid w:val="00A86BF2"/>
    <w:rsid w:val="00A86D2A"/>
    <w:rsid w:val="00A86FCD"/>
    <w:rsid w:val="00A874C7"/>
    <w:rsid w:val="00A87695"/>
    <w:rsid w:val="00A87ACC"/>
    <w:rsid w:val="00A87C8A"/>
    <w:rsid w:val="00A902C4"/>
    <w:rsid w:val="00A9061E"/>
    <w:rsid w:val="00A90C8C"/>
    <w:rsid w:val="00A91BD8"/>
    <w:rsid w:val="00A91ECA"/>
    <w:rsid w:val="00A9202D"/>
    <w:rsid w:val="00A94D17"/>
    <w:rsid w:val="00A9509D"/>
    <w:rsid w:val="00A95296"/>
    <w:rsid w:val="00A9540C"/>
    <w:rsid w:val="00A95543"/>
    <w:rsid w:val="00A95E17"/>
    <w:rsid w:val="00A96CD6"/>
    <w:rsid w:val="00A96D7E"/>
    <w:rsid w:val="00A97ED3"/>
    <w:rsid w:val="00AA02E5"/>
    <w:rsid w:val="00AA30F7"/>
    <w:rsid w:val="00AA379E"/>
    <w:rsid w:val="00AA421C"/>
    <w:rsid w:val="00AA49EA"/>
    <w:rsid w:val="00AA4F45"/>
    <w:rsid w:val="00AA529B"/>
    <w:rsid w:val="00AA5BDD"/>
    <w:rsid w:val="00AA63A6"/>
    <w:rsid w:val="00AA68A7"/>
    <w:rsid w:val="00AA6A97"/>
    <w:rsid w:val="00AA70D9"/>
    <w:rsid w:val="00AA7EA1"/>
    <w:rsid w:val="00AB0569"/>
    <w:rsid w:val="00AB0736"/>
    <w:rsid w:val="00AB0C7C"/>
    <w:rsid w:val="00AB1474"/>
    <w:rsid w:val="00AB1F6C"/>
    <w:rsid w:val="00AB2044"/>
    <w:rsid w:val="00AB2547"/>
    <w:rsid w:val="00AB25AA"/>
    <w:rsid w:val="00AB331F"/>
    <w:rsid w:val="00AB36DA"/>
    <w:rsid w:val="00AB39AB"/>
    <w:rsid w:val="00AB3C71"/>
    <w:rsid w:val="00AB3FA2"/>
    <w:rsid w:val="00AB4369"/>
    <w:rsid w:val="00AB45B1"/>
    <w:rsid w:val="00AB5800"/>
    <w:rsid w:val="00AB58AA"/>
    <w:rsid w:val="00AB5988"/>
    <w:rsid w:val="00AB5C16"/>
    <w:rsid w:val="00AB62EF"/>
    <w:rsid w:val="00AB7A22"/>
    <w:rsid w:val="00AB7D3F"/>
    <w:rsid w:val="00AC077E"/>
    <w:rsid w:val="00AC11F3"/>
    <w:rsid w:val="00AC1FE8"/>
    <w:rsid w:val="00AC256D"/>
    <w:rsid w:val="00AC35E1"/>
    <w:rsid w:val="00AC3B9B"/>
    <w:rsid w:val="00AC421F"/>
    <w:rsid w:val="00AC4471"/>
    <w:rsid w:val="00AC489B"/>
    <w:rsid w:val="00AC4C5B"/>
    <w:rsid w:val="00AC5999"/>
    <w:rsid w:val="00AC6091"/>
    <w:rsid w:val="00AC6843"/>
    <w:rsid w:val="00AC708E"/>
    <w:rsid w:val="00AC7121"/>
    <w:rsid w:val="00AD088C"/>
    <w:rsid w:val="00AD1972"/>
    <w:rsid w:val="00AD1C42"/>
    <w:rsid w:val="00AD231F"/>
    <w:rsid w:val="00AD2391"/>
    <w:rsid w:val="00AD23FD"/>
    <w:rsid w:val="00AD2C4B"/>
    <w:rsid w:val="00AD3029"/>
    <w:rsid w:val="00AD3652"/>
    <w:rsid w:val="00AD387E"/>
    <w:rsid w:val="00AD3C74"/>
    <w:rsid w:val="00AD44EC"/>
    <w:rsid w:val="00AD47C1"/>
    <w:rsid w:val="00AD588B"/>
    <w:rsid w:val="00AD5C16"/>
    <w:rsid w:val="00AD649A"/>
    <w:rsid w:val="00AD6D7E"/>
    <w:rsid w:val="00AD784A"/>
    <w:rsid w:val="00AE06CE"/>
    <w:rsid w:val="00AE0C72"/>
    <w:rsid w:val="00AE2B23"/>
    <w:rsid w:val="00AE2D8B"/>
    <w:rsid w:val="00AE2F4F"/>
    <w:rsid w:val="00AE32E9"/>
    <w:rsid w:val="00AE3CF8"/>
    <w:rsid w:val="00AE3E8B"/>
    <w:rsid w:val="00AE47D7"/>
    <w:rsid w:val="00AE4874"/>
    <w:rsid w:val="00AE5056"/>
    <w:rsid w:val="00AE53FD"/>
    <w:rsid w:val="00AE5493"/>
    <w:rsid w:val="00AE6217"/>
    <w:rsid w:val="00AE65D6"/>
    <w:rsid w:val="00AE72FA"/>
    <w:rsid w:val="00AE73C7"/>
    <w:rsid w:val="00AE7903"/>
    <w:rsid w:val="00AE7EDE"/>
    <w:rsid w:val="00AF02BF"/>
    <w:rsid w:val="00AF0528"/>
    <w:rsid w:val="00AF05AC"/>
    <w:rsid w:val="00AF0CA7"/>
    <w:rsid w:val="00AF15B3"/>
    <w:rsid w:val="00AF16CF"/>
    <w:rsid w:val="00AF1B39"/>
    <w:rsid w:val="00AF33BB"/>
    <w:rsid w:val="00AF35AD"/>
    <w:rsid w:val="00AF3BB3"/>
    <w:rsid w:val="00AF4628"/>
    <w:rsid w:val="00AF4726"/>
    <w:rsid w:val="00AF515E"/>
    <w:rsid w:val="00AF539B"/>
    <w:rsid w:val="00AF5A78"/>
    <w:rsid w:val="00AF5E22"/>
    <w:rsid w:val="00AF6638"/>
    <w:rsid w:val="00AF6954"/>
    <w:rsid w:val="00AF6C9B"/>
    <w:rsid w:val="00AF716A"/>
    <w:rsid w:val="00AF7251"/>
    <w:rsid w:val="00AF793D"/>
    <w:rsid w:val="00AF7D6B"/>
    <w:rsid w:val="00B00225"/>
    <w:rsid w:val="00B0031B"/>
    <w:rsid w:val="00B0037B"/>
    <w:rsid w:val="00B0081D"/>
    <w:rsid w:val="00B00B18"/>
    <w:rsid w:val="00B01365"/>
    <w:rsid w:val="00B01396"/>
    <w:rsid w:val="00B01F1C"/>
    <w:rsid w:val="00B024CB"/>
    <w:rsid w:val="00B04733"/>
    <w:rsid w:val="00B04DBB"/>
    <w:rsid w:val="00B04FF3"/>
    <w:rsid w:val="00B053F0"/>
    <w:rsid w:val="00B057D0"/>
    <w:rsid w:val="00B0606C"/>
    <w:rsid w:val="00B0695E"/>
    <w:rsid w:val="00B069DB"/>
    <w:rsid w:val="00B10189"/>
    <w:rsid w:val="00B1092D"/>
    <w:rsid w:val="00B10E87"/>
    <w:rsid w:val="00B1163A"/>
    <w:rsid w:val="00B11B05"/>
    <w:rsid w:val="00B11E76"/>
    <w:rsid w:val="00B12100"/>
    <w:rsid w:val="00B12169"/>
    <w:rsid w:val="00B1269E"/>
    <w:rsid w:val="00B129BD"/>
    <w:rsid w:val="00B12B91"/>
    <w:rsid w:val="00B12DE4"/>
    <w:rsid w:val="00B156BC"/>
    <w:rsid w:val="00B15FD9"/>
    <w:rsid w:val="00B161CE"/>
    <w:rsid w:val="00B16B72"/>
    <w:rsid w:val="00B17737"/>
    <w:rsid w:val="00B17A79"/>
    <w:rsid w:val="00B17DC0"/>
    <w:rsid w:val="00B201CC"/>
    <w:rsid w:val="00B20ADC"/>
    <w:rsid w:val="00B21BEC"/>
    <w:rsid w:val="00B2210E"/>
    <w:rsid w:val="00B22944"/>
    <w:rsid w:val="00B22FC8"/>
    <w:rsid w:val="00B241C1"/>
    <w:rsid w:val="00B2457C"/>
    <w:rsid w:val="00B25088"/>
    <w:rsid w:val="00B25453"/>
    <w:rsid w:val="00B26F4C"/>
    <w:rsid w:val="00B303F5"/>
    <w:rsid w:val="00B30C3D"/>
    <w:rsid w:val="00B31482"/>
    <w:rsid w:val="00B31BBD"/>
    <w:rsid w:val="00B32B5F"/>
    <w:rsid w:val="00B33DBD"/>
    <w:rsid w:val="00B33EA3"/>
    <w:rsid w:val="00B34266"/>
    <w:rsid w:val="00B34391"/>
    <w:rsid w:val="00B34397"/>
    <w:rsid w:val="00B348AA"/>
    <w:rsid w:val="00B349F6"/>
    <w:rsid w:val="00B34DA5"/>
    <w:rsid w:val="00B34F4B"/>
    <w:rsid w:val="00B3518B"/>
    <w:rsid w:val="00B351D8"/>
    <w:rsid w:val="00B358E2"/>
    <w:rsid w:val="00B359DF"/>
    <w:rsid w:val="00B3606A"/>
    <w:rsid w:val="00B363B5"/>
    <w:rsid w:val="00B3665A"/>
    <w:rsid w:val="00B36995"/>
    <w:rsid w:val="00B37452"/>
    <w:rsid w:val="00B3756E"/>
    <w:rsid w:val="00B37F58"/>
    <w:rsid w:val="00B40DDF"/>
    <w:rsid w:val="00B412C9"/>
    <w:rsid w:val="00B42379"/>
    <w:rsid w:val="00B4237A"/>
    <w:rsid w:val="00B432F5"/>
    <w:rsid w:val="00B433C5"/>
    <w:rsid w:val="00B435F1"/>
    <w:rsid w:val="00B4365B"/>
    <w:rsid w:val="00B436DC"/>
    <w:rsid w:val="00B438B3"/>
    <w:rsid w:val="00B43D90"/>
    <w:rsid w:val="00B43DD1"/>
    <w:rsid w:val="00B4412E"/>
    <w:rsid w:val="00B445A1"/>
    <w:rsid w:val="00B446FB"/>
    <w:rsid w:val="00B44894"/>
    <w:rsid w:val="00B449EA"/>
    <w:rsid w:val="00B44BAA"/>
    <w:rsid w:val="00B44CBD"/>
    <w:rsid w:val="00B44DE9"/>
    <w:rsid w:val="00B44F50"/>
    <w:rsid w:val="00B44FAD"/>
    <w:rsid w:val="00B45856"/>
    <w:rsid w:val="00B461A9"/>
    <w:rsid w:val="00B46405"/>
    <w:rsid w:val="00B46EE1"/>
    <w:rsid w:val="00B4714F"/>
    <w:rsid w:val="00B4718A"/>
    <w:rsid w:val="00B4740B"/>
    <w:rsid w:val="00B476F0"/>
    <w:rsid w:val="00B50360"/>
    <w:rsid w:val="00B50D73"/>
    <w:rsid w:val="00B5197D"/>
    <w:rsid w:val="00B52007"/>
    <w:rsid w:val="00B52C3E"/>
    <w:rsid w:val="00B52CFD"/>
    <w:rsid w:val="00B52F8E"/>
    <w:rsid w:val="00B550E2"/>
    <w:rsid w:val="00B55207"/>
    <w:rsid w:val="00B55DC1"/>
    <w:rsid w:val="00B56CF8"/>
    <w:rsid w:val="00B57911"/>
    <w:rsid w:val="00B605D8"/>
    <w:rsid w:val="00B60ECB"/>
    <w:rsid w:val="00B614E3"/>
    <w:rsid w:val="00B61923"/>
    <w:rsid w:val="00B61C91"/>
    <w:rsid w:val="00B6249D"/>
    <w:rsid w:val="00B62CA2"/>
    <w:rsid w:val="00B62CC9"/>
    <w:rsid w:val="00B62D24"/>
    <w:rsid w:val="00B63391"/>
    <w:rsid w:val="00B63AE0"/>
    <w:rsid w:val="00B646FE"/>
    <w:rsid w:val="00B64F86"/>
    <w:rsid w:val="00B65068"/>
    <w:rsid w:val="00B650AA"/>
    <w:rsid w:val="00B65C3D"/>
    <w:rsid w:val="00B65DD8"/>
    <w:rsid w:val="00B66749"/>
    <w:rsid w:val="00B67A2A"/>
    <w:rsid w:val="00B70304"/>
    <w:rsid w:val="00B705DE"/>
    <w:rsid w:val="00B70870"/>
    <w:rsid w:val="00B710F4"/>
    <w:rsid w:val="00B71ED1"/>
    <w:rsid w:val="00B72346"/>
    <w:rsid w:val="00B7238E"/>
    <w:rsid w:val="00B73FD1"/>
    <w:rsid w:val="00B7418A"/>
    <w:rsid w:val="00B74A72"/>
    <w:rsid w:val="00B760F8"/>
    <w:rsid w:val="00B76194"/>
    <w:rsid w:val="00B7696E"/>
    <w:rsid w:val="00B769A0"/>
    <w:rsid w:val="00B76A6D"/>
    <w:rsid w:val="00B7707B"/>
    <w:rsid w:val="00B770C6"/>
    <w:rsid w:val="00B77BD3"/>
    <w:rsid w:val="00B802B9"/>
    <w:rsid w:val="00B8046D"/>
    <w:rsid w:val="00B82246"/>
    <w:rsid w:val="00B822FD"/>
    <w:rsid w:val="00B82322"/>
    <w:rsid w:val="00B82908"/>
    <w:rsid w:val="00B83687"/>
    <w:rsid w:val="00B83BA2"/>
    <w:rsid w:val="00B83EA1"/>
    <w:rsid w:val="00B8440B"/>
    <w:rsid w:val="00B85063"/>
    <w:rsid w:val="00B852DF"/>
    <w:rsid w:val="00B85348"/>
    <w:rsid w:val="00B855D6"/>
    <w:rsid w:val="00B86068"/>
    <w:rsid w:val="00B86165"/>
    <w:rsid w:val="00B86B64"/>
    <w:rsid w:val="00B86F84"/>
    <w:rsid w:val="00B872B2"/>
    <w:rsid w:val="00B90CB7"/>
    <w:rsid w:val="00B91411"/>
    <w:rsid w:val="00B91B06"/>
    <w:rsid w:val="00B92148"/>
    <w:rsid w:val="00B929B6"/>
    <w:rsid w:val="00B92AD6"/>
    <w:rsid w:val="00B93046"/>
    <w:rsid w:val="00B930D1"/>
    <w:rsid w:val="00B931FF"/>
    <w:rsid w:val="00B9419C"/>
    <w:rsid w:val="00B942DA"/>
    <w:rsid w:val="00B948D9"/>
    <w:rsid w:val="00B94C0E"/>
    <w:rsid w:val="00B94DDB"/>
    <w:rsid w:val="00B952A2"/>
    <w:rsid w:val="00B95333"/>
    <w:rsid w:val="00B96225"/>
    <w:rsid w:val="00BA013F"/>
    <w:rsid w:val="00BA0258"/>
    <w:rsid w:val="00BA049E"/>
    <w:rsid w:val="00BA052A"/>
    <w:rsid w:val="00BA0A35"/>
    <w:rsid w:val="00BA0F3C"/>
    <w:rsid w:val="00BA110D"/>
    <w:rsid w:val="00BA12FE"/>
    <w:rsid w:val="00BA15EB"/>
    <w:rsid w:val="00BA17ED"/>
    <w:rsid w:val="00BA1928"/>
    <w:rsid w:val="00BA19B5"/>
    <w:rsid w:val="00BA1C30"/>
    <w:rsid w:val="00BA201C"/>
    <w:rsid w:val="00BA2248"/>
    <w:rsid w:val="00BA34E7"/>
    <w:rsid w:val="00BA386D"/>
    <w:rsid w:val="00BA3B27"/>
    <w:rsid w:val="00BA59D0"/>
    <w:rsid w:val="00BA5F9C"/>
    <w:rsid w:val="00BA63A6"/>
    <w:rsid w:val="00BA6C13"/>
    <w:rsid w:val="00BA6F8D"/>
    <w:rsid w:val="00BA74C7"/>
    <w:rsid w:val="00BA7F31"/>
    <w:rsid w:val="00BB006A"/>
    <w:rsid w:val="00BB0A57"/>
    <w:rsid w:val="00BB13DF"/>
    <w:rsid w:val="00BB1AEC"/>
    <w:rsid w:val="00BB1F68"/>
    <w:rsid w:val="00BB2D02"/>
    <w:rsid w:val="00BB334B"/>
    <w:rsid w:val="00BB35DC"/>
    <w:rsid w:val="00BB4645"/>
    <w:rsid w:val="00BB4B49"/>
    <w:rsid w:val="00BB4E11"/>
    <w:rsid w:val="00BB4EDD"/>
    <w:rsid w:val="00BB4F89"/>
    <w:rsid w:val="00BB55E2"/>
    <w:rsid w:val="00BB5A54"/>
    <w:rsid w:val="00BB7094"/>
    <w:rsid w:val="00BB79DB"/>
    <w:rsid w:val="00BB7B71"/>
    <w:rsid w:val="00BC0EC3"/>
    <w:rsid w:val="00BC296A"/>
    <w:rsid w:val="00BC3517"/>
    <w:rsid w:val="00BC398C"/>
    <w:rsid w:val="00BC3A92"/>
    <w:rsid w:val="00BC4FF6"/>
    <w:rsid w:val="00BC52AD"/>
    <w:rsid w:val="00BC53DF"/>
    <w:rsid w:val="00BC5564"/>
    <w:rsid w:val="00BC5EC1"/>
    <w:rsid w:val="00BC6311"/>
    <w:rsid w:val="00BC64CA"/>
    <w:rsid w:val="00BC658D"/>
    <w:rsid w:val="00BC668D"/>
    <w:rsid w:val="00BC688E"/>
    <w:rsid w:val="00BC7349"/>
    <w:rsid w:val="00BC7411"/>
    <w:rsid w:val="00BD09F8"/>
    <w:rsid w:val="00BD2841"/>
    <w:rsid w:val="00BD2C92"/>
    <w:rsid w:val="00BD2E72"/>
    <w:rsid w:val="00BD4453"/>
    <w:rsid w:val="00BD523E"/>
    <w:rsid w:val="00BD5BA7"/>
    <w:rsid w:val="00BD5D07"/>
    <w:rsid w:val="00BD5F8B"/>
    <w:rsid w:val="00BD60EC"/>
    <w:rsid w:val="00BD6E36"/>
    <w:rsid w:val="00BD7323"/>
    <w:rsid w:val="00BD7917"/>
    <w:rsid w:val="00BE09B9"/>
    <w:rsid w:val="00BE1C7C"/>
    <w:rsid w:val="00BE1F47"/>
    <w:rsid w:val="00BE422B"/>
    <w:rsid w:val="00BE55E2"/>
    <w:rsid w:val="00BE56AE"/>
    <w:rsid w:val="00BE7957"/>
    <w:rsid w:val="00BE7CF4"/>
    <w:rsid w:val="00BE7CFD"/>
    <w:rsid w:val="00BF0345"/>
    <w:rsid w:val="00BF0916"/>
    <w:rsid w:val="00BF18C2"/>
    <w:rsid w:val="00BF210F"/>
    <w:rsid w:val="00BF24DA"/>
    <w:rsid w:val="00BF35EC"/>
    <w:rsid w:val="00BF3B1D"/>
    <w:rsid w:val="00BF4562"/>
    <w:rsid w:val="00BF5200"/>
    <w:rsid w:val="00BF61A4"/>
    <w:rsid w:val="00BF6334"/>
    <w:rsid w:val="00BF6698"/>
    <w:rsid w:val="00BF6B6B"/>
    <w:rsid w:val="00BF70B1"/>
    <w:rsid w:val="00BF7F46"/>
    <w:rsid w:val="00C0021E"/>
    <w:rsid w:val="00C00B3C"/>
    <w:rsid w:val="00C01474"/>
    <w:rsid w:val="00C017E5"/>
    <w:rsid w:val="00C018D0"/>
    <w:rsid w:val="00C035E9"/>
    <w:rsid w:val="00C03999"/>
    <w:rsid w:val="00C052BC"/>
    <w:rsid w:val="00C05629"/>
    <w:rsid w:val="00C05D6B"/>
    <w:rsid w:val="00C05FD6"/>
    <w:rsid w:val="00C0642D"/>
    <w:rsid w:val="00C06C32"/>
    <w:rsid w:val="00C07222"/>
    <w:rsid w:val="00C07DC5"/>
    <w:rsid w:val="00C10DEE"/>
    <w:rsid w:val="00C115BA"/>
    <w:rsid w:val="00C118F4"/>
    <w:rsid w:val="00C11CB7"/>
    <w:rsid w:val="00C11D95"/>
    <w:rsid w:val="00C1208D"/>
    <w:rsid w:val="00C126C0"/>
    <w:rsid w:val="00C12DFE"/>
    <w:rsid w:val="00C12E27"/>
    <w:rsid w:val="00C12E82"/>
    <w:rsid w:val="00C13559"/>
    <w:rsid w:val="00C13646"/>
    <w:rsid w:val="00C159F5"/>
    <w:rsid w:val="00C174FC"/>
    <w:rsid w:val="00C178EF"/>
    <w:rsid w:val="00C17C09"/>
    <w:rsid w:val="00C17DAA"/>
    <w:rsid w:val="00C20092"/>
    <w:rsid w:val="00C209C7"/>
    <w:rsid w:val="00C20CAE"/>
    <w:rsid w:val="00C210DC"/>
    <w:rsid w:val="00C212E6"/>
    <w:rsid w:val="00C21434"/>
    <w:rsid w:val="00C21921"/>
    <w:rsid w:val="00C21D9D"/>
    <w:rsid w:val="00C222CB"/>
    <w:rsid w:val="00C2293F"/>
    <w:rsid w:val="00C22A23"/>
    <w:rsid w:val="00C2315F"/>
    <w:rsid w:val="00C23851"/>
    <w:rsid w:val="00C23CAE"/>
    <w:rsid w:val="00C23EFB"/>
    <w:rsid w:val="00C24D6A"/>
    <w:rsid w:val="00C2514D"/>
    <w:rsid w:val="00C2552B"/>
    <w:rsid w:val="00C25FFA"/>
    <w:rsid w:val="00C263FB"/>
    <w:rsid w:val="00C267A3"/>
    <w:rsid w:val="00C267EF"/>
    <w:rsid w:val="00C26C03"/>
    <w:rsid w:val="00C27328"/>
    <w:rsid w:val="00C27DBF"/>
    <w:rsid w:val="00C27F1A"/>
    <w:rsid w:val="00C30AD7"/>
    <w:rsid w:val="00C318DB"/>
    <w:rsid w:val="00C31E0E"/>
    <w:rsid w:val="00C326B0"/>
    <w:rsid w:val="00C3274D"/>
    <w:rsid w:val="00C32AF1"/>
    <w:rsid w:val="00C32B02"/>
    <w:rsid w:val="00C33937"/>
    <w:rsid w:val="00C33A0C"/>
    <w:rsid w:val="00C33D6E"/>
    <w:rsid w:val="00C347A2"/>
    <w:rsid w:val="00C34928"/>
    <w:rsid w:val="00C349B2"/>
    <w:rsid w:val="00C34BC4"/>
    <w:rsid w:val="00C34F04"/>
    <w:rsid w:val="00C35B0A"/>
    <w:rsid w:val="00C35EE8"/>
    <w:rsid w:val="00C3630A"/>
    <w:rsid w:val="00C36BE3"/>
    <w:rsid w:val="00C36E4A"/>
    <w:rsid w:val="00C3756F"/>
    <w:rsid w:val="00C37AB6"/>
    <w:rsid w:val="00C37E83"/>
    <w:rsid w:val="00C37EE7"/>
    <w:rsid w:val="00C40261"/>
    <w:rsid w:val="00C406C6"/>
    <w:rsid w:val="00C4168D"/>
    <w:rsid w:val="00C44AB3"/>
    <w:rsid w:val="00C44C02"/>
    <w:rsid w:val="00C45905"/>
    <w:rsid w:val="00C46FB1"/>
    <w:rsid w:val="00C4724B"/>
    <w:rsid w:val="00C47981"/>
    <w:rsid w:val="00C47C9A"/>
    <w:rsid w:val="00C501E1"/>
    <w:rsid w:val="00C50376"/>
    <w:rsid w:val="00C51903"/>
    <w:rsid w:val="00C51936"/>
    <w:rsid w:val="00C51B78"/>
    <w:rsid w:val="00C5280B"/>
    <w:rsid w:val="00C52A6A"/>
    <w:rsid w:val="00C52B3C"/>
    <w:rsid w:val="00C53AE0"/>
    <w:rsid w:val="00C53DA0"/>
    <w:rsid w:val="00C54125"/>
    <w:rsid w:val="00C54721"/>
    <w:rsid w:val="00C55CF7"/>
    <w:rsid w:val="00C56199"/>
    <w:rsid w:val="00C5708A"/>
    <w:rsid w:val="00C60038"/>
    <w:rsid w:val="00C6095B"/>
    <w:rsid w:val="00C62264"/>
    <w:rsid w:val="00C63329"/>
    <w:rsid w:val="00C63A55"/>
    <w:rsid w:val="00C63D11"/>
    <w:rsid w:val="00C63ED7"/>
    <w:rsid w:val="00C64739"/>
    <w:rsid w:val="00C65694"/>
    <w:rsid w:val="00C65DD4"/>
    <w:rsid w:val="00C663BE"/>
    <w:rsid w:val="00C675C7"/>
    <w:rsid w:val="00C6763D"/>
    <w:rsid w:val="00C67EE3"/>
    <w:rsid w:val="00C70119"/>
    <w:rsid w:val="00C709ED"/>
    <w:rsid w:val="00C70A44"/>
    <w:rsid w:val="00C70A45"/>
    <w:rsid w:val="00C70CBD"/>
    <w:rsid w:val="00C70DC7"/>
    <w:rsid w:val="00C70DE0"/>
    <w:rsid w:val="00C70E8C"/>
    <w:rsid w:val="00C71431"/>
    <w:rsid w:val="00C71A07"/>
    <w:rsid w:val="00C71EB0"/>
    <w:rsid w:val="00C72C6F"/>
    <w:rsid w:val="00C72EF5"/>
    <w:rsid w:val="00C733DC"/>
    <w:rsid w:val="00C739C8"/>
    <w:rsid w:val="00C741C9"/>
    <w:rsid w:val="00C7435A"/>
    <w:rsid w:val="00C7448D"/>
    <w:rsid w:val="00C74787"/>
    <w:rsid w:val="00C75D7F"/>
    <w:rsid w:val="00C7614E"/>
    <w:rsid w:val="00C76ECF"/>
    <w:rsid w:val="00C802F5"/>
    <w:rsid w:val="00C8071E"/>
    <w:rsid w:val="00C8075A"/>
    <w:rsid w:val="00C80CAD"/>
    <w:rsid w:val="00C80E8E"/>
    <w:rsid w:val="00C80F61"/>
    <w:rsid w:val="00C81E56"/>
    <w:rsid w:val="00C82479"/>
    <w:rsid w:val="00C83250"/>
    <w:rsid w:val="00C8349D"/>
    <w:rsid w:val="00C84189"/>
    <w:rsid w:val="00C846FC"/>
    <w:rsid w:val="00C84A9C"/>
    <w:rsid w:val="00C8526C"/>
    <w:rsid w:val="00C855A2"/>
    <w:rsid w:val="00C85C62"/>
    <w:rsid w:val="00C865E3"/>
    <w:rsid w:val="00C8675F"/>
    <w:rsid w:val="00C868B1"/>
    <w:rsid w:val="00C87205"/>
    <w:rsid w:val="00C87359"/>
    <w:rsid w:val="00C9025D"/>
    <w:rsid w:val="00C90563"/>
    <w:rsid w:val="00C90AAB"/>
    <w:rsid w:val="00C91118"/>
    <w:rsid w:val="00C912F0"/>
    <w:rsid w:val="00C9183C"/>
    <w:rsid w:val="00C91BF9"/>
    <w:rsid w:val="00C91C79"/>
    <w:rsid w:val="00C92297"/>
    <w:rsid w:val="00C9259E"/>
    <w:rsid w:val="00C92D77"/>
    <w:rsid w:val="00C92EA5"/>
    <w:rsid w:val="00C93933"/>
    <w:rsid w:val="00C9429F"/>
    <w:rsid w:val="00C9462E"/>
    <w:rsid w:val="00C94774"/>
    <w:rsid w:val="00C94B4F"/>
    <w:rsid w:val="00C94D40"/>
    <w:rsid w:val="00C94FD4"/>
    <w:rsid w:val="00C95962"/>
    <w:rsid w:val="00C96438"/>
    <w:rsid w:val="00C96C80"/>
    <w:rsid w:val="00C971ED"/>
    <w:rsid w:val="00C9731D"/>
    <w:rsid w:val="00C97477"/>
    <w:rsid w:val="00C976B9"/>
    <w:rsid w:val="00C979ED"/>
    <w:rsid w:val="00C97C18"/>
    <w:rsid w:val="00CA0DFB"/>
    <w:rsid w:val="00CA18F1"/>
    <w:rsid w:val="00CA1E35"/>
    <w:rsid w:val="00CA20C9"/>
    <w:rsid w:val="00CA212E"/>
    <w:rsid w:val="00CA2315"/>
    <w:rsid w:val="00CA2A32"/>
    <w:rsid w:val="00CA2B11"/>
    <w:rsid w:val="00CA3FE7"/>
    <w:rsid w:val="00CA404D"/>
    <w:rsid w:val="00CA427F"/>
    <w:rsid w:val="00CA4BA7"/>
    <w:rsid w:val="00CA4CFD"/>
    <w:rsid w:val="00CA542F"/>
    <w:rsid w:val="00CA572E"/>
    <w:rsid w:val="00CA57D6"/>
    <w:rsid w:val="00CA68C4"/>
    <w:rsid w:val="00CA6D18"/>
    <w:rsid w:val="00CA6D65"/>
    <w:rsid w:val="00CA712F"/>
    <w:rsid w:val="00CA7133"/>
    <w:rsid w:val="00CA7FF7"/>
    <w:rsid w:val="00CB0B9D"/>
    <w:rsid w:val="00CB0D2E"/>
    <w:rsid w:val="00CB1565"/>
    <w:rsid w:val="00CB15D9"/>
    <w:rsid w:val="00CB21A0"/>
    <w:rsid w:val="00CB225D"/>
    <w:rsid w:val="00CB24B9"/>
    <w:rsid w:val="00CB2552"/>
    <w:rsid w:val="00CB2B65"/>
    <w:rsid w:val="00CB2EDF"/>
    <w:rsid w:val="00CB34B1"/>
    <w:rsid w:val="00CB3FEC"/>
    <w:rsid w:val="00CB6400"/>
    <w:rsid w:val="00CB672B"/>
    <w:rsid w:val="00CC0327"/>
    <w:rsid w:val="00CC0332"/>
    <w:rsid w:val="00CC095B"/>
    <w:rsid w:val="00CC0D54"/>
    <w:rsid w:val="00CC16ED"/>
    <w:rsid w:val="00CC174B"/>
    <w:rsid w:val="00CC1C44"/>
    <w:rsid w:val="00CC2211"/>
    <w:rsid w:val="00CC2936"/>
    <w:rsid w:val="00CC3038"/>
    <w:rsid w:val="00CC3109"/>
    <w:rsid w:val="00CC3F23"/>
    <w:rsid w:val="00CC46B2"/>
    <w:rsid w:val="00CC4A34"/>
    <w:rsid w:val="00CC4AE6"/>
    <w:rsid w:val="00CC4C73"/>
    <w:rsid w:val="00CC5AF0"/>
    <w:rsid w:val="00CC60B9"/>
    <w:rsid w:val="00CC73C6"/>
    <w:rsid w:val="00CC7D7B"/>
    <w:rsid w:val="00CD0F90"/>
    <w:rsid w:val="00CD0FCA"/>
    <w:rsid w:val="00CD16E5"/>
    <w:rsid w:val="00CD1892"/>
    <w:rsid w:val="00CD1B8E"/>
    <w:rsid w:val="00CD239A"/>
    <w:rsid w:val="00CD29AA"/>
    <w:rsid w:val="00CD368A"/>
    <w:rsid w:val="00CD36FB"/>
    <w:rsid w:val="00CD3C16"/>
    <w:rsid w:val="00CD4066"/>
    <w:rsid w:val="00CD4DA8"/>
    <w:rsid w:val="00CD5189"/>
    <w:rsid w:val="00CD588E"/>
    <w:rsid w:val="00CD63F5"/>
    <w:rsid w:val="00CD65C2"/>
    <w:rsid w:val="00CD6932"/>
    <w:rsid w:val="00CD6E2F"/>
    <w:rsid w:val="00CD76D8"/>
    <w:rsid w:val="00CD7B35"/>
    <w:rsid w:val="00CD7E02"/>
    <w:rsid w:val="00CD7E9C"/>
    <w:rsid w:val="00CE1184"/>
    <w:rsid w:val="00CE154C"/>
    <w:rsid w:val="00CE1750"/>
    <w:rsid w:val="00CE1E0A"/>
    <w:rsid w:val="00CE1FB6"/>
    <w:rsid w:val="00CE2CFE"/>
    <w:rsid w:val="00CE3F87"/>
    <w:rsid w:val="00CE43E0"/>
    <w:rsid w:val="00CE484C"/>
    <w:rsid w:val="00CE4D88"/>
    <w:rsid w:val="00CE5D0C"/>
    <w:rsid w:val="00CE60A8"/>
    <w:rsid w:val="00CE6188"/>
    <w:rsid w:val="00CF0D24"/>
    <w:rsid w:val="00CF0DF8"/>
    <w:rsid w:val="00CF0F6E"/>
    <w:rsid w:val="00CF1051"/>
    <w:rsid w:val="00CF1410"/>
    <w:rsid w:val="00CF1817"/>
    <w:rsid w:val="00CF2232"/>
    <w:rsid w:val="00CF2283"/>
    <w:rsid w:val="00CF2808"/>
    <w:rsid w:val="00CF2816"/>
    <w:rsid w:val="00CF2D40"/>
    <w:rsid w:val="00CF3B39"/>
    <w:rsid w:val="00CF3BA3"/>
    <w:rsid w:val="00CF3CC2"/>
    <w:rsid w:val="00CF4324"/>
    <w:rsid w:val="00CF4A54"/>
    <w:rsid w:val="00CF4CEF"/>
    <w:rsid w:val="00CF4D2F"/>
    <w:rsid w:val="00CF4DD2"/>
    <w:rsid w:val="00CF5FD5"/>
    <w:rsid w:val="00CF6BBC"/>
    <w:rsid w:val="00CF6F2E"/>
    <w:rsid w:val="00CF7173"/>
    <w:rsid w:val="00CF7612"/>
    <w:rsid w:val="00D002D1"/>
    <w:rsid w:val="00D00B05"/>
    <w:rsid w:val="00D01125"/>
    <w:rsid w:val="00D01813"/>
    <w:rsid w:val="00D01BD2"/>
    <w:rsid w:val="00D01F12"/>
    <w:rsid w:val="00D02038"/>
    <w:rsid w:val="00D0267F"/>
    <w:rsid w:val="00D027A6"/>
    <w:rsid w:val="00D02B43"/>
    <w:rsid w:val="00D0332B"/>
    <w:rsid w:val="00D036E8"/>
    <w:rsid w:val="00D04169"/>
    <w:rsid w:val="00D04278"/>
    <w:rsid w:val="00D045DF"/>
    <w:rsid w:val="00D0485B"/>
    <w:rsid w:val="00D05A4D"/>
    <w:rsid w:val="00D05F72"/>
    <w:rsid w:val="00D05FC3"/>
    <w:rsid w:val="00D06694"/>
    <w:rsid w:val="00D06E9A"/>
    <w:rsid w:val="00D1191A"/>
    <w:rsid w:val="00D124DE"/>
    <w:rsid w:val="00D127EC"/>
    <w:rsid w:val="00D14548"/>
    <w:rsid w:val="00D15BF0"/>
    <w:rsid w:val="00D1611C"/>
    <w:rsid w:val="00D16278"/>
    <w:rsid w:val="00D16796"/>
    <w:rsid w:val="00D167BF"/>
    <w:rsid w:val="00D168A5"/>
    <w:rsid w:val="00D16C13"/>
    <w:rsid w:val="00D17016"/>
    <w:rsid w:val="00D17968"/>
    <w:rsid w:val="00D17C0A"/>
    <w:rsid w:val="00D20E08"/>
    <w:rsid w:val="00D21DD4"/>
    <w:rsid w:val="00D21FDF"/>
    <w:rsid w:val="00D22433"/>
    <w:rsid w:val="00D23839"/>
    <w:rsid w:val="00D242A2"/>
    <w:rsid w:val="00D26AFD"/>
    <w:rsid w:val="00D27469"/>
    <w:rsid w:val="00D27B3C"/>
    <w:rsid w:val="00D27FCF"/>
    <w:rsid w:val="00D30531"/>
    <w:rsid w:val="00D30823"/>
    <w:rsid w:val="00D30EF2"/>
    <w:rsid w:val="00D31514"/>
    <w:rsid w:val="00D3154A"/>
    <w:rsid w:val="00D31D04"/>
    <w:rsid w:val="00D32996"/>
    <w:rsid w:val="00D33233"/>
    <w:rsid w:val="00D333E6"/>
    <w:rsid w:val="00D335AF"/>
    <w:rsid w:val="00D335ED"/>
    <w:rsid w:val="00D33F99"/>
    <w:rsid w:val="00D343DB"/>
    <w:rsid w:val="00D34780"/>
    <w:rsid w:val="00D34F37"/>
    <w:rsid w:val="00D35567"/>
    <w:rsid w:val="00D35888"/>
    <w:rsid w:val="00D35C38"/>
    <w:rsid w:val="00D35DE7"/>
    <w:rsid w:val="00D36285"/>
    <w:rsid w:val="00D36498"/>
    <w:rsid w:val="00D364DB"/>
    <w:rsid w:val="00D36799"/>
    <w:rsid w:val="00D37582"/>
    <w:rsid w:val="00D37871"/>
    <w:rsid w:val="00D378A4"/>
    <w:rsid w:val="00D37AB6"/>
    <w:rsid w:val="00D4038A"/>
    <w:rsid w:val="00D40CE4"/>
    <w:rsid w:val="00D40E41"/>
    <w:rsid w:val="00D41C2C"/>
    <w:rsid w:val="00D42F2F"/>
    <w:rsid w:val="00D43336"/>
    <w:rsid w:val="00D43D52"/>
    <w:rsid w:val="00D43D7F"/>
    <w:rsid w:val="00D43F47"/>
    <w:rsid w:val="00D4423E"/>
    <w:rsid w:val="00D446AB"/>
    <w:rsid w:val="00D450D7"/>
    <w:rsid w:val="00D4531C"/>
    <w:rsid w:val="00D454CC"/>
    <w:rsid w:val="00D456AE"/>
    <w:rsid w:val="00D456D7"/>
    <w:rsid w:val="00D45981"/>
    <w:rsid w:val="00D45C1F"/>
    <w:rsid w:val="00D460D6"/>
    <w:rsid w:val="00D46101"/>
    <w:rsid w:val="00D465B1"/>
    <w:rsid w:val="00D477AC"/>
    <w:rsid w:val="00D501D2"/>
    <w:rsid w:val="00D50750"/>
    <w:rsid w:val="00D509F0"/>
    <w:rsid w:val="00D50CB4"/>
    <w:rsid w:val="00D513F4"/>
    <w:rsid w:val="00D51F2D"/>
    <w:rsid w:val="00D522BB"/>
    <w:rsid w:val="00D52F38"/>
    <w:rsid w:val="00D532CD"/>
    <w:rsid w:val="00D54742"/>
    <w:rsid w:val="00D55BED"/>
    <w:rsid w:val="00D56F8E"/>
    <w:rsid w:val="00D57584"/>
    <w:rsid w:val="00D57B15"/>
    <w:rsid w:val="00D57CC0"/>
    <w:rsid w:val="00D6028C"/>
    <w:rsid w:val="00D604F9"/>
    <w:rsid w:val="00D60607"/>
    <w:rsid w:val="00D61932"/>
    <w:rsid w:val="00D62A28"/>
    <w:rsid w:val="00D63EB9"/>
    <w:rsid w:val="00D644EF"/>
    <w:rsid w:val="00D65B05"/>
    <w:rsid w:val="00D65E3F"/>
    <w:rsid w:val="00D66272"/>
    <w:rsid w:val="00D666C2"/>
    <w:rsid w:val="00D66762"/>
    <w:rsid w:val="00D70AF9"/>
    <w:rsid w:val="00D723E2"/>
    <w:rsid w:val="00D72A8C"/>
    <w:rsid w:val="00D730B6"/>
    <w:rsid w:val="00D73226"/>
    <w:rsid w:val="00D73D47"/>
    <w:rsid w:val="00D7403A"/>
    <w:rsid w:val="00D7437B"/>
    <w:rsid w:val="00D745C5"/>
    <w:rsid w:val="00D745C8"/>
    <w:rsid w:val="00D74B16"/>
    <w:rsid w:val="00D75FD6"/>
    <w:rsid w:val="00D7639D"/>
    <w:rsid w:val="00D76741"/>
    <w:rsid w:val="00D769D5"/>
    <w:rsid w:val="00D76A25"/>
    <w:rsid w:val="00D76EA9"/>
    <w:rsid w:val="00D77825"/>
    <w:rsid w:val="00D77C6D"/>
    <w:rsid w:val="00D77E65"/>
    <w:rsid w:val="00D80182"/>
    <w:rsid w:val="00D804A2"/>
    <w:rsid w:val="00D80821"/>
    <w:rsid w:val="00D80CEA"/>
    <w:rsid w:val="00D80FD0"/>
    <w:rsid w:val="00D82371"/>
    <w:rsid w:val="00D825F3"/>
    <w:rsid w:val="00D82F2D"/>
    <w:rsid w:val="00D833E2"/>
    <w:rsid w:val="00D856EC"/>
    <w:rsid w:val="00D86409"/>
    <w:rsid w:val="00D86865"/>
    <w:rsid w:val="00D86B09"/>
    <w:rsid w:val="00D86B87"/>
    <w:rsid w:val="00D86D67"/>
    <w:rsid w:val="00D87033"/>
    <w:rsid w:val="00D87489"/>
    <w:rsid w:val="00D87BD8"/>
    <w:rsid w:val="00D91B52"/>
    <w:rsid w:val="00D91B81"/>
    <w:rsid w:val="00D92155"/>
    <w:rsid w:val="00D9237D"/>
    <w:rsid w:val="00D923FA"/>
    <w:rsid w:val="00D9246D"/>
    <w:rsid w:val="00D92503"/>
    <w:rsid w:val="00D92B0F"/>
    <w:rsid w:val="00D92DCA"/>
    <w:rsid w:val="00D931E6"/>
    <w:rsid w:val="00D937C3"/>
    <w:rsid w:val="00D937CC"/>
    <w:rsid w:val="00D944B2"/>
    <w:rsid w:val="00D9458F"/>
    <w:rsid w:val="00D94AC0"/>
    <w:rsid w:val="00D94C6B"/>
    <w:rsid w:val="00D94D0B"/>
    <w:rsid w:val="00D9523F"/>
    <w:rsid w:val="00D95908"/>
    <w:rsid w:val="00D95938"/>
    <w:rsid w:val="00D9688D"/>
    <w:rsid w:val="00D96E51"/>
    <w:rsid w:val="00D9717B"/>
    <w:rsid w:val="00D97487"/>
    <w:rsid w:val="00D977CE"/>
    <w:rsid w:val="00DA0FBC"/>
    <w:rsid w:val="00DA221F"/>
    <w:rsid w:val="00DA251A"/>
    <w:rsid w:val="00DA28C7"/>
    <w:rsid w:val="00DA2AF3"/>
    <w:rsid w:val="00DA2BFE"/>
    <w:rsid w:val="00DA2F8D"/>
    <w:rsid w:val="00DA3263"/>
    <w:rsid w:val="00DA3370"/>
    <w:rsid w:val="00DA3371"/>
    <w:rsid w:val="00DA49B1"/>
    <w:rsid w:val="00DA4A06"/>
    <w:rsid w:val="00DA4CAE"/>
    <w:rsid w:val="00DA5DEB"/>
    <w:rsid w:val="00DA6965"/>
    <w:rsid w:val="00DA73EC"/>
    <w:rsid w:val="00DA7F72"/>
    <w:rsid w:val="00DB0878"/>
    <w:rsid w:val="00DB0C85"/>
    <w:rsid w:val="00DB1809"/>
    <w:rsid w:val="00DB1C50"/>
    <w:rsid w:val="00DB1F52"/>
    <w:rsid w:val="00DB2106"/>
    <w:rsid w:val="00DB271F"/>
    <w:rsid w:val="00DB2A86"/>
    <w:rsid w:val="00DB40D3"/>
    <w:rsid w:val="00DB4336"/>
    <w:rsid w:val="00DB4EF2"/>
    <w:rsid w:val="00DB5759"/>
    <w:rsid w:val="00DB5B24"/>
    <w:rsid w:val="00DB5C87"/>
    <w:rsid w:val="00DB62F4"/>
    <w:rsid w:val="00DB6994"/>
    <w:rsid w:val="00DB7128"/>
    <w:rsid w:val="00DB72C9"/>
    <w:rsid w:val="00DB7370"/>
    <w:rsid w:val="00DB76EF"/>
    <w:rsid w:val="00DC00E6"/>
    <w:rsid w:val="00DC0DC9"/>
    <w:rsid w:val="00DC16FA"/>
    <w:rsid w:val="00DC21A5"/>
    <w:rsid w:val="00DC2368"/>
    <w:rsid w:val="00DC2D58"/>
    <w:rsid w:val="00DC2EAA"/>
    <w:rsid w:val="00DC3089"/>
    <w:rsid w:val="00DC3667"/>
    <w:rsid w:val="00DC4786"/>
    <w:rsid w:val="00DC5B56"/>
    <w:rsid w:val="00DC610A"/>
    <w:rsid w:val="00DC6D17"/>
    <w:rsid w:val="00DC7104"/>
    <w:rsid w:val="00DC7468"/>
    <w:rsid w:val="00DD0861"/>
    <w:rsid w:val="00DD08C7"/>
    <w:rsid w:val="00DD0B3F"/>
    <w:rsid w:val="00DD0B9B"/>
    <w:rsid w:val="00DD1563"/>
    <w:rsid w:val="00DD16AF"/>
    <w:rsid w:val="00DD1A85"/>
    <w:rsid w:val="00DD1F6F"/>
    <w:rsid w:val="00DD218A"/>
    <w:rsid w:val="00DD263C"/>
    <w:rsid w:val="00DD27AF"/>
    <w:rsid w:val="00DD2C6C"/>
    <w:rsid w:val="00DD3132"/>
    <w:rsid w:val="00DD3148"/>
    <w:rsid w:val="00DD336B"/>
    <w:rsid w:val="00DD40F7"/>
    <w:rsid w:val="00DD4BEF"/>
    <w:rsid w:val="00DD4E48"/>
    <w:rsid w:val="00DD4EF1"/>
    <w:rsid w:val="00DD5A65"/>
    <w:rsid w:val="00DD5A7E"/>
    <w:rsid w:val="00DD5AAD"/>
    <w:rsid w:val="00DD5F5A"/>
    <w:rsid w:val="00DD652C"/>
    <w:rsid w:val="00DD76B9"/>
    <w:rsid w:val="00DD7C93"/>
    <w:rsid w:val="00DD7EC1"/>
    <w:rsid w:val="00DE06A4"/>
    <w:rsid w:val="00DE17C4"/>
    <w:rsid w:val="00DE1935"/>
    <w:rsid w:val="00DE1B64"/>
    <w:rsid w:val="00DE1BAF"/>
    <w:rsid w:val="00DE2072"/>
    <w:rsid w:val="00DE22EB"/>
    <w:rsid w:val="00DE24C9"/>
    <w:rsid w:val="00DE24F8"/>
    <w:rsid w:val="00DE27CB"/>
    <w:rsid w:val="00DE2A4C"/>
    <w:rsid w:val="00DE323D"/>
    <w:rsid w:val="00DE354F"/>
    <w:rsid w:val="00DE37E2"/>
    <w:rsid w:val="00DE3A7F"/>
    <w:rsid w:val="00DE3C5F"/>
    <w:rsid w:val="00DE3DB0"/>
    <w:rsid w:val="00DE508E"/>
    <w:rsid w:val="00DE56D9"/>
    <w:rsid w:val="00DE5715"/>
    <w:rsid w:val="00DE5EAB"/>
    <w:rsid w:val="00DE74F1"/>
    <w:rsid w:val="00DE7F72"/>
    <w:rsid w:val="00DF0C99"/>
    <w:rsid w:val="00DF0D85"/>
    <w:rsid w:val="00DF0E6C"/>
    <w:rsid w:val="00DF0F75"/>
    <w:rsid w:val="00DF1163"/>
    <w:rsid w:val="00DF123A"/>
    <w:rsid w:val="00DF2013"/>
    <w:rsid w:val="00DF278B"/>
    <w:rsid w:val="00DF27F4"/>
    <w:rsid w:val="00DF305C"/>
    <w:rsid w:val="00DF365E"/>
    <w:rsid w:val="00DF403F"/>
    <w:rsid w:val="00DF4273"/>
    <w:rsid w:val="00DF57B7"/>
    <w:rsid w:val="00DF57CC"/>
    <w:rsid w:val="00DF5A8B"/>
    <w:rsid w:val="00DF6307"/>
    <w:rsid w:val="00DF6604"/>
    <w:rsid w:val="00DF675F"/>
    <w:rsid w:val="00DF696C"/>
    <w:rsid w:val="00DF6D24"/>
    <w:rsid w:val="00DF73DF"/>
    <w:rsid w:val="00DF773A"/>
    <w:rsid w:val="00DF785F"/>
    <w:rsid w:val="00DF7B22"/>
    <w:rsid w:val="00E00BA9"/>
    <w:rsid w:val="00E00C86"/>
    <w:rsid w:val="00E00DBB"/>
    <w:rsid w:val="00E02724"/>
    <w:rsid w:val="00E0313C"/>
    <w:rsid w:val="00E0371A"/>
    <w:rsid w:val="00E039E4"/>
    <w:rsid w:val="00E042C3"/>
    <w:rsid w:val="00E048C7"/>
    <w:rsid w:val="00E04B7C"/>
    <w:rsid w:val="00E05894"/>
    <w:rsid w:val="00E05B93"/>
    <w:rsid w:val="00E05C5D"/>
    <w:rsid w:val="00E05D28"/>
    <w:rsid w:val="00E05E3A"/>
    <w:rsid w:val="00E06046"/>
    <w:rsid w:val="00E0682B"/>
    <w:rsid w:val="00E070CD"/>
    <w:rsid w:val="00E0725A"/>
    <w:rsid w:val="00E07C21"/>
    <w:rsid w:val="00E10439"/>
    <w:rsid w:val="00E107B1"/>
    <w:rsid w:val="00E10A6B"/>
    <w:rsid w:val="00E10B6C"/>
    <w:rsid w:val="00E10E4F"/>
    <w:rsid w:val="00E11028"/>
    <w:rsid w:val="00E1117A"/>
    <w:rsid w:val="00E11DD7"/>
    <w:rsid w:val="00E128A6"/>
    <w:rsid w:val="00E12A8E"/>
    <w:rsid w:val="00E12DBD"/>
    <w:rsid w:val="00E13A71"/>
    <w:rsid w:val="00E13CCA"/>
    <w:rsid w:val="00E14023"/>
    <w:rsid w:val="00E1487A"/>
    <w:rsid w:val="00E148AB"/>
    <w:rsid w:val="00E14B31"/>
    <w:rsid w:val="00E15CE6"/>
    <w:rsid w:val="00E1614F"/>
    <w:rsid w:val="00E1619D"/>
    <w:rsid w:val="00E1634A"/>
    <w:rsid w:val="00E1668A"/>
    <w:rsid w:val="00E169E2"/>
    <w:rsid w:val="00E177D4"/>
    <w:rsid w:val="00E21085"/>
    <w:rsid w:val="00E21519"/>
    <w:rsid w:val="00E2156A"/>
    <w:rsid w:val="00E22136"/>
    <w:rsid w:val="00E22D1E"/>
    <w:rsid w:val="00E231C2"/>
    <w:rsid w:val="00E23916"/>
    <w:rsid w:val="00E2468C"/>
    <w:rsid w:val="00E246E0"/>
    <w:rsid w:val="00E25852"/>
    <w:rsid w:val="00E25F61"/>
    <w:rsid w:val="00E2743C"/>
    <w:rsid w:val="00E27636"/>
    <w:rsid w:val="00E30827"/>
    <w:rsid w:val="00E30A11"/>
    <w:rsid w:val="00E31867"/>
    <w:rsid w:val="00E319CE"/>
    <w:rsid w:val="00E31CCC"/>
    <w:rsid w:val="00E3225C"/>
    <w:rsid w:val="00E324B8"/>
    <w:rsid w:val="00E32B6E"/>
    <w:rsid w:val="00E32F57"/>
    <w:rsid w:val="00E33C84"/>
    <w:rsid w:val="00E33D32"/>
    <w:rsid w:val="00E3443F"/>
    <w:rsid w:val="00E34B9E"/>
    <w:rsid w:val="00E34C5C"/>
    <w:rsid w:val="00E351BD"/>
    <w:rsid w:val="00E35A65"/>
    <w:rsid w:val="00E35CBD"/>
    <w:rsid w:val="00E35DFD"/>
    <w:rsid w:val="00E35F49"/>
    <w:rsid w:val="00E365E4"/>
    <w:rsid w:val="00E36F67"/>
    <w:rsid w:val="00E37DC9"/>
    <w:rsid w:val="00E37FF3"/>
    <w:rsid w:val="00E4004C"/>
    <w:rsid w:val="00E4005D"/>
    <w:rsid w:val="00E40373"/>
    <w:rsid w:val="00E40660"/>
    <w:rsid w:val="00E40790"/>
    <w:rsid w:val="00E414CC"/>
    <w:rsid w:val="00E42CC2"/>
    <w:rsid w:val="00E42CE9"/>
    <w:rsid w:val="00E432AF"/>
    <w:rsid w:val="00E43D60"/>
    <w:rsid w:val="00E4402B"/>
    <w:rsid w:val="00E461BC"/>
    <w:rsid w:val="00E46A87"/>
    <w:rsid w:val="00E4701D"/>
    <w:rsid w:val="00E50369"/>
    <w:rsid w:val="00E50449"/>
    <w:rsid w:val="00E50761"/>
    <w:rsid w:val="00E50FB0"/>
    <w:rsid w:val="00E511E6"/>
    <w:rsid w:val="00E52129"/>
    <w:rsid w:val="00E5295C"/>
    <w:rsid w:val="00E52DDC"/>
    <w:rsid w:val="00E53649"/>
    <w:rsid w:val="00E53C43"/>
    <w:rsid w:val="00E54636"/>
    <w:rsid w:val="00E54734"/>
    <w:rsid w:val="00E54821"/>
    <w:rsid w:val="00E552B1"/>
    <w:rsid w:val="00E555F9"/>
    <w:rsid w:val="00E5588A"/>
    <w:rsid w:val="00E55F99"/>
    <w:rsid w:val="00E56287"/>
    <w:rsid w:val="00E56305"/>
    <w:rsid w:val="00E567C0"/>
    <w:rsid w:val="00E56C7A"/>
    <w:rsid w:val="00E572F9"/>
    <w:rsid w:val="00E57AC9"/>
    <w:rsid w:val="00E57BFC"/>
    <w:rsid w:val="00E60456"/>
    <w:rsid w:val="00E6045A"/>
    <w:rsid w:val="00E627BB"/>
    <w:rsid w:val="00E6290B"/>
    <w:rsid w:val="00E63A5D"/>
    <w:rsid w:val="00E63F38"/>
    <w:rsid w:val="00E64DB5"/>
    <w:rsid w:val="00E65A14"/>
    <w:rsid w:val="00E65AF4"/>
    <w:rsid w:val="00E65D2E"/>
    <w:rsid w:val="00E65ED7"/>
    <w:rsid w:val="00E6679A"/>
    <w:rsid w:val="00E67A5E"/>
    <w:rsid w:val="00E70913"/>
    <w:rsid w:val="00E70E0B"/>
    <w:rsid w:val="00E71DC2"/>
    <w:rsid w:val="00E7260A"/>
    <w:rsid w:val="00E72724"/>
    <w:rsid w:val="00E72E2E"/>
    <w:rsid w:val="00E73099"/>
    <w:rsid w:val="00E736F5"/>
    <w:rsid w:val="00E73A37"/>
    <w:rsid w:val="00E74902"/>
    <w:rsid w:val="00E75248"/>
    <w:rsid w:val="00E75A0E"/>
    <w:rsid w:val="00E7606A"/>
    <w:rsid w:val="00E775B4"/>
    <w:rsid w:val="00E77964"/>
    <w:rsid w:val="00E77AE3"/>
    <w:rsid w:val="00E77DB8"/>
    <w:rsid w:val="00E81B6D"/>
    <w:rsid w:val="00E827F3"/>
    <w:rsid w:val="00E8283D"/>
    <w:rsid w:val="00E82B7F"/>
    <w:rsid w:val="00E82D52"/>
    <w:rsid w:val="00E8357E"/>
    <w:rsid w:val="00E83D5E"/>
    <w:rsid w:val="00E84B9E"/>
    <w:rsid w:val="00E854B0"/>
    <w:rsid w:val="00E86006"/>
    <w:rsid w:val="00E86275"/>
    <w:rsid w:val="00E87816"/>
    <w:rsid w:val="00E87AB3"/>
    <w:rsid w:val="00E87CAC"/>
    <w:rsid w:val="00E9048A"/>
    <w:rsid w:val="00E907AD"/>
    <w:rsid w:val="00E907FD"/>
    <w:rsid w:val="00E9114A"/>
    <w:rsid w:val="00E913B7"/>
    <w:rsid w:val="00E9157C"/>
    <w:rsid w:val="00E91705"/>
    <w:rsid w:val="00E925C1"/>
    <w:rsid w:val="00E94343"/>
    <w:rsid w:val="00E9465F"/>
    <w:rsid w:val="00E95E4B"/>
    <w:rsid w:val="00E96999"/>
    <w:rsid w:val="00E96D88"/>
    <w:rsid w:val="00EA0B8C"/>
    <w:rsid w:val="00EA1339"/>
    <w:rsid w:val="00EA2717"/>
    <w:rsid w:val="00EA276F"/>
    <w:rsid w:val="00EA278B"/>
    <w:rsid w:val="00EA2DF9"/>
    <w:rsid w:val="00EA4859"/>
    <w:rsid w:val="00EA4BBD"/>
    <w:rsid w:val="00EA5494"/>
    <w:rsid w:val="00EA564B"/>
    <w:rsid w:val="00EA5BE9"/>
    <w:rsid w:val="00EA612C"/>
    <w:rsid w:val="00EA6410"/>
    <w:rsid w:val="00EA7946"/>
    <w:rsid w:val="00EB05EB"/>
    <w:rsid w:val="00EB093E"/>
    <w:rsid w:val="00EB11E4"/>
    <w:rsid w:val="00EB1735"/>
    <w:rsid w:val="00EB30DA"/>
    <w:rsid w:val="00EB315F"/>
    <w:rsid w:val="00EB3239"/>
    <w:rsid w:val="00EB441C"/>
    <w:rsid w:val="00EB507D"/>
    <w:rsid w:val="00EB5D84"/>
    <w:rsid w:val="00EB5D98"/>
    <w:rsid w:val="00EB63D7"/>
    <w:rsid w:val="00EB7ADD"/>
    <w:rsid w:val="00EC054E"/>
    <w:rsid w:val="00EC0634"/>
    <w:rsid w:val="00EC0975"/>
    <w:rsid w:val="00EC137A"/>
    <w:rsid w:val="00EC1825"/>
    <w:rsid w:val="00EC2377"/>
    <w:rsid w:val="00EC2EB9"/>
    <w:rsid w:val="00EC4445"/>
    <w:rsid w:val="00EC4B06"/>
    <w:rsid w:val="00EC4C37"/>
    <w:rsid w:val="00EC50C3"/>
    <w:rsid w:val="00EC5204"/>
    <w:rsid w:val="00EC67EE"/>
    <w:rsid w:val="00EC6B49"/>
    <w:rsid w:val="00EC7587"/>
    <w:rsid w:val="00EC77E8"/>
    <w:rsid w:val="00EC7F08"/>
    <w:rsid w:val="00ED095E"/>
    <w:rsid w:val="00ED0D42"/>
    <w:rsid w:val="00ED11D5"/>
    <w:rsid w:val="00ED11E9"/>
    <w:rsid w:val="00ED1C3D"/>
    <w:rsid w:val="00ED2339"/>
    <w:rsid w:val="00ED2E03"/>
    <w:rsid w:val="00ED3B23"/>
    <w:rsid w:val="00ED4073"/>
    <w:rsid w:val="00ED4A69"/>
    <w:rsid w:val="00ED61C3"/>
    <w:rsid w:val="00ED6276"/>
    <w:rsid w:val="00ED661A"/>
    <w:rsid w:val="00ED73C0"/>
    <w:rsid w:val="00EE05EE"/>
    <w:rsid w:val="00EE08C6"/>
    <w:rsid w:val="00EE1724"/>
    <w:rsid w:val="00EE1F32"/>
    <w:rsid w:val="00EE3CE0"/>
    <w:rsid w:val="00EE45CF"/>
    <w:rsid w:val="00EE5378"/>
    <w:rsid w:val="00EE56D6"/>
    <w:rsid w:val="00EE5941"/>
    <w:rsid w:val="00EE62BE"/>
    <w:rsid w:val="00EE6583"/>
    <w:rsid w:val="00EE6E1A"/>
    <w:rsid w:val="00EE6FCA"/>
    <w:rsid w:val="00EE703A"/>
    <w:rsid w:val="00EE7B54"/>
    <w:rsid w:val="00EE7D61"/>
    <w:rsid w:val="00EF0C94"/>
    <w:rsid w:val="00EF0F69"/>
    <w:rsid w:val="00EF24A5"/>
    <w:rsid w:val="00EF27A2"/>
    <w:rsid w:val="00EF2FF4"/>
    <w:rsid w:val="00EF3334"/>
    <w:rsid w:val="00EF3A46"/>
    <w:rsid w:val="00EF3B90"/>
    <w:rsid w:val="00EF4089"/>
    <w:rsid w:val="00EF41B7"/>
    <w:rsid w:val="00EF42FF"/>
    <w:rsid w:val="00EF43DD"/>
    <w:rsid w:val="00EF4C04"/>
    <w:rsid w:val="00EF4CDE"/>
    <w:rsid w:val="00EF5F38"/>
    <w:rsid w:val="00EF6056"/>
    <w:rsid w:val="00EF66D7"/>
    <w:rsid w:val="00EF6C46"/>
    <w:rsid w:val="00EF79C2"/>
    <w:rsid w:val="00F006F2"/>
    <w:rsid w:val="00F011DB"/>
    <w:rsid w:val="00F0175E"/>
    <w:rsid w:val="00F02143"/>
    <w:rsid w:val="00F0273B"/>
    <w:rsid w:val="00F02944"/>
    <w:rsid w:val="00F02A89"/>
    <w:rsid w:val="00F03089"/>
    <w:rsid w:val="00F030F7"/>
    <w:rsid w:val="00F04192"/>
    <w:rsid w:val="00F04730"/>
    <w:rsid w:val="00F048A9"/>
    <w:rsid w:val="00F048F7"/>
    <w:rsid w:val="00F05060"/>
    <w:rsid w:val="00F051DA"/>
    <w:rsid w:val="00F05A3D"/>
    <w:rsid w:val="00F05A7F"/>
    <w:rsid w:val="00F05B84"/>
    <w:rsid w:val="00F0612F"/>
    <w:rsid w:val="00F06966"/>
    <w:rsid w:val="00F06DEA"/>
    <w:rsid w:val="00F07997"/>
    <w:rsid w:val="00F07A20"/>
    <w:rsid w:val="00F07BFE"/>
    <w:rsid w:val="00F1049F"/>
    <w:rsid w:val="00F112CD"/>
    <w:rsid w:val="00F11545"/>
    <w:rsid w:val="00F135E4"/>
    <w:rsid w:val="00F14685"/>
    <w:rsid w:val="00F14A89"/>
    <w:rsid w:val="00F14B1E"/>
    <w:rsid w:val="00F1532B"/>
    <w:rsid w:val="00F15FD8"/>
    <w:rsid w:val="00F16C29"/>
    <w:rsid w:val="00F16E38"/>
    <w:rsid w:val="00F1711E"/>
    <w:rsid w:val="00F171C2"/>
    <w:rsid w:val="00F17259"/>
    <w:rsid w:val="00F17C1C"/>
    <w:rsid w:val="00F20758"/>
    <w:rsid w:val="00F2075A"/>
    <w:rsid w:val="00F208CE"/>
    <w:rsid w:val="00F2126E"/>
    <w:rsid w:val="00F217F1"/>
    <w:rsid w:val="00F2185D"/>
    <w:rsid w:val="00F219D8"/>
    <w:rsid w:val="00F22353"/>
    <w:rsid w:val="00F225D8"/>
    <w:rsid w:val="00F22990"/>
    <w:rsid w:val="00F236CE"/>
    <w:rsid w:val="00F24350"/>
    <w:rsid w:val="00F24520"/>
    <w:rsid w:val="00F24C2A"/>
    <w:rsid w:val="00F24ECC"/>
    <w:rsid w:val="00F24F7A"/>
    <w:rsid w:val="00F25B38"/>
    <w:rsid w:val="00F25BE1"/>
    <w:rsid w:val="00F262A0"/>
    <w:rsid w:val="00F266AB"/>
    <w:rsid w:val="00F270F7"/>
    <w:rsid w:val="00F27A23"/>
    <w:rsid w:val="00F30676"/>
    <w:rsid w:val="00F30862"/>
    <w:rsid w:val="00F3095A"/>
    <w:rsid w:val="00F314CC"/>
    <w:rsid w:val="00F32C69"/>
    <w:rsid w:val="00F32C9C"/>
    <w:rsid w:val="00F338CE"/>
    <w:rsid w:val="00F34A58"/>
    <w:rsid w:val="00F353A9"/>
    <w:rsid w:val="00F354D0"/>
    <w:rsid w:val="00F35E53"/>
    <w:rsid w:val="00F36073"/>
    <w:rsid w:val="00F364D3"/>
    <w:rsid w:val="00F409C9"/>
    <w:rsid w:val="00F40B28"/>
    <w:rsid w:val="00F41471"/>
    <w:rsid w:val="00F416C9"/>
    <w:rsid w:val="00F41DEB"/>
    <w:rsid w:val="00F42484"/>
    <w:rsid w:val="00F42798"/>
    <w:rsid w:val="00F43013"/>
    <w:rsid w:val="00F43746"/>
    <w:rsid w:val="00F43DA0"/>
    <w:rsid w:val="00F4423B"/>
    <w:rsid w:val="00F44669"/>
    <w:rsid w:val="00F44B87"/>
    <w:rsid w:val="00F44B98"/>
    <w:rsid w:val="00F45186"/>
    <w:rsid w:val="00F451A8"/>
    <w:rsid w:val="00F45D77"/>
    <w:rsid w:val="00F46D37"/>
    <w:rsid w:val="00F46E07"/>
    <w:rsid w:val="00F4799D"/>
    <w:rsid w:val="00F5004F"/>
    <w:rsid w:val="00F502CC"/>
    <w:rsid w:val="00F50D07"/>
    <w:rsid w:val="00F526F2"/>
    <w:rsid w:val="00F52A54"/>
    <w:rsid w:val="00F53E17"/>
    <w:rsid w:val="00F54538"/>
    <w:rsid w:val="00F549E3"/>
    <w:rsid w:val="00F54B82"/>
    <w:rsid w:val="00F54BA4"/>
    <w:rsid w:val="00F54D4F"/>
    <w:rsid w:val="00F54E2F"/>
    <w:rsid w:val="00F603DC"/>
    <w:rsid w:val="00F605DB"/>
    <w:rsid w:val="00F6078A"/>
    <w:rsid w:val="00F611A6"/>
    <w:rsid w:val="00F61A93"/>
    <w:rsid w:val="00F6224A"/>
    <w:rsid w:val="00F6244E"/>
    <w:rsid w:val="00F63091"/>
    <w:rsid w:val="00F64257"/>
    <w:rsid w:val="00F649CB"/>
    <w:rsid w:val="00F6554A"/>
    <w:rsid w:val="00F65BB9"/>
    <w:rsid w:val="00F65EF7"/>
    <w:rsid w:val="00F66642"/>
    <w:rsid w:val="00F66896"/>
    <w:rsid w:val="00F67024"/>
    <w:rsid w:val="00F6702B"/>
    <w:rsid w:val="00F7083F"/>
    <w:rsid w:val="00F70F4B"/>
    <w:rsid w:val="00F717AB"/>
    <w:rsid w:val="00F718BE"/>
    <w:rsid w:val="00F72462"/>
    <w:rsid w:val="00F724D4"/>
    <w:rsid w:val="00F73984"/>
    <w:rsid w:val="00F7414F"/>
    <w:rsid w:val="00F74276"/>
    <w:rsid w:val="00F74457"/>
    <w:rsid w:val="00F74475"/>
    <w:rsid w:val="00F745DE"/>
    <w:rsid w:val="00F74625"/>
    <w:rsid w:val="00F75090"/>
    <w:rsid w:val="00F7553D"/>
    <w:rsid w:val="00F75A6B"/>
    <w:rsid w:val="00F75CFB"/>
    <w:rsid w:val="00F7642C"/>
    <w:rsid w:val="00F76639"/>
    <w:rsid w:val="00F766F4"/>
    <w:rsid w:val="00F7760C"/>
    <w:rsid w:val="00F77AE6"/>
    <w:rsid w:val="00F77CB0"/>
    <w:rsid w:val="00F77DE0"/>
    <w:rsid w:val="00F80906"/>
    <w:rsid w:val="00F80C2F"/>
    <w:rsid w:val="00F81EFC"/>
    <w:rsid w:val="00F82B7C"/>
    <w:rsid w:val="00F83D9E"/>
    <w:rsid w:val="00F84959"/>
    <w:rsid w:val="00F85986"/>
    <w:rsid w:val="00F8696D"/>
    <w:rsid w:val="00F86A17"/>
    <w:rsid w:val="00F878BE"/>
    <w:rsid w:val="00F904A3"/>
    <w:rsid w:val="00F90D63"/>
    <w:rsid w:val="00F90D7E"/>
    <w:rsid w:val="00F91BE8"/>
    <w:rsid w:val="00F91F34"/>
    <w:rsid w:val="00F921B9"/>
    <w:rsid w:val="00F932EE"/>
    <w:rsid w:val="00F93718"/>
    <w:rsid w:val="00F94860"/>
    <w:rsid w:val="00F95C05"/>
    <w:rsid w:val="00F96550"/>
    <w:rsid w:val="00F96F20"/>
    <w:rsid w:val="00F977DE"/>
    <w:rsid w:val="00FA0060"/>
    <w:rsid w:val="00FA0182"/>
    <w:rsid w:val="00FA06D0"/>
    <w:rsid w:val="00FA0979"/>
    <w:rsid w:val="00FA15C5"/>
    <w:rsid w:val="00FA1C1C"/>
    <w:rsid w:val="00FA210A"/>
    <w:rsid w:val="00FA22C0"/>
    <w:rsid w:val="00FA30A3"/>
    <w:rsid w:val="00FA3459"/>
    <w:rsid w:val="00FA3BD4"/>
    <w:rsid w:val="00FA52AB"/>
    <w:rsid w:val="00FA554E"/>
    <w:rsid w:val="00FA5766"/>
    <w:rsid w:val="00FA5A34"/>
    <w:rsid w:val="00FA5BF3"/>
    <w:rsid w:val="00FA5C31"/>
    <w:rsid w:val="00FA6D5D"/>
    <w:rsid w:val="00FA6F25"/>
    <w:rsid w:val="00FA72A5"/>
    <w:rsid w:val="00FA752B"/>
    <w:rsid w:val="00FA76A8"/>
    <w:rsid w:val="00FA776B"/>
    <w:rsid w:val="00FA7A44"/>
    <w:rsid w:val="00FA7C37"/>
    <w:rsid w:val="00FB02C8"/>
    <w:rsid w:val="00FB14D3"/>
    <w:rsid w:val="00FB17A2"/>
    <w:rsid w:val="00FB1D86"/>
    <w:rsid w:val="00FB1EA9"/>
    <w:rsid w:val="00FB33DC"/>
    <w:rsid w:val="00FB34C6"/>
    <w:rsid w:val="00FB3623"/>
    <w:rsid w:val="00FB3A55"/>
    <w:rsid w:val="00FB4E7B"/>
    <w:rsid w:val="00FB711E"/>
    <w:rsid w:val="00FB72C5"/>
    <w:rsid w:val="00FB7F21"/>
    <w:rsid w:val="00FC060D"/>
    <w:rsid w:val="00FC13DD"/>
    <w:rsid w:val="00FC1DBD"/>
    <w:rsid w:val="00FC2025"/>
    <w:rsid w:val="00FC2C49"/>
    <w:rsid w:val="00FC2EC4"/>
    <w:rsid w:val="00FC2ED5"/>
    <w:rsid w:val="00FC3BDC"/>
    <w:rsid w:val="00FC3CC4"/>
    <w:rsid w:val="00FC4005"/>
    <w:rsid w:val="00FC4630"/>
    <w:rsid w:val="00FC47BD"/>
    <w:rsid w:val="00FC530C"/>
    <w:rsid w:val="00FC55BE"/>
    <w:rsid w:val="00FC56CE"/>
    <w:rsid w:val="00FC580E"/>
    <w:rsid w:val="00FC68BC"/>
    <w:rsid w:val="00FC711C"/>
    <w:rsid w:val="00FC793E"/>
    <w:rsid w:val="00FC79BE"/>
    <w:rsid w:val="00FD00F7"/>
    <w:rsid w:val="00FD0F81"/>
    <w:rsid w:val="00FD16B9"/>
    <w:rsid w:val="00FD1799"/>
    <w:rsid w:val="00FD1B97"/>
    <w:rsid w:val="00FD1BF6"/>
    <w:rsid w:val="00FD2BB8"/>
    <w:rsid w:val="00FD3579"/>
    <w:rsid w:val="00FD3F17"/>
    <w:rsid w:val="00FD49E6"/>
    <w:rsid w:val="00FD5BAA"/>
    <w:rsid w:val="00FD5DF1"/>
    <w:rsid w:val="00FD5EF0"/>
    <w:rsid w:val="00FD60EC"/>
    <w:rsid w:val="00FD6A71"/>
    <w:rsid w:val="00FD71AF"/>
    <w:rsid w:val="00FD7583"/>
    <w:rsid w:val="00FE07F5"/>
    <w:rsid w:val="00FE0A76"/>
    <w:rsid w:val="00FE11AF"/>
    <w:rsid w:val="00FE1898"/>
    <w:rsid w:val="00FE1CB2"/>
    <w:rsid w:val="00FE1FE1"/>
    <w:rsid w:val="00FE315B"/>
    <w:rsid w:val="00FE3862"/>
    <w:rsid w:val="00FE3F42"/>
    <w:rsid w:val="00FE44D7"/>
    <w:rsid w:val="00FE4B0F"/>
    <w:rsid w:val="00FE5A94"/>
    <w:rsid w:val="00FE5D39"/>
    <w:rsid w:val="00FE67FA"/>
    <w:rsid w:val="00FE70EB"/>
    <w:rsid w:val="00FE774B"/>
    <w:rsid w:val="00FE787D"/>
    <w:rsid w:val="00FE7BCF"/>
    <w:rsid w:val="00FF0967"/>
    <w:rsid w:val="00FF0B7B"/>
    <w:rsid w:val="00FF0BFA"/>
    <w:rsid w:val="00FF1162"/>
    <w:rsid w:val="00FF192D"/>
    <w:rsid w:val="00FF1D41"/>
    <w:rsid w:val="00FF20F1"/>
    <w:rsid w:val="00FF27C5"/>
    <w:rsid w:val="00FF2958"/>
    <w:rsid w:val="00FF31CC"/>
    <w:rsid w:val="00FF4400"/>
    <w:rsid w:val="00FF4588"/>
    <w:rsid w:val="00FF5071"/>
    <w:rsid w:val="00FF55FF"/>
    <w:rsid w:val="00FF5EEA"/>
    <w:rsid w:val="00FF69BB"/>
    <w:rsid w:val="00FF6A5B"/>
    <w:rsid w:val="00FF70E0"/>
    <w:rsid w:val="00FF7350"/>
    <w:rsid w:val="011275B0"/>
    <w:rsid w:val="06FF7043"/>
    <w:rsid w:val="072F5CD1"/>
    <w:rsid w:val="0804141B"/>
    <w:rsid w:val="0826357E"/>
    <w:rsid w:val="08942F6B"/>
    <w:rsid w:val="09BA107F"/>
    <w:rsid w:val="0AC80EFA"/>
    <w:rsid w:val="0BD41DDF"/>
    <w:rsid w:val="0CC361AF"/>
    <w:rsid w:val="0D097211"/>
    <w:rsid w:val="0F4B1FE1"/>
    <w:rsid w:val="0F5E6DC9"/>
    <w:rsid w:val="0FA64A3B"/>
    <w:rsid w:val="10A14B2B"/>
    <w:rsid w:val="1141547F"/>
    <w:rsid w:val="12A2739F"/>
    <w:rsid w:val="12A45F90"/>
    <w:rsid w:val="134A5A12"/>
    <w:rsid w:val="150E7E64"/>
    <w:rsid w:val="172F7B0B"/>
    <w:rsid w:val="17654C5E"/>
    <w:rsid w:val="18355EAD"/>
    <w:rsid w:val="19113C4C"/>
    <w:rsid w:val="19947BE2"/>
    <w:rsid w:val="1B9541AD"/>
    <w:rsid w:val="1F5E49E4"/>
    <w:rsid w:val="20212970"/>
    <w:rsid w:val="20E507FA"/>
    <w:rsid w:val="232F7CF6"/>
    <w:rsid w:val="238034DB"/>
    <w:rsid w:val="23927AD2"/>
    <w:rsid w:val="260E09DB"/>
    <w:rsid w:val="26E6257F"/>
    <w:rsid w:val="27C7009A"/>
    <w:rsid w:val="28580856"/>
    <w:rsid w:val="29BB3217"/>
    <w:rsid w:val="29DB01C2"/>
    <w:rsid w:val="2CE850D0"/>
    <w:rsid w:val="2D7D02D7"/>
    <w:rsid w:val="2E051592"/>
    <w:rsid w:val="2F4F490E"/>
    <w:rsid w:val="30D860A7"/>
    <w:rsid w:val="313D37F8"/>
    <w:rsid w:val="31C54BDC"/>
    <w:rsid w:val="322D3102"/>
    <w:rsid w:val="32951421"/>
    <w:rsid w:val="33087DBC"/>
    <w:rsid w:val="33A5707D"/>
    <w:rsid w:val="33FC0C43"/>
    <w:rsid w:val="341669D2"/>
    <w:rsid w:val="34A915D7"/>
    <w:rsid w:val="36FD3ECD"/>
    <w:rsid w:val="37A67A63"/>
    <w:rsid w:val="37EC6A2E"/>
    <w:rsid w:val="38962AA8"/>
    <w:rsid w:val="38EF11A1"/>
    <w:rsid w:val="3C8945F9"/>
    <w:rsid w:val="41CF2738"/>
    <w:rsid w:val="42C817D4"/>
    <w:rsid w:val="43AF4742"/>
    <w:rsid w:val="46354353"/>
    <w:rsid w:val="46566D99"/>
    <w:rsid w:val="4670254A"/>
    <w:rsid w:val="47DC5FE0"/>
    <w:rsid w:val="47E923A9"/>
    <w:rsid w:val="49374136"/>
    <w:rsid w:val="4AC30624"/>
    <w:rsid w:val="4C937EC7"/>
    <w:rsid w:val="4E1170A3"/>
    <w:rsid w:val="51927C61"/>
    <w:rsid w:val="522765E1"/>
    <w:rsid w:val="528B546F"/>
    <w:rsid w:val="54212AF2"/>
    <w:rsid w:val="54C31246"/>
    <w:rsid w:val="55F5324A"/>
    <w:rsid w:val="565B0911"/>
    <w:rsid w:val="57390153"/>
    <w:rsid w:val="5AAA567C"/>
    <w:rsid w:val="5ADB74A9"/>
    <w:rsid w:val="5CF013A0"/>
    <w:rsid w:val="5D8652B2"/>
    <w:rsid w:val="5D9E5D43"/>
    <w:rsid w:val="5E666732"/>
    <w:rsid w:val="5FC437FB"/>
    <w:rsid w:val="5FE86D36"/>
    <w:rsid w:val="63C52E43"/>
    <w:rsid w:val="63D36D83"/>
    <w:rsid w:val="641D28BC"/>
    <w:rsid w:val="64B835B3"/>
    <w:rsid w:val="64EE3BE4"/>
    <w:rsid w:val="65225CC3"/>
    <w:rsid w:val="654D5C61"/>
    <w:rsid w:val="65A45331"/>
    <w:rsid w:val="671129A2"/>
    <w:rsid w:val="67D6055A"/>
    <w:rsid w:val="685C4A59"/>
    <w:rsid w:val="6B4B3433"/>
    <w:rsid w:val="6B4F73A8"/>
    <w:rsid w:val="6C2B3146"/>
    <w:rsid w:val="6E0411A2"/>
    <w:rsid w:val="6EB1510F"/>
    <w:rsid w:val="71345635"/>
    <w:rsid w:val="71E573FD"/>
    <w:rsid w:val="71F94213"/>
    <w:rsid w:val="72BF1F96"/>
    <w:rsid w:val="735B7CAF"/>
    <w:rsid w:val="73775372"/>
    <w:rsid w:val="753B54A1"/>
    <w:rsid w:val="76564984"/>
    <w:rsid w:val="76AB17D2"/>
    <w:rsid w:val="76FD7A72"/>
    <w:rsid w:val="785F13C4"/>
    <w:rsid w:val="785F4BA0"/>
    <w:rsid w:val="7A8A0A86"/>
    <w:rsid w:val="7AA42AFD"/>
    <w:rsid w:val="7B9321E0"/>
    <w:rsid w:val="7C157941"/>
    <w:rsid w:val="7C2D6CC3"/>
    <w:rsid w:val="7CA944EB"/>
    <w:rsid w:val="7CFD4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pPr>
    <w:rPr>
      <w:rFonts w:ascii="宋体" w:hAnsi="宋体" w:eastAsia="仿宋_GB2312" w:cstheme="minorBidi"/>
      <w:kern w:val="2"/>
      <w:sz w:val="30"/>
      <w:szCs w:val="22"/>
      <w:lang w:val="en-US" w:eastAsia="zh-CN" w:bidi="ar-SA"/>
    </w:rPr>
  </w:style>
  <w:style w:type="paragraph" w:styleId="4">
    <w:name w:val="heading 1"/>
    <w:basedOn w:val="1"/>
    <w:next w:val="1"/>
    <w:link w:val="48"/>
    <w:qFormat/>
    <w:uiPriority w:val="9"/>
    <w:pPr>
      <w:keepNext/>
      <w:keepLines/>
      <w:pageBreakBefore/>
      <w:numPr>
        <w:ilvl w:val="0"/>
        <w:numId w:val="1"/>
      </w:numPr>
      <w:spacing w:before="240" w:after="240"/>
      <w:ind w:firstLineChars="0"/>
      <w:jc w:val="center"/>
      <w:outlineLvl w:val="0"/>
    </w:pPr>
    <w:rPr>
      <w:rFonts w:eastAsia="黑体"/>
      <w:b/>
      <w:bCs/>
      <w:kern w:val="44"/>
      <w:sz w:val="40"/>
      <w:szCs w:val="44"/>
    </w:rPr>
  </w:style>
  <w:style w:type="paragraph" w:styleId="5">
    <w:name w:val="heading 2"/>
    <w:basedOn w:val="6"/>
    <w:next w:val="1"/>
    <w:link w:val="50"/>
    <w:unhideWhenUsed/>
    <w:qFormat/>
    <w:uiPriority w:val="0"/>
    <w:pPr>
      <w:numPr>
        <w:ilvl w:val="1"/>
        <w:numId w:val="2"/>
      </w:numPr>
      <w:jc w:val="center"/>
      <w:outlineLvl w:val="1"/>
    </w:pPr>
    <w:rPr>
      <w:sz w:val="32"/>
    </w:rPr>
  </w:style>
  <w:style w:type="paragraph" w:styleId="6">
    <w:name w:val="heading 3"/>
    <w:basedOn w:val="1"/>
    <w:next w:val="1"/>
    <w:link w:val="49"/>
    <w:unhideWhenUsed/>
    <w:qFormat/>
    <w:uiPriority w:val="9"/>
    <w:pPr>
      <w:keepNext/>
      <w:keepLines/>
      <w:numPr>
        <w:ilvl w:val="2"/>
        <w:numId w:val="3"/>
      </w:numPr>
      <w:spacing w:before="50" w:beforeLines="50" w:after="50" w:afterLines="50"/>
      <w:ind w:left="0" w:firstLine="0" w:firstLineChars="0"/>
      <w:outlineLvl w:val="2"/>
    </w:pPr>
    <w:rPr>
      <w:rFonts w:eastAsia="黑体"/>
      <w:bCs/>
      <w:szCs w:val="32"/>
    </w:rPr>
  </w:style>
  <w:style w:type="paragraph" w:styleId="7">
    <w:name w:val="heading 4"/>
    <w:basedOn w:val="1"/>
    <w:next w:val="1"/>
    <w:link w:val="51"/>
    <w:unhideWhenUsed/>
    <w:qFormat/>
    <w:uiPriority w:val="9"/>
    <w:pPr>
      <w:keepNext/>
      <w:keepLines/>
      <w:spacing w:before="120" w:after="120"/>
      <w:ind w:firstLine="0" w:firstLineChars="0"/>
      <w:jc w:val="center"/>
      <w:outlineLvl w:val="3"/>
    </w:pPr>
    <w:rPr>
      <w:rFonts w:asciiTheme="majorHAnsi" w:hAnsiTheme="majorHAnsi" w:cstheme="majorBidi"/>
      <w:b/>
      <w:bCs/>
      <w:sz w:val="21"/>
      <w:szCs w:val="28"/>
    </w:rPr>
  </w:style>
  <w:style w:type="paragraph" w:styleId="8">
    <w:name w:val="heading 5"/>
    <w:basedOn w:val="1"/>
    <w:next w:val="1"/>
    <w:link w:val="52"/>
    <w:unhideWhenUsed/>
    <w:qFormat/>
    <w:uiPriority w:val="9"/>
    <w:pPr>
      <w:keepNext/>
      <w:keepLines/>
      <w:spacing w:before="280" w:after="290" w:line="376" w:lineRule="auto"/>
      <w:outlineLvl w:val="4"/>
    </w:pPr>
    <w:rPr>
      <w:b/>
      <w:bCs/>
      <w:sz w:val="28"/>
      <w:szCs w:val="28"/>
    </w:rPr>
  </w:style>
  <w:style w:type="paragraph" w:styleId="9">
    <w:name w:val="heading 6"/>
    <w:basedOn w:val="1"/>
    <w:next w:val="1"/>
    <w:link w:val="121"/>
    <w:semiHidden/>
    <w:unhideWhenUsed/>
    <w:qFormat/>
    <w:uiPriority w:val="9"/>
    <w:pPr>
      <w:keepNext/>
      <w:keepLines/>
      <w:widowControl/>
      <w:spacing w:before="240" w:after="64" w:line="320" w:lineRule="auto"/>
      <w:ind w:firstLine="567"/>
      <w:outlineLvl w:val="5"/>
    </w:pPr>
    <w:rPr>
      <w:rFonts w:asciiTheme="majorHAnsi" w:hAnsiTheme="majorHAnsi" w:eastAsiaTheme="majorEastAsia" w:cstheme="majorBidi"/>
      <w:b/>
      <w:bCs/>
      <w:szCs w:val="24"/>
    </w:rPr>
  </w:style>
  <w:style w:type="paragraph" w:styleId="10">
    <w:name w:val="heading 7"/>
    <w:basedOn w:val="1"/>
    <w:next w:val="1"/>
    <w:link w:val="122"/>
    <w:semiHidden/>
    <w:unhideWhenUsed/>
    <w:qFormat/>
    <w:uiPriority w:val="9"/>
    <w:pPr>
      <w:keepNext/>
      <w:keepLines/>
      <w:widowControl/>
      <w:spacing w:before="240" w:after="64" w:line="320" w:lineRule="auto"/>
      <w:ind w:firstLine="567"/>
      <w:outlineLvl w:val="6"/>
    </w:pPr>
    <w:rPr>
      <w:rFonts w:ascii="仿宋_GB2312" w:hAnsi="仿宋"/>
      <w:b/>
      <w:bCs/>
      <w:szCs w:val="24"/>
    </w:rPr>
  </w:style>
  <w:style w:type="paragraph" w:styleId="11">
    <w:name w:val="heading 8"/>
    <w:basedOn w:val="1"/>
    <w:next w:val="1"/>
    <w:link w:val="123"/>
    <w:semiHidden/>
    <w:unhideWhenUsed/>
    <w:qFormat/>
    <w:uiPriority w:val="9"/>
    <w:pPr>
      <w:keepNext/>
      <w:keepLines/>
      <w:widowControl/>
      <w:spacing w:before="240" w:after="64" w:line="320" w:lineRule="auto"/>
      <w:ind w:firstLine="567"/>
      <w:outlineLvl w:val="7"/>
    </w:pPr>
    <w:rPr>
      <w:rFonts w:asciiTheme="majorHAnsi" w:hAnsiTheme="majorHAnsi" w:eastAsiaTheme="majorEastAsia" w:cstheme="majorBidi"/>
      <w:szCs w:val="24"/>
    </w:rPr>
  </w:style>
  <w:style w:type="paragraph" w:styleId="12">
    <w:name w:val="heading 9"/>
    <w:basedOn w:val="1"/>
    <w:next w:val="1"/>
    <w:link w:val="124"/>
    <w:semiHidden/>
    <w:unhideWhenUsed/>
    <w:qFormat/>
    <w:uiPriority w:val="9"/>
    <w:pPr>
      <w:keepNext/>
      <w:keepLines/>
      <w:widowControl/>
      <w:spacing w:before="240" w:after="64" w:line="320" w:lineRule="auto"/>
      <w:ind w:firstLine="567"/>
      <w:outlineLvl w:val="8"/>
    </w:pPr>
    <w:rPr>
      <w:rFonts w:asciiTheme="majorHAnsi" w:hAnsiTheme="majorHAnsi" w:eastAsiaTheme="majorEastAsia" w:cstheme="majorBidi"/>
      <w:sz w:val="21"/>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192"/>
    <w:qFormat/>
    <w:uiPriority w:val="99"/>
    <w:pPr>
      <w:spacing w:after="120"/>
      <w:ind w:left="420" w:leftChars="200" w:firstLine="420"/>
    </w:pPr>
    <w:rPr>
      <w:rFonts w:eastAsia="宋体"/>
      <w:sz w:val="30"/>
      <w:szCs w:val="22"/>
    </w:rPr>
  </w:style>
  <w:style w:type="paragraph" w:styleId="3">
    <w:name w:val="Body Text Indent"/>
    <w:basedOn w:val="1"/>
    <w:link w:val="127"/>
    <w:qFormat/>
    <w:uiPriority w:val="99"/>
    <w:pPr>
      <w:widowControl/>
      <w:ind w:firstLine="600"/>
    </w:pPr>
    <w:rPr>
      <w:rFonts w:ascii="Times New Roman" w:hAnsi="Times New Roman" w:eastAsia="楷体_GB2312" w:cs="Times New Roman"/>
      <w:sz w:val="32"/>
      <w:szCs w:val="20"/>
    </w:rPr>
  </w:style>
  <w:style w:type="paragraph" w:styleId="13">
    <w:name w:val="toc 7"/>
    <w:basedOn w:val="1"/>
    <w:next w:val="1"/>
    <w:unhideWhenUsed/>
    <w:qFormat/>
    <w:uiPriority w:val="39"/>
    <w:pPr>
      <w:ind w:left="1800"/>
    </w:pPr>
    <w:rPr>
      <w:rFonts w:asciiTheme="minorHAnsi" w:eastAsiaTheme="minorHAnsi"/>
      <w:sz w:val="18"/>
      <w:szCs w:val="18"/>
    </w:rPr>
  </w:style>
  <w:style w:type="paragraph" w:styleId="14">
    <w:name w:val="caption"/>
    <w:basedOn w:val="1"/>
    <w:next w:val="1"/>
    <w:unhideWhenUsed/>
    <w:qFormat/>
    <w:uiPriority w:val="35"/>
    <w:pPr>
      <w:widowControl/>
      <w:jc w:val="center"/>
    </w:pPr>
    <w:rPr>
      <w:rFonts w:ascii="Calibri" w:hAnsi="Calibri" w:eastAsia="黑体" w:cstheme="majorBidi"/>
      <w:sz w:val="28"/>
      <w:szCs w:val="20"/>
    </w:rPr>
  </w:style>
  <w:style w:type="paragraph" w:styleId="15">
    <w:name w:val="Document Map"/>
    <w:basedOn w:val="1"/>
    <w:link w:val="126"/>
    <w:semiHidden/>
    <w:unhideWhenUsed/>
    <w:qFormat/>
    <w:uiPriority w:val="99"/>
    <w:pPr>
      <w:widowControl/>
    </w:pPr>
    <w:rPr>
      <w:rFonts w:hAnsi="仿宋"/>
      <w:sz w:val="18"/>
      <w:szCs w:val="18"/>
    </w:rPr>
  </w:style>
  <w:style w:type="paragraph" w:styleId="16">
    <w:name w:val="annotation text"/>
    <w:basedOn w:val="1"/>
    <w:link w:val="53"/>
    <w:unhideWhenUsed/>
    <w:qFormat/>
    <w:uiPriority w:val="99"/>
  </w:style>
  <w:style w:type="paragraph" w:styleId="17">
    <w:name w:val="Body Text"/>
    <w:basedOn w:val="1"/>
    <w:link w:val="54"/>
    <w:qFormat/>
    <w:uiPriority w:val="0"/>
    <w:pPr>
      <w:autoSpaceDE w:val="0"/>
      <w:autoSpaceDN w:val="0"/>
      <w:ind w:left="120" w:firstLine="0" w:firstLineChars="0"/>
    </w:pPr>
    <w:rPr>
      <w:rFonts w:cs="宋体"/>
      <w:kern w:val="0"/>
      <w:sz w:val="29"/>
      <w:szCs w:val="29"/>
      <w:lang w:eastAsia="en-US"/>
    </w:rPr>
  </w:style>
  <w:style w:type="paragraph" w:styleId="18">
    <w:name w:val="toc 5"/>
    <w:basedOn w:val="1"/>
    <w:next w:val="1"/>
    <w:unhideWhenUsed/>
    <w:qFormat/>
    <w:uiPriority w:val="39"/>
    <w:pPr>
      <w:ind w:left="1200"/>
    </w:pPr>
    <w:rPr>
      <w:rFonts w:asciiTheme="minorHAnsi" w:eastAsiaTheme="minorHAnsi"/>
      <w:sz w:val="18"/>
      <w:szCs w:val="18"/>
    </w:rPr>
  </w:style>
  <w:style w:type="paragraph" w:styleId="19">
    <w:name w:val="toc 3"/>
    <w:basedOn w:val="1"/>
    <w:next w:val="1"/>
    <w:unhideWhenUsed/>
    <w:qFormat/>
    <w:uiPriority w:val="39"/>
    <w:pPr>
      <w:snapToGrid w:val="0"/>
      <w:spacing w:line="264" w:lineRule="auto"/>
      <w:ind w:left="601"/>
      <w:contextualSpacing/>
    </w:pPr>
    <w:rPr>
      <w:rFonts w:ascii="Times New Roman" w:hAnsi="Times New Roman"/>
      <w:iCs/>
      <w:sz w:val="21"/>
      <w:szCs w:val="20"/>
    </w:rPr>
  </w:style>
  <w:style w:type="paragraph" w:styleId="20">
    <w:name w:val="Plain Text"/>
    <w:basedOn w:val="1"/>
    <w:link w:val="184"/>
    <w:qFormat/>
    <w:uiPriority w:val="99"/>
    <w:rPr>
      <w:rFonts w:hAnsi="Courier New"/>
    </w:rPr>
  </w:style>
  <w:style w:type="paragraph" w:styleId="21">
    <w:name w:val="toc 8"/>
    <w:basedOn w:val="1"/>
    <w:next w:val="1"/>
    <w:unhideWhenUsed/>
    <w:qFormat/>
    <w:uiPriority w:val="39"/>
    <w:pPr>
      <w:ind w:left="2100"/>
    </w:pPr>
    <w:rPr>
      <w:rFonts w:asciiTheme="minorHAnsi" w:eastAsiaTheme="minorHAnsi"/>
      <w:sz w:val="18"/>
      <w:szCs w:val="18"/>
    </w:rPr>
  </w:style>
  <w:style w:type="paragraph" w:styleId="22">
    <w:name w:val="Date"/>
    <w:basedOn w:val="1"/>
    <w:next w:val="1"/>
    <w:link w:val="55"/>
    <w:semiHidden/>
    <w:unhideWhenUsed/>
    <w:qFormat/>
    <w:uiPriority w:val="99"/>
    <w:pPr>
      <w:ind w:left="100" w:leftChars="2500"/>
    </w:pPr>
  </w:style>
  <w:style w:type="paragraph" w:styleId="23">
    <w:name w:val="endnote text"/>
    <w:basedOn w:val="1"/>
    <w:link w:val="169"/>
    <w:semiHidden/>
    <w:unhideWhenUsed/>
    <w:qFormat/>
    <w:uiPriority w:val="99"/>
    <w:pPr>
      <w:snapToGrid w:val="0"/>
    </w:pPr>
  </w:style>
  <w:style w:type="paragraph" w:styleId="24">
    <w:name w:val="Balloon Text"/>
    <w:basedOn w:val="1"/>
    <w:link w:val="56"/>
    <w:semiHidden/>
    <w:unhideWhenUsed/>
    <w:qFormat/>
    <w:uiPriority w:val="99"/>
    <w:rPr>
      <w:sz w:val="18"/>
      <w:szCs w:val="18"/>
    </w:rPr>
  </w:style>
  <w:style w:type="paragraph" w:styleId="25">
    <w:name w:val="footer"/>
    <w:basedOn w:val="1"/>
    <w:link w:val="57"/>
    <w:unhideWhenUsed/>
    <w:qFormat/>
    <w:uiPriority w:val="99"/>
    <w:pPr>
      <w:tabs>
        <w:tab w:val="center" w:pos="4153"/>
        <w:tab w:val="right" w:pos="8306"/>
      </w:tabs>
      <w:snapToGrid w:val="0"/>
    </w:pPr>
    <w:rPr>
      <w:sz w:val="18"/>
      <w:szCs w:val="18"/>
    </w:rPr>
  </w:style>
  <w:style w:type="paragraph" w:styleId="26">
    <w:name w:val="header"/>
    <w:basedOn w:val="1"/>
    <w:link w:val="58"/>
    <w:unhideWhenUsed/>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unhideWhenUsed/>
    <w:qFormat/>
    <w:uiPriority w:val="39"/>
    <w:pPr>
      <w:snapToGrid w:val="0"/>
      <w:spacing w:before="35" w:beforeLines="35" w:after="35" w:afterLines="35"/>
      <w:ind w:firstLine="0" w:firstLineChars="0"/>
      <w:contextualSpacing/>
    </w:pPr>
    <w:rPr>
      <w:rFonts w:ascii="Times New Roman" w:hAnsi="Times New Roman" w:eastAsia="黑体"/>
      <w:bCs/>
      <w:caps/>
      <w:sz w:val="28"/>
      <w:szCs w:val="20"/>
    </w:rPr>
  </w:style>
  <w:style w:type="paragraph" w:styleId="28">
    <w:name w:val="toc 4"/>
    <w:basedOn w:val="1"/>
    <w:next w:val="1"/>
    <w:unhideWhenUsed/>
    <w:qFormat/>
    <w:uiPriority w:val="39"/>
    <w:pPr>
      <w:snapToGrid w:val="0"/>
      <w:ind w:left="902"/>
      <w:contextualSpacing/>
    </w:pPr>
    <w:rPr>
      <w:rFonts w:asciiTheme="minorHAnsi" w:eastAsiaTheme="minorHAnsi"/>
      <w:sz w:val="18"/>
      <w:szCs w:val="18"/>
    </w:rPr>
  </w:style>
  <w:style w:type="paragraph" w:styleId="29">
    <w:name w:val="Subtitle"/>
    <w:basedOn w:val="1"/>
    <w:next w:val="1"/>
    <w:link w:val="128"/>
    <w:qFormat/>
    <w:uiPriority w:val="11"/>
    <w:pPr>
      <w:widowControl/>
      <w:spacing w:before="60" w:after="60" w:line="312" w:lineRule="auto"/>
      <w:jc w:val="center"/>
      <w:outlineLvl w:val="1"/>
    </w:pPr>
    <w:rPr>
      <w:rFonts w:ascii="仿宋_GB2312" w:hAnsi="仿宋" w:eastAsia="仿宋"/>
      <w:b/>
      <w:bCs/>
      <w:kern w:val="28"/>
      <w:sz w:val="32"/>
      <w:szCs w:val="32"/>
    </w:rPr>
  </w:style>
  <w:style w:type="paragraph" w:styleId="30">
    <w:name w:val="footnote text"/>
    <w:basedOn w:val="1"/>
    <w:link w:val="129"/>
    <w:semiHidden/>
    <w:unhideWhenUsed/>
    <w:qFormat/>
    <w:uiPriority w:val="99"/>
    <w:pPr>
      <w:widowControl/>
      <w:snapToGrid w:val="0"/>
    </w:pPr>
    <w:rPr>
      <w:rFonts w:ascii="仿宋_GB2312" w:hAnsi="仿宋"/>
      <w:sz w:val="18"/>
      <w:szCs w:val="18"/>
    </w:rPr>
  </w:style>
  <w:style w:type="paragraph" w:styleId="31">
    <w:name w:val="toc 6"/>
    <w:basedOn w:val="1"/>
    <w:next w:val="1"/>
    <w:unhideWhenUsed/>
    <w:qFormat/>
    <w:uiPriority w:val="39"/>
    <w:pPr>
      <w:ind w:left="1500"/>
    </w:pPr>
    <w:rPr>
      <w:rFonts w:asciiTheme="minorHAnsi" w:eastAsiaTheme="minorHAnsi"/>
      <w:sz w:val="18"/>
      <w:szCs w:val="18"/>
    </w:rPr>
  </w:style>
  <w:style w:type="paragraph" w:styleId="32">
    <w:name w:val="toc 2"/>
    <w:basedOn w:val="1"/>
    <w:next w:val="1"/>
    <w:unhideWhenUsed/>
    <w:qFormat/>
    <w:uiPriority w:val="39"/>
    <w:pPr>
      <w:snapToGrid w:val="0"/>
      <w:spacing w:line="264" w:lineRule="auto"/>
      <w:contextualSpacing/>
    </w:pPr>
    <w:rPr>
      <w:rFonts w:ascii="Times New Roman" w:hAnsi="Times New Roman" w:eastAsia="楷体_GB2312"/>
      <w:smallCaps/>
      <w:sz w:val="24"/>
      <w:szCs w:val="20"/>
    </w:rPr>
  </w:style>
  <w:style w:type="paragraph" w:styleId="33">
    <w:name w:val="toc 9"/>
    <w:basedOn w:val="1"/>
    <w:next w:val="1"/>
    <w:unhideWhenUsed/>
    <w:qFormat/>
    <w:uiPriority w:val="39"/>
    <w:pPr>
      <w:ind w:left="2400"/>
    </w:pPr>
    <w:rPr>
      <w:rFonts w:asciiTheme="minorHAnsi" w:eastAsiaTheme="minorHAnsi"/>
      <w:sz w:val="18"/>
      <w:szCs w:val="18"/>
    </w:rPr>
  </w:style>
  <w:style w:type="paragraph" w:styleId="34">
    <w:name w:val="Normal (Web)"/>
    <w:basedOn w:val="1"/>
    <w:unhideWhenUsed/>
    <w:qFormat/>
    <w:uiPriority w:val="99"/>
    <w:pPr>
      <w:widowControl/>
      <w:spacing w:before="100" w:beforeAutospacing="1" w:after="100" w:afterAutospacing="1"/>
      <w:ind w:firstLine="0" w:firstLineChars="0"/>
    </w:pPr>
    <w:rPr>
      <w:rFonts w:cs="宋体"/>
      <w:kern w:val="0"/>
      <w:szCs w:val="24"/>
    </w:rPr>
  </w:style>
  <w:style w:type="paragraph" w:styleId="35">
    <w:name w:val="Title"/>
    <w:basedOn w:val="1"/>
    <w:next w:val="1"/>
    <w:link w:val="130"/>
    <w:qFormat/>
    <w:uiPriority w:val="10"/>
    <w:pPr>
      <w:widowControl/>
      <w:spacing w:before="240" w:after="60" w:line="480" w:lineRule="auto"/>
      <w:jc w:val="center"/>
      <w:outlineLvl w:val="0"/>
    </w:pPr>
    <w:rPr>
      <w:rFonts w:ascii="仿宋" w:eastAsia="仿宋" w:hAnsiTheme="majorHAnsi" w:cstheme="majorBidi"/>
      <w:b/>
      <w:bCs/>
      <w:sz w:val="32"/>
      <w:szCs w:val="32"/>
    </w:rPr>
  </w:style>
  <w:style w:type="paragraph" w:styleId="36">
    <w:name w:val="annotation subject"/>
    <w:basedOn w:val="16"/>
    <w:next w:val="16"/>
    <w:link w:val="59"/>
    <w:semiHidden/>
    <w:unhideWhenUsed/>
    <w:qFormat/>
    <w:uiPriority w:val="99"/>
    <w:rPr>
      <w:b/>
      <w:bCs/>
    </w:rPr>
  </w:style>
  <w:style w:type="table" w:styleId="38">
    <w:name w:val="Table Grid"/>
    <w:basedOn w:val="3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basedOn w:val="39"/>
    <w:qFormat/>
    <w:uiPriority w:val="22"/>
    <w:rPr>
      <w:b/>
      <w:bCs/>
    </w:rPr>
  </w:style>
  <w:style w:type="character" w:styleId="41">
    <w:name w:val="endnote reference"/>
    <w:basedOn w:val="39"/>
    <w:semiHidden/>
    <w:unhideWhenUsed/>
    <w:qFormat/>
    <w:uiPriority w:val="99"/>
    <w:rPr>
      <w:vertAlign w:val="superscript"/>
    </w:rPr>
  </w:style>
  <w:style w:type="character" w:styleId="42">
    <w:name w:val="FollowedHyperlink"/>
    <w:basedOn w:val="39"/>
    <w:semiHidden/>
    <w:unhideWhenUsed/>
    <w:qFormat/>
    <w:uiPriority w:val="99"/>
    <w:rPr>
      <w:color w:val="954F72"/>
      <w:u w:val="single"/>
    </w:rPr>
  </w:style>
  <w:style w:type="character" w:styleId="43">
    <w:name w:val="Emphasis"/>
    <w:basedOn w:val="39"/>
    <w:qFormat/>
    <w:uiPriority w:val="20"/>
    <w:rPr>
      <w:i/>
      <w:iCs/>
    </w:rPr>
  </w:style>
  <w:style w:type="character" w:styleId="44">
    <w:name w:val="Hyperlink"/>
    <w:basedOn w:val="39"/>
    <w:unhideWhenUsed/>
    <w:qFormat/>
    <w:uiPriority w:val="99"/>
    <w:rPr>
      <w:color w:val="0563C1" w:themeColor="hyperlink"/>
      <w:u w:val="single"/>
      <w14:textFill>
        <w14:solidFill>
          <w14:schemeClr w14:val="hlink"/>
        </w14:solidFill>
      </w14:textFill>
    </w:rPr>
  </w:style>
  <w:style w:type="character" w:styleId="45">
    <w:name w:val="annotation reference"/>
    <w:basedOn w:val="39"/>
    <w:semiHidden/>
    <w:unhideWhenUsed/>
    <w:qFormat/>
    <w:uiPriority w:val="99"/>
    <w:rPr>
      <w:sz w:val="21"/>
      <w:szCs w:val="21"/>
    </w:rPr>
  </w:style>
  <w:style w:type="character" w:styleId="46">
    <w:name w:val="footnote reference"/>
    <w:basedOn w:val="39"/>
    <w:unhideWhenUsed/>
    <w:qFormat/>
    <w:uiPriority w:val="99"/>
    <w:rPr>
      <w:vertAlign w:val="superscript"/>
    </w:rPr>
  </w:style>
  <w:style w:type="paragraph" w:customStyle="1" w:styleId="47">
    <w:name w:val="正文正"/>
    <w:qFormat/>
    <w:uiPriority w:val="0"/>
    <w:pPr>
      <w:widowControl w:val="0"/>
      <w:spacing w:line="560" w:lineRule="exact"/>
      <w:ind w:firstLine="561"/>
      <w:jc w:val="both"/>
    </w:pPr>
    <w:rPr>
      <w:rFonts w:ascii="Calibri" w:hAnsi="Calibri" w:eastAsia="仿宋_GB2312" w:cstheme="minorBidi"/>
      <w:kern w:val="2"/>
      <w:sz w:val="28"/>
      <w:szCs w:val="22"/>
      <w:lang w:val="en-US" w:eastAsia="zh-CN" w:bidi="ar-SA"/>
    </w:rPr>
  </w:style>
  <w:style w:type="character" w:customStyle="1" w:styleId="48">
    <w:name w:val="标题 1 字符"/>
    <w:basedOn w:val="39"/>
    <w:link w:val="4"/>
    <w:qFormat/>
    <w:uiPriority w:val="9"/>
    <w:rPr>
      <w:rFonts w:ascii="宋体" w:hAnsi="宋体" w:eastAsia="黑体" w:cstheme="minorBidi"/>
      <w:b/>
      <w:bCs/>
      <w:kern w:val="44"/>
      <w:sz w:val="40"/>
      <w:szCs w:val="44"/>
    </w:rPr>
  </w:style>
  <w:style w:type="character" w:customStyle="1" w:styleId="49">
    <w:name w:val="标题 3 字符"/>
    <w:basedOn w:val="39"/>
    <w:link w:val="6"/>
    <w:qFormat/>
    <w:uiPriority w:val="9"/>
    <w:rPr>
      <w:rFonts w:ascii="宋体" w:hAnsi="宋体" w:eastAsia="黑体" w:cstheme="minorBidi"/>
      <w:bCs/>
      <w:kern w:val="2"/>
      <w:sz w:val="30"/>
      <w:szCs w:val="32"/>
    </w:rPr>
  </w:style>
  <w:style w:type="character" w:customStyle="1" w:styleId="50">
    <w:name w:val="标题 2 字符"/>
    <w:basedOn w:val="39"/>
    <w:link w:val="5"/>
    <w:qFormat/>
    <w:uiPriority w:val="0"/>
    <w:rPr>
      <w:rFonts w:ascii="宋体" w:hAnsi="宋体" w:eastAsia="黑体" w:cstheme="minorBidi"/>
      <w:bCs/>
      <w:kern w:val="2"/>
      <w:sz w:val="32"/>
      <w:szCs w:val="32"/>
    </w:rPr>
  </w:style>
  <w:style w:type="character" w:customStyle="1" w:styleId="51">
    <w:name w:val="标题 4 字符"/>
    <w:basedOn w:val="39"/>
    <w:link w:val="7"/>
    <w:qFormat/>
    <w:uiPriority w:val="9"/>
    <w:rPr>
      <w:rFonts w:eastAsia="宋体" w:asciiTheme="majorHAnsi" w:hAnsiTheme="majorHAnsi" w:cstheme="majorBidi"/>
      <w:b/>
      <w:bCs/>
      <w:kern w:val="2"/>
      <w:sz w:val="21"/>
      <w:szCs w:val="28"/>
    </w:rPr>
  </w:style>
  <w:style w:type="character" w:customStyle="1" w:styleId="52">
    <w:name w:val="标题 5 字符"/>
    <w:basedOn w:val="39"/>
    <w:link w:val="8"/>
    <w:qFormat/>
    <w:uiPriority w:val="9"/>
    <w:rPr>
      <w:rFonts w:ascii="宋体" w:hAnsi="宋体" w:eastAsia="宋体"/>
      <w:b/>
      <w:bCs/>
      <w:kern w:val="2"/>
      <w:sz w:val="28"/>
      <w:szCs w:val="28"/>
    </w:rPr>
  </w:style>
  <w:style w:type="character" w:customStyle="1" w:styleId="53">
    <w:name w:val="批注文字 字符"/>
    <w:basedOn w:val="39"/>
    <w:link w:val="16"/>
    <w:qFormat/>
    <w:uiPriority w:val="99"/>
    <w:rPr>
      <w:rFonts w:ascii="Times New Roman" w:hAnsi="Times New Roman" w:eastAsia="宋体"/>
      <w:sz w:val="24"/>
    </w:rPr>
  </w:style>
  <w:style w:type="character" w:customStyle="1" w:styleId="54">
    <w:name w:val="正文文本 字符"/>
    <w:basedOn w:val="39"/>
    <w:link w:val="17"/>
    <w:qFormat/>
    <w:uiPriority w:val="0"/>
    <w:rPr>
      <w:rFonts w:ascii="宋体" w:hAnsi="宋体" w:eastAsia="宋体" w:cs="宋体"/>
      <w:sz w:val="29"/>
      <w:szCs w:val="29"/>
      <w:lang w:eastAsia="en-US"/>
    </w:rPr>
  </w:style>
  <w:style w:type="character" w:customStyle="1" w:styleId="55">
    <w:name w:val="日期 字符"/>
    <w:basedOn w:val="39"/>
    <w:link w:val="22"/>
    <w:semiHidden/>
    <w:qFormat/>
    <w:uiPriority w:val="99"/>
    <w:rPr>
      <w:rFonts w:eastAsia="宋体"/>
      <w:sz w:val="24"/>
    </w:rPr>
  </w:style>
  <w:style w:type="character" w:customStyle="1" w:styleId="56">
    <w:name w:val="批注框文本 字符"/>
    <w:basedOn w:val="39"/>
    <w:link w:val="24"/>
    <w:semiHidden/>
    <w:qFormat/>
    <w:uiPriority w:val="99"/>
    <w:rPr>
      <w:rFonts w:ascii="Times New Roman" w:hAnsi="Times New Roman" w:eastAsia="宋体"/>
      <w:sz w:val="18"/>
      <w:szCs w:val="18"/>
    </w:rPr>
  </w:style>
  <w:style w:type="character" w:customStyle="1" w:styleId="57">
    <w:name w:val="页脚 字符"/>
    <w:basedOn w:val="39"/>
    <w:link w:val="25"/>
    <w:qFormat/>
    <w:uiPriority w:val="99"/>
    <w:rPr>
      <w:sz w:val="18"/>
      <w:szCs w:val="18"/>
    </w:rPr>
  </w:style>
  <w:style w:type="character" w:customStyle="1" w:styleId="58">
    <w:name w:val="页眉 字符"/>
    <w:basedOn w:val="39"/>
    <w:link w:val="26"/>
    <w:qFormat/>
    <w:uiPriority w:val="99"/>
    <w:rPr>
      <w:sz w:val="18"/>
      <w:szCs w:val="18"/>
    </w:rPr>
  </w:style>
  <w:style w:type="character" w:customStyle="1" w:styleId="59">
    <w:name w:val="批注主题 字符"/>
    <w:basedOn w:val="53"/>
    <w:link w:val="36"/>
    <w:semiHidden/>
    <w:qFormat/>
    <w:uiPriority w:val="99"/>
    <w:rPr>
      <w:rFonts w:ascii="Times New Roman" w:hAnsi="Times New Roman" w:eastAsia="宋体"/>
      <w:b/>
      <w:bCs/>
      <w:sz w:val="24"/>
    </w:rPr>
  </w:style>
  <w:style w:type="paragraph" w:styleId="60">
    <w:name w:val="List Paragraph"/>
    <w:basedOn w:val="1"/>
    <w:qFormat/>
    <w:uiPriority w:val="34"/>
    <w:pPr>
      <w:ind w:firstLine="420"/>
    </w:pPr>
  </w:style>
  <w:style w:type="paragraph" w:customStyle="1" w:styleId="61">
    <w:name w:val="修订1"/>
    <w:hidden/>
    <w:semiHidden/>
    <w:qFormat/>
    <w:uiPriority w:val="99"/>
    <w:rPr>
      <w:rFonts w:ascii="Times New Roman" w:hAnsi="Times New Roman" w:eastAsia="宋体" w:cstheme="minorBidi"/>
      <w:kern w:val="2"/>
      <w:sz w:val="24"/>
      <w:szCs w:val="22"/>
      <w:lang w:val="en-US" w:eastAsia="zh-CN" w:bidi="ar-SA"/>
    </w:rPr>
  </w:style>
  <w:style w:type="character" w:customStyle="1" w:styleId="62">
    <w:name w:val="fontstyle01"/>
    <w:basedOn w:val="39"/>
    <w:qFormat/>
    <w:uiPriority w:val="0"/>
    <w:rPr>
      <w:rFonts w:hint="default" w:ascii="仿宋" w:hAnsi="仿宋"/>
      <w:color w:val="000000"/>
      <w:sz w:val="28"/>
      <w:szCs w:val="28"/>
    </w:rPr>
  </w:style>
  <w:style w:type="paragraph" w:customStyle="1" w:styleId="63">
    <w:name w:val="00正文"/>
    <w:qFormat/>
    <w:uiPriority w:val="99"/>
    <w:pPr>
      <w:spacing w:line="360" w:lineRule="auto"/>
      <w:ind w:firstLine="200" w:firstLineChars="200"/>
    </w:pPr>
    <w:rPr>
      <w:rFonts w:ascii="Times New Roman" w:hAnsi="Times New Roman" w:eastAsia="宋体" w:cs="Times New Roman"/>
      <w:bCs/>
      <w:kern w:val="44"/>
      <w:sz w:val="24"/>
      <w:szCs w:val="44"/>
      <w:lang w:val="en-US" w:eastAsia="zh-CN" w:bidi="ar-SA"/>
    </w:rPr>
  </w:style>
  <w:style w:type="paragraph" w:customStyle="1" w:styleId="64">
    <w:name w:val="条题"/>
    <w:basedOn w:val="1"/>
    <w:qFormat/>
    <w:uiPriority w:val="0"/>
    <w:pPr>
      <w:spacing w:line="420" w:lineRule="exact"/>
      <w:ind w:right="480" w:rightChars="200"/>
    </w:pPr>
    <w:rPr>
      <w:kern w:val="0"/>
      <w:szCs w:val="20"/>
    </w:rPr>
  </w:style>
  <w:style w:type="table" w:customStyle="1" w:styleId="65">
    <w:name w:val="网格型1"/>
    <w:basedOn w:val="3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6">
    <w:name w:val="msonormal"/>
    <w:basedOn w:val="1"/>
    <w:qFormat/>
    <w:uiPriority w:val="0"/>
    <w:pPr>
      <w:widowControl/>
      <w:spacing w:before="100" w:beforeAutospacing="1" w:after="100" w:afterAutospacing="1"/>
      <w:ind w:firstLine="0" w:firstLineChars="0"/>
    </w:pPr>
    <w:rPr>
      <w:rFonts w:cs="宋体"/>
      <w:kern w:val="0"/>
      <w:szCs w:val="24"/>
    </w:rPr>
  </w:style>
  <w:style w:type="paragraph" w:customStyle="1" w:styleId="67">
    <w:name w:val="font5"/>
    <w:basedOn w:val="1"/>
    <w:qFormat/>
    <w:uiPriority w:val="0"/>
    <w:pPr>
      <w:widowControl/>
      <w:spacing w:before="100" w:beforeAutospacing="1" w:after="100" w:afterAutospacing="1"/>
      <w:ind w:firstLine="0" w:firstLineChars="0"/>
    </w:pPr>
    <w:rPr>
      <w:rFonts w:ascii="等线" w:hAnsi="等线" w:eastAsia="等线" w:cs="宋体"/>
      <w:kern w:val="0"/>
      <w:sz w:val="18"/>
      <w:szCs w:val="18"/>
    </w:rPr>
  </w:style>
  <w:style w:type="paragraph" w:customStyle="1" w:styleId="68">
    <w:name w:val="font6"/>
    <w:basedOn w:val="1"/>
    <w:qFormat/>
    <w:uiPriority w:val="0"/>
    <w:pPr>
      <w:widowControl/>
      <w:spacing w:before="100" w:beforeAutospacing="1" w:after="100" w:afterAutospacing="1"/>
      <w:ind w:firstLine="0" w:firstLineChars="0"/>
    </w:pPr>
    <w:rPr>
      <w:rFonts w:ascii="Times New Roman" w:hAnsi="Times New Roman" w:cs="Times New Roman"/>
      <w:kern w:val="0"/>
      <w:sz w:val="18"/>
      <w:szCs w:val="18"/>
    </w:rPr>
  </w:style>
  <w:style w:type="paragraph" w:customStyle="1" w:styleId="69">
    <w:name w:val="font7"/>
    <w:basedOn w:val="1"/>
    <w:qFormat/>
    <w:uiPriority w:val="0"/>
    <w:pPr>
      <w:widowControl/>
      <w:spacing w:before="100" w:beforeAutospacing="1" w:after="100" w:afterAutospacing="1"/>
      <w:ind w:firstLine="0" w:firstLineChars="0"/>
    </w:pPr>
    <w:rPr>
      <w:rFonts w:cs="宋体"/>
      <w:kern w:val="0"/>
      <w:sz w:val="18"/>
      <w:szCs w:val="18"/>
    </w:rPr>
  </w:style>
  <w:style w:type="paragraph" w:customStyle="1" w:styleId="70">
    <w:name w:val="font8"/>
    <w:basedOn w:val="1"/>
    <w:qFormat/>
    <w:uiPriority w:val="0"/>
    <w:pPr>
      <w:widowControl/>
      <w:spacing w:before="100" w:beforeAutospacing="1" w:after="100" w:afterAutospacing="1"/>
      <w:ind w:firstLine="0" w:firstLineChars="0"/>
    </w:pPr>
    <w:rPr>
      <w:rFonts w:cs="宋体"/>
      <w:color w:val="000000"/>
      <w:kern w:val="0"/>
      <w:sz w:val="18"/>
      <w:szCs w:val="18"/>
    </w:rPr>
  </w:style>
  <w:style w:type="paragraph" w:customStyle="1" w:styleId="71">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pPr>
    <w:rPr>
      <w:rFonts w:cs="宋体"/>
      <w:kern w:val="0"/>
      <w:sz w:val="20"/>
      <w:szCs w:val="20"/>
    </w:rPr>
  </w:style>
  <w:style w:type="paragraph" w:customStyle="1" w:styleId="72">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pPr>
    <w:rPr>
      <w:rFonts w:cs="宋体"/>
      <w:kern w:val="0"/>
      <w:sz w:val="18"/>
      <w:szCs w:val="18"/>
    </w:rPr>
  </w:style>
  <w:style w:type="paragraph" w:customStyle="1" w:styleId="7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pPr>
    <w:rPr>
      <w:rFonts w:cs="宋体"/>
      <w:kern w:val="0"/>
      <w:sz w:val="18"/>
      <w:szCs w:val="18"/>
    </w:rPr>
  </w:style>
  <w:style w:type="paragraph" w:customStyle="1" w:styleId="7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pPr>
    <w:rPr>
      <w:rFonts w:cs="宋体"/>
      <w:color w:val="000000"/>
      <w:kern w:val="0"/>
      <w:sz w:val="18"/>
      <w:szCs w:val="18"/>
    </w:rPr>
  </w:style>
  <w:style w:type="paragraph" w:customStyle="1" w:styleId="7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pPr>
    <w:rPr>
      <w:rFonts w:cs="宋体"/>
      <w:color w:val="000000"/>
      <w:kern w:val="0"/>
      <w:sz w:val="18"/>
      <w:szCs w:val="18"/>
    </w:rPr>
  </w:style>
  <w:style w:type="paragraph" w:customStyle="1" w:styleId="7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pPr>
    <w:rPr>
      <w:rFonts w:cs="宋体"/>
      <w:kern w:val="0"/>
      <w:sz w:val="18"/>
      <w:szCs w:val="18"/>
    </w:rPr>
  </w:style>
  <w:style w:type="paragraph" w:customStyle="1" w:styleId="7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pPr>
    <w:rPr>
      <w:rFonts w:cs="宋体"/>
      <w:color w:val="000000"/>
      <w:kern w:val="0"/>
      <w:sz w:val="18"/>
      <w:szCs w:val="18"/>
    </w:rPr>
  </w:style>
  <w:style w:type="paragraph" w:customStyle="1" w:styleId="7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pPr>
    <w:rPr>
      <w:rFonts w:cs="宋体"/>
      <w:color w:val="000000"/>
      <w:kern w:val="0"/>
      <w:sz w:val="18"/>
      <w:szCs w:val="18"/>
    </w:rPr>
  </w:style>
  <w:style w:type="paragraph" w:customStyle="1" w:styleId="79">
    <w:name w:val="xl76"/>
    <w:basedOn w:val="1"/>
    <w:qFormat/>
    <w:uiPriority w:val="0"/>
    <w:pPr>
      <w:widowControl/>
      <w:spacing w:before="100" w:beforeAutospacing="1" w:after="100" w:afterAutospacing="1"/>
      <w:ind w:firstLine="0" w:firstLineChars="0"/>
      <w:jc w:val="center"/>
    </w:pPr>
    <w:rPr>
      <w:rFonts w:cs="宋体"/>
      <w:kern w:val="0"/>
      <w:szCs w:val="24"/>
    </w:rPr>
  </w:style>
  <w:style w:type="paragraph" w:customStyle="1" w:styleId="80">
    <w:name w:val="xl77"/>
    <w:basedOn w:val="1"/>
    <w:qFormat/>
    <w:uiPriority w:val="0"/>
    <w:pPr>
      <w:widowControl/>
      <w:spacing w:before="100" w:beforeAutospacing="1" w:after="100" w:afterAutospacing="1"/>
      <w:ind w:firstLine="0" w:firstLineChars="0"/>
    </w:pPr>
    <w:rPr>
      <w:rFonts w:cs="宋体"/>
      <w:kern w:val="0"/>
      <w:szCs w:val="24"/>
    </w:rPr>
  </w:style>
  <w:style w:type="paragraph" w:customStyle="1" w:styleId="81">
    <w:name w:val="xl78"/>
    <w:basedOn w:val="1"/>
    <w:qFormat/>
    <w:uiPriority w:val="0"/>
    <w:pPr>
      <w:widowControl/>
      <w:pBdr>
        <w:top w:val="single" w:color="auto" w:sz="8" w:space="0"/>
        <w:left w:val="single" w:color="auto" w:sz="8" w:space="0"/>
        <w:bottom w:val="single" w:color="auto" w:sz="8" w:space="0"/>
        <w:right w:val="single" w:color="auto" w:sz="4" w:space="0"/>
      </w:pBdr>
      <w:spacing w:before="100" w:beforeAutospacing="1" w:after="100" w:afterAutospacing="1"/>
      <w:ind w:firstLine="0" w:firstLineChars="0"/>
      <w:jc w:val="center"/>
    </w:pPr>
    <w:rPr>
      <w:rFonts w:cs="宋体"/>
      <w:b/>
      <w:bCs/>
      <w:kern w:val="0"/>
      <w:szCs w:val="24"/>
    </w:rPr>
  </w:style>
  <w:style w:type="paragraph" w:customStyle="1" w:styleId="82">
    <w:name w:val="xl79"/>
    <w:basedOn w:val="1"/>
    <w:qFormat/>
    <w:uiPriority w:val="0"/>
    <w:pPr>
      <w:widowControl/>
      <w:pBdr>
        <w:top w:val="single" w:color="auto" w:sz="8" w:space="0"/>
        <w:left w:val="single" w:color="auto" w:sz="4" w:space="0"/>
        <w:bottom w:val="single" w:color="auto" w:sz="8" w:space="0"/>
        <w:right w:val="single" w:color="auto" w:sz="4" w:space="0"/>
      </w:pBdr>
      <w:spacing w:before="100" w:beforeAutospacing="1" w:after="100" w:afterAutospacing="1"/>
      <w:ind w:firstLine="0" w:firstLineChars="0"/>
      <w:jc w:val="center"/>
    </w:pPr>
    <w:rPr>
      <w:rFonts w:cs="宋体"/>
      <w:b/>
      <w:bCs/>
      <w:kern w:val="0"/>
      <w:szCs w:val="24"/>
    </w:rPr>
  </w:style>
  <w:style w:type="paragraph" w:customStyle="1" w:styleId="83">
    <w:name w:val="xl80"/>
    <w:basedOn w:val="1"/>
    <w:qFormat/>
    <w:uiPriority w:val="0"/>
    <w:pPr>
      <w:widowControl/>
      <w:pBdr>
        <w:top w:val="single" w:color="auto" w:sz="8" w:space="0"/>
        <w:left w:val="single" w:color="auto" w:sz="4" w:space="0"/>
        <w:bottom w:val="single" w:color="auto" w:sz="8" w:space="0"/>
        <w:right w:val="single" w:color="auto" w:sz="4" w:space="0"/>
      </w:pBdr>
      <w:spacing w:before="100" w:beforeAutospacing="1" w:after="100" w:afterAutospacing="1"/>
      <w:ind w:firstLine="0" w:firstLineChars="0"/>
      <w:jc w:val="center"/>
    </w:pPr>
    <w:rPr>
      <w:rFonts w:cs="宋体"/>
      <w:b/>
      <w:bCs/>
      <w:kern w:val="0"/>
      <w:szCs w:val="24"/>
    </w:rPr>
  </w:style>
  <w:style w:type="paragraph" w:customStyle="1" w:styleId="84">
    <w:name w:val="xl81"/>
    <w:basedOn w:val="1"/>
    <w:qFormat/>
    <w:uiPriority w:val="0"/>
    <w:pPr>
      <w:widowControl/>
      <w:pBdr>
        <w:top w:val="single" w:color="auto" w:sz="8" w:space="0"/>
        <w:left w:val="single" w:color="auto" w:sz="4" w:space="0"/>
        <w:bottom w:val="single" w:color="auto" w:sz="8" w:space="0"/>
        <w:right w:val="single" w:color="auto" w:sz="8" w:space="0"/>
      </w:pBdr>
      <w:spacing w:before="100" w:beforeAutospacing="1" w:after="100" w:afterAutospacing="1"/>
      <w:ind w:firstLine="0" w:firstLineChars="0"/>
      <w:jc w:val="center"/>
    </w:pPr>
    <w:rPr>
      <w:rFonts w:cs="宋体"/>
      <w:b/>
      <w:bCs/>
      <w:kern w:val="0"/>
      <w:szCs w:val="24"/>
    </w:rPr>
  </w:style>
  <w:style w:type="paragraph" w:customStyle="1" w:styleId="85">
    <w:name w:val="xl82"/>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ind w:firstLine="0" w:firstLineChars="0"/>
      <w:jc w:val="center"/>
    </w:pPr>
    <w:rPr>
      <w:rFonts w:cs="宋体"/>
      <w:kern w:val="0"/>
      <w:sz w:val="18"/>
      <w:szCs w:val="18"/>
    </w:rPr>
  </w:style>
  <w:style w:type="paragraph" w:customStyle="1" w:styleId="86">
    <w:name w:val="xl8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ind w:firstLine="0" w:firstLineChars="0"/>
      <w:jc w:val="center"/>
    </w:pPr>
    <w:rPr>
      <w:rFonts w:cs="宋体"/>
      <w:kern w:val="0"/>
      <w:sz w:val="18"/>
      <w:szCs w:val="18"/>
    </w:rPr>
  </w:style>
  <w:style w:type="paragraph" w:customStyle="1" w:styleId="87">
    <w:name w:val="xl84"/>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ind w:firstLine="0" w:firstLineChars="0"/>
      <w:jc w:val="center"/>
    </w:pPr>
    <w:rPr>
      <w:rFonts w:cs="宋体"/>
      <w:kern w:val="0"/>
      <w:sz w:val="18"/>
      <w:szCs w:val="18"/>
    </w:rPr>
  </w:style>
  <w:style w:type="paragraph" w:customStyle="1" w:styleId="88">
    <w:name w:val="xl8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ind w:firstLine="0" w:firstLineChars="0"/>
      <w:jc w:val="center"/>
    </w:pPr>
    <w:rPr>
      <w:rFonts w:cs="宋体"/>
      <w:kern w:val="0"/>
      <w:sz w:val="20"/>
      <w:szCs w:val="20"/>
    </w:rPr>
  </w:style>
  <w:style w:type="paragraph" w:customStyle="1" w:styleId="89">
    <w:name w:val="xl86"/>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ind w:firstLine="0" w:firstLineChars="0"/>
      <w:jc w:val="center"/>
    </w:pPr>
    <w:rPr>
      <w:rFonts w:cs="宋体"/>
      <w:kern w:val="0"/>
      <w:sz w:val="18"/>
      <w:szCs w:val="18"/>
    </w:rPr>
  </w:style>
  <w:style w:type="paragraph" w:customStyle="1" w:styleId="90">
    <w:name w:val="xl8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ind w:firstLine="0" w:firstLineChars="0"/>
      <w:jc w:val="center"/>
    </w:pPr>
    <w:rPr>
      <w:rFonts w:cs="宋体"/>
      <w:color w:val="000000"/>
      <w:kern w:val="0"/>
      <w:sz w:val="18"/>
      <w:szCs w:val="18"/>
    </w:rPr>
  </w:style>
  <w:style w:type="paragraph" w:customStyle="1" w:styleId="91">
    <w:name w:val="xl88"/>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ind w:firstLine="0" w:firstLineChars="0"/>
      <w:jc w:val="center"/>
    </w:pPr>
    <w:rPr>
      <w:rFonts w:cs="宋体"/>
      <w:color w:val="000000"/>
      <w:kern w:val="0"/>
      <w:sz w:val="18"/>
      <w:szCs w:val="18"/>
    </w:rPr>
  </w:style>
  <w:style w:type="paragraph" w:customStyle="1" w:styleId="92">
    <w:name w:val="xl89"/>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ind w:firstLine="0" w:firstLineChars="0"/>
      <w:jc w:val="center"/>
    </w:pPr>
    <w:rPr>
      <w:rFonts w:cs="宋体"/>
      <w:kern w:val="0"/>
      <w:sz w:val="20"/>
      <w:szCs w:val="20"/>
    </w:rPr>
  </w:style>
  <w:style w:type="paragraph" w:customStyle="1" w:styleId="93">
    <w:name w:val="xl90"/>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ind w:firstLine="0" w:firstLineChars="0"/>
      <w:jc w:val="center"/>
    </w:pPr>
    <w:rPr>
      <w:rFonts w:cs="宋体"/>
      <w:kern w:val="0"/>
      <w:sz w:val="20"/>
      <w:szCs w:val="20"/>
    </w:rPr>
  </w:style>
  <w:style w:type="paragraph" w:customStyle="1" w:styleId="94">
    <w:name w:val="xl9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ind w:firstLine="0" w:firstLineChars="0"/>
      <w:jc w:val="center"/>
    </w:pPr>
    <w:rPr>
      <w:rFonts w:cs="宋体"/>
      <w:kern w:val="0"/>
      <w:sz w:val="20"/>
      <w:szCs w:val="20"/>
    </w:rPr>
  </w:style>
  <w:style w:type="paragraph" w:customStyle="1" w:styleId="95">
    <w:name w:val="xl92"/>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ind w:firstLine="0" w:firstLineChars="0"/>
      <w:jc w:val="center"/>
    </w:pPr>
    <w:rPr>
      <w:rFonts w:cs="宋体"/>
      <w:kern w:val="0"/>
      <w:sz w:val="20"/>
      <w:szCs w:val="20"/>
    </w:rPr>
  </w:style>
  <w:style w:type="paragraph" w:customStyle="1" w:styleId="96">
    <w:name w:val="xl93"/>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ind w:firstLine="0" w:firstLineChars="0"/>
    </w:pPr>
    <w:rPr>
      <w:rFonts w:cs="宋体"/>
      <w:kern w:val="0"/>
      <w:sz w:val="18"/>
      <w:szCs w:val="18"/>
    </w:rPr>
  </w:style>
  <w:style w:type="paragraph" w:customStyle="1" w:styleId="97">
    <w:name w:val="xl9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ind w:firstLine="0" w:firstLineChars="0"/>
    </w:pPr>
    <w:rPr>
      <w:rFonts w:cs="宋体"/>
      <w:kern w:val="0"/>
      <w:sz w:val="18"/>
      <w:szCs w:val="18"/>
    </w:rPr>
  </w:style>
  <w:style w:type="paragraph" w:customStyle="1" w:styleId="98">
    <w:name w:val="xl95"/>
    <w:basedOn w:val="1"/>
    <w:qFormat/>
    <w:uiPriority w:val="0"/>
    <w:pPr>
      <w:widowControl/>
      <w:spacing w:before="100" w:beforeAutospacing="1" w:after="100" w:afterAutospacing="1"/>
      <w:ind w:firstLine="0" w:firstLineChars="0"/>
    </w:pPr>
    <w:rPr>
      <w:rFonts w:cs="宋体"/>
      <w:kern w:val="0"/>
      <w:sz w:val="18"/>
      <w:szCs w:val="18"/>
    </w:rPr>
  </w:style>
  <w:style w:type="paragraph" w:customStyle="1" w:styleId="99">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pPr>
    <w:rPr>
      <w:rFonts w:cs="宋体"/>
      <w:kern w:val="0"/>
      <w:sz w:val="18"/>
      <w:szCs w:val="18"/>
    </w:rPr>
  </w:style>
  <w:style w:type="paragraph" w:customStyle="1" w:styleId="100">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pPr>
    <w:rPr>
      <w:rFonts w:cs="宋体"/>
      <w:color w:val="000000"/>
      <w:kern w:val="0"/>
      <w:sz w:val="18"/>
      <w:szCs w:val="18"/>
    </w:rPr>
  </w:style>
  <w:style w:type="paragraph" w:customStyle="1" w:styleId="101">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pPr>
    <w:rPr>
      <w:rFonts w:cs="宋体"/>
      <w:color w:val="000000"/>
      <w:kern w:val="0"/>
      <w:sz w:val="18"/>
      <w:szCs w:val="18"/>
    </w:rPr>
  </w:style>
  <w:style w:type="paragraph" w:customStyle="1" w:styleId="102">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pPr>
    <w:rPr>
      <w:rFonts w:cs="宋体"/>
      <w:kern w:val="0"/>
      <w:sz w:val="18"/>
      <w:szCs w:val="18"/>
    </w:rPr>
  </w:style>
  <w:style w:type="paragraph" w:customStyle="1" w:styleId="103">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pPr>
    <w:rPr>
      <w:rFonts w:cs="宋体"/>
      <w:color w:val="000000"/>
      <w:kern w:val="0"/>
      <w:sz w:val="18"/>
      <w:szCs w:val="18"/>
    </w:rPr>
  </w:style>
  <w:style w:type="paragraph" w:customStyle="1" w:styleId="10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pPr>
    <w:rPr>
      <w:rFonts w:cs="宋体"/>
      <w:kern w:val="0"/>
      <w:sz w:val="18"/>
      <w:szCs w:val="18"/>
    </w:rPr>
  </w:style>
  <w:style w:type="paragraph" w:customStyle="1" w:styleId="10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pPr>
    <w:rPr>
      <w:rFonts w:cs="宋体"/>
      <w:color w:val="000000"/>
      <w:kern w:val="0"/>
      <w:sz w:val="18"/>
      <w:szCs w:val="18"/>
    </w:rPr>
  </w:style>
  <w:style w:type="paragraph" w:customStyle="1" w:styleId="106">
    <w:name w:val="xl10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ind w:firstLine="0" w:firstLineChars="0"/>
    </w:pPr>
    <w:rPr>
      <w:rFonts w:cs="宋体"/>
      <w:kern w:val="0"/>
      <w:sz w:val="18"/>
      <w:szCs w:val="18"/>
    </w:rPr>
  </w:style>
  <w:style w:type="paragraph" w:customStyle="1" w:styleId="107">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pPr>
    <w:rPr>
      <w:rFonts w:cs="宋体"/>
      <w:kern w:val="0"/>
      <w:sz w:val="18"/>
      <w:szCs w:val="18"/>
    </w:rPr>
  </w:style>
  <w:style w:type="paragraph" w:customStyle="1" w:styleId="108">
    <w:name w:val="xl10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ind w:firstLine="0" w:firstLineChars="0"/>
    </w:pPr>
    <w:rPr>
      <w:rFonts w:cs="宋体"/>
      <w:kern w:val="0"/>
      <w:sz w:val="18"/>
      <w:szCs w:val="18"/>
    </w:rPr>
  </w:style>
  <w:style w:type="paragraph" w:customStyle="1" w:styleId="109">
    <w:name w:val="xl10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ind w:firstLine="0" w:firstLineChars="0"/>
    </w:pPr>
    <w:rPr>
      <w:rFonts w:cs="宋体"/>
      <w:kern w:val="0"/>
      <w:sz w:val="20"/>
      <w:szCs w:val="20"/>
    </w:rPr>
  </w:style>
  <w:style w:type="paragraph" w:customStyle="1" w:styleId="110">
    <w:name w:val="xl10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ind w:firstLine="0" w:firstLineChars="0"/>
    </w:pPr>
    <w:rPr>
      <w:rFonts w:cs="宋体"/>
      <w:kern w:val="0"/>
      <w:sz w:val="18"/>
      <w:szCs w:val="18"/>
    </w:rPr>
  </w:style>
  <w:style w:type="paragraph" w:customStyle="1" w:styleId="111">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pPr>
    <w:rPr>
      <w:rFonts w:cs="宋体"/>
      <w:kern w:val="0"/>
      <w:sz w:val="20"/>
      <w:szCs w:val="20"/>
    </w:rPr>
  </w:style>
  <w:style w:type="paragraph" w:customStyle="1" w:styleId="112">
    <w:name w:val="xl10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ind w:firstLine="0" w:firstLineChars="0"/>
    </w:pPr>
    <w:rPr>
      <w:rFonts w:cs="宋体"/>
      <w:kern w:val="0"/>
      <w:sz w:val="20"/>
      <w:szCs w:val="20"/>
    </w:rPr>
  </w:style>
  <w:style w:type="paragraph" w:customStyle="1" w:styleId="113">
    <w:name w:val="xl110"/>
    <w:basedOn w:val="1"/>
    <w:qFormat/>
    <w:uiPriority w:val="0"/>
    <w:pPr>
      <w:widowControl/>
      <w:spacing w:before="100" w:beforeAutospacing="1" w:after="100" w:afterAutospacing="1"/>
      <w:ind w:firstLine="0" w:firstLineChars="0"/>
    </w:pPr>
    <w:rPr>
      <w:rFonts w:cs="宋体"/>
      <w:kern w:val="0"/>
      <w:szCs w:val="24"/>
    </w:rPr>
  </w:style>
  <w:style w:type="paragraph" w:customStyle="1" w:styleId="114">
    <w:name w:val="xl111"/>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ind w:firstLine="0" w:firstLineChars="0"/>
      <w:jc w:val="center"/>
    </w:pPr>
    <w:rPr>
      <w:rFonts w:cs="宋体"/>
      <w:kern w:val="0"/>
      <w:sz w:val="18"/>
      <w:szCs w:val="18"/>
    </w:rPr>
  </w:style>
  <w:style w:type="paragraph" w:customStyle="1" w:styleId="115">
    <w:name w:val="xl112"/>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ind w:firstLine="0" w:firstLineChars="0"/>
      <w:jc w:val="center"/>
    </w:pPr>
    <w:rPr>
      <w:rFonts w:cs="宋体"/>
      <w:kern w:val="0"/>
      <w:sz w:val="18"/>
      <w:szCs w:val="18"/>
    </w:rPr>
  </w:style>
  <w:style w:type="paragraph" w:customStyle="1" w:styleId="116">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pPr>
    <w:rPr>
      <w:rFonts w:cs="宋体"/>
      <w:kern w:val="0"/>
      <w:sz w:val="20"/>
      <w:szCs w:val="20"/>
    </w:rPr>
  </w:style>
  <w:style w:type="paragraph" w:customStyle="1" w:styleId="117">
    <w:name w:val="xl11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ind w:firstLine="0" w:firstLineChars="0"/>
      <w:jc w:val="center"/>
    </w:pPr>
    <w:rPr>
      <w:rFonts w:cs="宋体"/>
      <w:kern w:val="0"/>
      <w:sz w:val="20"/>
      <w:szCs w:val="20"/>
    </w:rPr>
  </w:style>
  <w:style w:type="paragraph" w:customStyle="1" w:styleId="118">
    <w:name w:val="TOC 标题1"/>
    <w:basedOn w:val="4"/>
    <w:next w:val="1"/>
    <w:unhideWhenUsed/>
    <w:qFormat/>
    <w:uiPriority w:val="39"/>
    <w:pPr>
      <w:pageBreakBefore w:val="0"/>
      <w:widowControl/>
      <w:numPr>
        <w:numId w:val="0"/>
      </w:numPr>
      <w:spacing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19">
    <w:name w:val="未处理的提及1"/>
    <w:basedOn w:val="39"/>
    <w:semiHidden/>
    <w:unhideWhenUsed/>
    <w:qFormat/>
    <w:uiPriority w:val="99"/>
    <w:rPr>
      <w:color w:val="605E5C"/>
      <w:shd w:val="clear" w:color="auto" w:fill="E1DFDD"/>
    </w:rPr>
  </w:style>
  <w:style w:type="table" w:customStyle="1" w:styleId="120">
    <w:name w:val="网格型2"/>
    <w:basedOn w:val="3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1">
    <w:name w:val="标题 6 字符"/>
    <w:basedOn w:val="39"/>
    <w:link w:val="9"/>
    <w:semiHidden/>
    <w:qFormat/>
    <w:uiPriority w:val="9"/>
    <w:rPr>
      <w:rFonts w:asciiTheme="majorHAnsi" w:hAnsiTheme="majorHAnsi" w:eastAsiaTheme="majorEastAsia" w:cstheme="majorBidi"/>
      <w:b/>
      <w:bCs/>
      <w:kern w:val="2"/>
      <w:sz w:val="24"/>
      <w:szCs w:val="24"/>
    </w:rPr>
  </w:style>
  <w:style w:type="character" w:customStyle="1" w:styleId="122">
    <w:name w:val="标题 7 字符"/>
    <w:basedOn w:val="39"/>
    <w:link w:val="10"/>
    <w:semiHidden/>
    <w:qFormat/>
    <w:uiPriority w:val="9"/>
    <w:rPr>
      <w:rFonts w:ascii="仿宋_GB2312" w:hAnsi="仿宋" w:eastAsia="仿宋_GB2312"/>
      <w:b/>
      <w:bCs/>
      <w:kern w:val="2"/>
      <w:sz w:val="24"/>
      <w:szCs w:val="24"/>
    </w:rPr>
  </w:style>
  <w:style w:type="character" w:customStyle="1" w:styleId="123">
    <w:name w:val="标题 8 字符"/>
    <w:basedOn w:val="39"/>
    <w:link w:val="11"/>
    <w:semiHidden/>
    <w:qFormat/>
    <w:uiPriority w:val="9"/>
    <w:rPr>
      <w:rFonts w:asciiTheme="majorHAnsi" w:hAnsiTheme="majorHAnsi" w:eastAsiaTheme="majorEastAsia" w:cstheme="majorBidi"/>
      <w:kern w:val="2"/>
      <w:sz w:val="24"/>
      <w:szCs w:val="24"/>
    </w:rPr>
  </w:style>
  <w:style w:type="character" w:customStyle="1" w:styleId="124">
    <w:name w:val="标题 9 字符"/>
    <w:basedOn w:val="39"/>
    <w:link w:val="12"/>
    <w:semiHidden/>
    <w:qFormat/>
    <w:uiPriority w:val="9"/>
    <w:rPr>
      <w:rFonts w:asciiTheme="majorHAnsi" w:hAnsiTheme="majorHAnsi" w:eastAsiaTheme="majorEastAsia" w:cstheme="majorBidi"/>
      <w:kern w:val="2"/>
      <w:sz w:val="21"/>
      <w:szCs w:val="21"/>
    </w:rPr>
  </w:style>
  <w:style w:type="paragraph" w:customStyle="1" w:styleId="125">
    <w:name w:val="修订2"/>
    <w:hidden/>
    <w:semiHidden/>
    <w:qFormat/>
    <w:uiPriority w:val="99"/>
    <w:rPr>
      <w:rFonts w:ascii="宋体" w:hAnsi="宋体" w:eastAsia="宋体" w:cstheme="minorBidi"/>
      <w:kern w:val="2"/>
      <w:sz w:val="24"/>
      <w:szCs w:val="22"/>
      <w:lang w:val="en-US" w:eastAsia="zh-CN" w:bidi="ar-SA"/>
    </w:rPr>
  </w:style>
  <w:style w:type="character" w:customStyle="1" w:styleId="126">
    <w:name w:val="文档结构图 字符"/>
    <w:basedOn w:val="39"/>
    <w:link w:val="15"/>
    <w:semiHidden/>
    <w:qFormat/>
    <w:uiPriority w:val="99"/>
    <w:rPr>
      <w:rFonts w:ascii="宋体" w:hAnsi="仿宋" w:eastAsia="宋体"/>
      <w:kern w:val="2"/>
      <w:sz w:val="18"/>
      <w:szCs w:val="18"/>
    </w:rPr>
  </w:style>
  <w:style w:type="character" w:customStyle="1" w:styleId="127">
    <w:name w:val="正文文本缩进 字符"/>
    <w:basedOn w:val="39"/>
    <w:link w:val="3"/>
    <w:qFormat/>
    <w:uiPriority w:val="99"/>
    <w:rPr>
      <w:rFonts w:ascii="Times New Roman" w:hAnsi="Times New Roman" w:eastAsia="楷体_GB2312" w:cs="Times New Roman"/>
      <w:kern w:val="2"/>
      <w:sz w:val="32"/>
    </w:rPr>
  </w:style>
  <w:style w:type="character" w:customStyle="1" w:styleId="128">
    <w:name w:val="副标题 字符"/>
    <w:basedOn w:val="39"/>
    <w:link w:val="29"/>
    <w:qFormat/>
    <w:uiPriority w:val="11"/>
    <w:rPr>
      <w:rFonts w:ascii="仿宋_GB2312" w:hAnsi="仿宋" w:eastAsia="仿宋"/>
      <w:b/>
      <w:bCs/>
      <w:kern w:val="28"/>
      <w:sz w:val="32"/>
      <w:szCs w:val="32"/>
    </w:rPr>
  </w:style>
  <w:style w:type="character" w:customStyle="1" w:styleId="129">
    <w:name w:val="脚注文本 字符"/>
    <w:basedOn w:val="39"/>
    <w:link w:val="30"/>
    <w:semiHidden/>
    <w:qFormat/>
    <w:uiPriority w:val="99"/>
    <w:rPr>
      <w:rFonts w:ascii="仿宋_GB2312" w:hAnsi="仿宋" w:eastAsia="仿宋_GB2312"/>
      <w:kern w:val="2"/>
      <w:sz w:val="18"/>
      <w:szCs w:val="18"/>
    </w:rPr>
  </w:style>
  <w:style w:type="character" w:customStyle="1" w:styleId="130">
    <w:name w:val="标题 字符"/>
    <w:basedOn w:val="39"/>
    <w:link w:val="35"/>
    <w:qFormat/>
    <w:uiPriority w:val="10"/>
    <w:rPr>
      <w:rFonts w:ascii="仿宋" w:eastAsia="仿宋" w:hAnsiTheme="majorHAnsi" w:cstheme="majorBidi"/>
      <w:b/>
      <w:bCs/>
      <w:kern w:val="2"/>
      <w:sz w:val="32"/>
      <w:szCs w:val="32"/>
    </w:rPr>
  </w:style>
  <w:style w:type="table" w:customStyle="1" w:styleId="131">
    <w:name w:val="网格表 1 浅色1"/>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0" w:type="dxa"/>
        <w:bottom w:w="0" w:type="dxa"/>
        <w:right w:w="0" w:type="dxa"/>
      </w:tblCellMar>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table" w:customStyle="1" w:styleId="132">
    <w:name w:val="网格表 1 浅色2"/>
    <w:basedOn w:val="37"/>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33">
    <w:name w:val="TOC 标题12"/>
    <w:basedOn w:val="4"/>
    <w:next w:val="1"/>
    <w:unhideWhenUsed/>
    <w:qFormat/>
    <w:uiPriority w:val="39"/>
    <w:pPr>
      <w:pageBreakBefore w:val="0"/>
      <w:widowControl/>
      <w:spacing w:after="0" w:line="259" w:lineRule="auto"/>
      <w:ind w:right="280" w:rightChars="100" w:firstLine="567" w:firstLineChars="200"/>
      <w:outlineLvl w:val="9"/>
    </w:pPr>
    <w:rPr>
      <w:rFonts w:asciiTheme="majorHAnsi" w:hAnsiTheme="majorHAnsi" w:eastAsiaTheme="majorEastAsia" w:cstheme="majorBidi"/>
      <w:b w:val="0"/>
      <w:bCs w:val="0"/>
      <w:color w:val="2F5597" w:themeColor="accent1" w:themeShade="BF"/>
      <w:kern w:val="0"/>
      <w:sz w:val="32"/>
      <w:szCs w:val="32"/>
    </w:rPr>
  </w:style>
  <w:style w:type="table" w:customStyle="1" w:styleId="134">
    <w:name w:val="网格型35"/>
    <w:basedOn w:val="37"/>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5">
    <w:name w:val="正文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136">
    <w:name w:val="表格"/>
    <w:basedOn w:val="1"/>
    <w:link w:val="137"/>
    <w:qFormat/>
    <w:uiPriority w:val="0"/>
    <w:pPr>
      <w:widowControl/>
      <w:ind w:firstLine="0" w:firstLineChars="0"/>
      <w:jc w:val="center"/>
    </w:pPr>
    <w:rPr>
      <w:rFonts w:ascii="仿宋" w:hAnsi="仿宋" w:eastAsia="仿宋" w:cs="仿宋"/>
      <w:sz w:val="22"/>
      <w:szCs w:val="28"/>
    </w:rPr>
  </w:style>
  <w:style w:type="character" w:customStyle="1" w:styleId="137">
    <w:name w:val="表格 字符"/>
    <w:basedOn w:val="39"/>
    <w:link w:val="136"/>
    <w:qFormat/>
    <w:uiPriority w:val="0"/>
    <w:rPr>
      <w:rFonts w:ascii="仿宋" w:hAnsi="仿宋" w:eastAsia="仿宋" w:cs="仿宋"/>
      <w:kern w:val="2"/>
      <w:sz w:val="22"/>
      <w:szCs w:val="28"/>
    </w:rPr>
  </w:style>
  <w:style w:type="paragraph" w:customStyle="1" w:styleId="138">
    <w:name w:val="正文首行缩进:  2 字符"/>
    <w:basedOn w:val="1"/>
    <w:qFormat/>
    <w:uiPriority w:val="0"/>
    <w:pPr>
      <w:widowControl/>
      <w:wordWrap w:val="0"/>
      <w:ind w:firstLine="560"/>
    </w:pPr>
    <w:rPr>
      <w:rFonts w:ascii="Times New Roman" w:hAnsi="Times New Roman" w:eastAsia="华文仿宋" w:cs="宋体"/>
      <w:sz w:val="28"/>
      <w:szCs w:val="20"/>
    </w:rPr>
  </w:style>
  <w:style w:type="paragraph" w:customStyle="1" w:styleId="139">
    <w:name w:val="表——"/>
    <w:basedOn w:val="1"/>
    <w:qFormat/>
    <w:uiPriority w:val="0"/>
    <w:pPr>
      <w:widowControl/>
      <w:wordWrap w:val="0"/>
      <w:adjustRightInd w:val="0"/>
      <w:snapToGrid w:val="0"/>
      <w:jc w:val="center"/>
    </w:pPr>
    <w:rPr>
      <w:rFonts w:ascii="Times New Roman" w:hAnsi="Times New Roman" w:eastAsia="华文仿宋" w:cs="Times New Roman"/>
      <w:bCs/>
      <w:sz w:val="18"/>
      <w:szCs w:val="20"/>
    </w:rPr>
  </w:style>
  <w:style w:type="character" w:customStyle="1" w:styleId="140">
    <w:name w:val="正文文本 Char1"/>
    <w:basedOn w:val="39"/>
    <w:semiHidden/>
    <w:qFormat/>
    <w:uiPriority w:val="99"/>
    <w:rPr>
      <w:kern w:val="2"/>
      <w:sz w:val="21"/>
      <w:szCs w:val="22"/>
    </w:rPr>
  </w:style>
  <w:style w:type="character" w:customStyle="1" w:styleId="141">
    <w:name w:val="正文文本 字符1"/>
    <w:basedOn w:val="39"/>
    <w:semiHidden/>
    <w:qFormat/>
    <w:uiPriority w:val="99"/>
    <w:rPr>
      <w:rFonts w:ascii="仿宋_GB2312" w:hAnsi="仿宋" w:eastAsia="仿宋_GB2312" w:cs="Times New Roman"/>
      <w:spacing w:val="-10"/>
      <w:kern w:val="2"/>
      <w:sz w:val="28"/>
      <w:szCs w:val="30"/>
    </w:rPr>
  </w:style>
  <w:style w:type="table" w:customStyle="1" w:styleId="142">
    <w:name w:val="网格表 1 浅色21"/>
    <w:basedOn w:val="37"/>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43">
    <w:name w:val="TOC 标题11"/>
    <w:basedOn w:val="4"/>
    <w:next w:val="1"/>
    <w:unhideWhenUsed/>
    <w:qFormat/>
    <w:uiPriority w:val="39"/>
    <w:pPr>
      <w:pageBreakBefore w:val="0"/>
      <w:widowControl/>
      <w:spacing w:after="0" w:line="259" w:lineRule="auto"/>
      <w:ind w:right="280" w:rightChars="100" w:firstLine="567" w:firstLineChars="200"/>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44">
    <w:name w:val="未处理的提及11"/>
    <w:basedOn w:val="39"/>
    <w:semiHidden/>
    <w:unhideWhenUsed/>
    <w:qFormat/>
    <w:uiPriority w:val="99"/>
    <w:rPr>
      <w:color w:val="605E5C"/>
      <w:shd w:val="clear" w:color="auto" w:fill="E1DFDD"/>
    </w:rPr>
  </w:style>
  <w:style w:type="table" w:customStyle="1" w:styleId="145">
    <w:name w:val="无格式表格 11"/>
    <w:basedOn w:val="37"/>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paragraph" w:customStyle="1" w:styleId="146">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7">
    <w:name w:val="正文-公1"/>
    <w:basedOn w:val="1"/>
    <w:qFormat/>
    <w:uiPriority w:val="0"/>
    <w:pPr>
      <w:widowControl/>
    </w:pPr>
    <w:rPr>
      <w:rFonts w:ascii="Times New Roman" w:hAnsi="Times New Roman" w:cs="Times New Roman"/>
      <w:sz w:val="21"/>
      <w:szCs w:val="24"/>
    </w:rPr>
  </w:style>
  <w:style w:type="table" w:customStyle="1" w:styleId="148">
    <w:name w:val="网格表 1 浅色3"/>
    <w:basedOn w:val="37"/>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149">
    <w:name w:val="未处理的提及2"/>
    <w:basedOn w:val="39"/>
    <w:semiHidden/>
    <w:unhideWhenUsed/>
    <w:qFormat/>
    <w:uiPriority w:val="99"/>
    <w:rPr>
      <w:color w:val="605E5C"/>
      <w:shd w:val="clear" w:color="auto" w:fill="E1DFDD"/>
    </w:rPr>
  </w:style>
  <w:style w:type="table" w:customStyle="1" w:styleId="150">
    <w:name w:val="网格型3"/>
    <w:basedOn w:val="3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
    <w:name w:val="网格型4"/>
    <w:basedOn w:val="3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2">
    <w:name w:val="表格内容"/>
    <w:basedOn w:val="1"/>
    <w:link w:val="153"/>
    <w:qFormat/>
    <w:uiPriority w:val="0"/>
    <w:pPr>
      <w:widowControl/>
      <w:ind w:firstLine="0" w:firstLineChars="0"/>
      <w:jc w:val="center"/>
    </w:pPr>
    <w:rPr>
      <w:rFonts w:cs="Times New Roman"/>
      <w:color w:val="000000"/>
      <w:sz w:val="21"/>
      <w:szCs w:val="21"/>
    </w:rPr>
  </w:style>
  <w:style w:type="character" w:customStyle="1" w:styleId="153">
    <w:name w:val="表格内容 字符"/>
    <w:basedOn w:val="39"/>
    <w:link w:val="152"/>
    <w:qFormat/>
    <w:uiPriority w:val="0"/>
    <w:rPr>
      <w:rFonts w:ascii="宋体" w:hAnsi="宋体" w:eastAsia="宋体" w:cs="Times New Roman"/>
      <w:color w:val="000000"/>
      <w:kern w:val="2"/>
      <w:sz w:val="21"/>
      <w:szCs w:val="21"/>
    </w:rPr>
  </w:style>
  <w:style w:type="paragraph" w:customStyle="1" w:styleId="154">
    <w:name w:val="修订3"/>
    <w:hidden/>
    <w:semiHidden/>
    <w:qFormat/>
    <w:uiPriority w:val="99"/>
    <w:rPr>
      <w:rFonts w:ascii="宋体" w:hAnsi="宋体" w:eastAsia="宋体" w:cstheme="minorBidi"/>
      <w:kern w:val="2"/>
      <w:sz w:val="24"/>
      <w:szCs w:val="22"/>
      <w:lang w:val="en-US" w:eastAsia="zh-CN" w:bidi="ar-SA"/>
    </w:rPr>
  </w:style>
  <w:style w:type="paragraph" w:customStyle="1" w:styleId="155">
    <w:name w:val="表"/>
    <w:basedOn w:val="47"/>
    <w:qFormat/>
    <w:uiPriority w:val="0"/>
    <w:pPr>
      <w:spacing w:line="240" w:lineRule="auto"/>
      <w:ind w:firstLine="0"/>
      <w:jc w:val="center"/>
    </w:pPr>
    <w:rPr>
      <w:rFonts w:ascii="宋体" w:hAnsi="宋体" w:eastAsia="宋体" w:cs="宋体"/>
      <w:sz w:val="24"/>
      <w:szCs w:val="24"/>
    </w:rPr>
  </w:style>
  <w:style w:type="paragraph" w:customStyle="1" w:styleId="156">
    <w:name w:val="修订31"/>
    <w:hidden/>
    <w:semiHidden/>
    <w:qFormat/>
    <w:uiPriority w:val="99"/>
    <w:rPr>
      <w:rFonts w:ascii="宋体" w:hAnsi="宋体" w:eastAsia="宋体" w:cstheme="minorBidi"/>
      <w:kern w:val="2"/>
      <w:sz w:val="24"/>
      <w:szCs w:val="22"/>
      <w:lang w:val="en-US" w:eastAsia="zh-CN" w:bidi="ar-SA"/>
    </w:rPr>
  </w:style>
  <w:style w:type="paragraph" w:customStyle="1" w:styleId="157">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auto"/>
      <w:spacing w:before="100" w:beforeAutospacing="1" w:after="100" w:afterAutospacing="1"/>
      <w:ind w:firstLine="0" w:firstLineChars="0"/>
    </w:pPr>
    <w:rPr>
      <w:rFonts w:cs="宋体"/>
      <w:kern w:val="0"/>
      <w:szCs w:val="24"/>
    </w:rPr>
  </w:style>
  <w:style w:type="paragraph" w:customStyle="1" w:styleId="158">
    <w:name w:val="xl66"/>
    <w:basedOn w:val="1"/>
    <w:qFormat/>
    <w:uiPriority w:val="0"/>
    <w:pPr>
      <w:widowControl/>
      <w:shd w:val="clear" w:color="000000" w:fill="auto"/>
      <w:spacing w:before="100" w:beforeAutospacing="1" w:after="100" w:afterAutospacing="1"/>
      <w:ind w:firstLine="0" w:firstLineChars="0"/>
    </w:pPr>
    <w:rPr>
      <w:rFonts w:cs="宋体"/>
      <w:kern w:val="0"/>
      <w:szCs w:val="24"/>
    </w:rPr>
  </w:style>
  <w:style w:type="paragraph" w:customStyle="1" w:styleId="159">
    <w:name w:val="xl67"/>
    <w:basedOn w:val="1"/>
    <w:qFormat/>
    <w:uiPriority w:val="0"/>
    <w:pPr>
      <w:widowControl/>
      <w:spacing w:before="100" w:beforeAutospacing="1" w:after="100" w:afterAutospacing="1"/>
      <w:ind w:firstLine="0" w:firstLineChars="0"/>
      <w:jc w:val="center"/>
    </w:pPr>
    <w:rPr>
      <w:rFonts w:cs="宋体"/>
      <w:kern w:val="0"/>
      <w:szCs w:val="24"/>
    </w:rPr>
  </w:style>
  <w:style w:type="paragraph" w:customStyle="1" w:styleId="160">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pPr>
    <w:rPr>
      <w:rFonts w:cs="宋体"/>
      <w:kern w:val="0"/>
      <w:szCs w:val="24"/>
    </w:rPr>
  </w:style>
  <w:style w:type="character" w:customStyle="1" w:styleId="161">
    <w:name w:val="未处理的提及3"/>
    <w:basedOn w:val="39"/>
    <w:semiHidden/>
    <w:unhideWhenUsed/>
    <w:qFormat/>
    <w:uiPriority w:val="99"/>
    <w:rPr>
      <w:color w:val="605E5C"/>
      <w:shd w:val="clear" w:color="auto" w:fill="E1DFDD"/>
    </w:rPr>
  </w:style>
  <w:style w:type="paragraph" w:customStyle="1" w:styleId="162">
    <w:name w:val="TOC 标题2"/>
    <w:basedOn w:val="4"/>
    <w:next w:val="1"/>
    <w:unhideWhenUsed/>
    <w:qFormat/>
    <w:uiPriority w:val="39"/>
    <w:pPr>
      <w:pageBreakBefore w:val="0"/>
      <w:widowControl/>
      <w:numPr>
        <w:numId w:val="0"/>
      </w:numPr>
      <w:spacing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163">
    <w:name w:val="条文格式"/>
    <w:basedOn w:val="6"/>
    <w:link w:val="164"/>
    <w:qFormat/>
    <w:uiPriority w:val="0"/>
    <w:pPr>
      <w:numPr>
        <w:ilvl w:val="0"/>
        <w:numId w:val="4"/>
      </w:numPr>
      <w:spacing w:before="260" w:after="260" w:line="120" w:lineRule="auto"/>
      <w:jc w:val="both"/>
    </w:pPr>
    <w:rPr>
      <w:rFonts w:ascii="Times New Roman" w:hAnsi="Times New Roman"/>
    </w:rPr>
  </w:style>
  <w:style w:type="character" w:customStyle="1" w:styleId="164">
    <w:name w:val="条文格式 字符"/>
    <w:basedOn w:val="49"/>
    <w:link w:val="163"/>
    <w:qFormat/>
    <w:uiPriority w:val="0"/>
    <w:rPr>
      <w:rFonts w:ascii="宋体" w:hAnsi="宋体" w:eastAsia="黑体" w:cstheme="minorBidi"/>
      <w:kern w:val="2"/>
      <w:sz w:val="30"/>
      <w:szCs w:val="32"/>
    </w:rPr>
  </w:style>
  <w:style w:type="character" w:customStyle="1" w:styleId="165">
    <w:name w:val="未处理的提及4"/>
    <w:basedOn w:val="39"/>
    <w:semiHidden/>
    <w:unhideWhenUsed/>
    <w:qFormat/>
    <w:uiPriority w:val="99"/>
    <w:rPr>
      <w:color w:val="605E5C"/>
      <w:shd w:val="clear" w:color="auto" w:fill="E1DFDD"/>
    </w:rPr>
  </w:style>
  <w:style w:type="character" w:customStyle="1" w:styleId="166">
    <w:name w:val="未处理的提及5"/>
    <w:basedOn w:val="39"/>
    <w:semiHidden/>
    <w:unhideWhenUsed/>
    <w:qFormat/>
    <w:uiPriority w:val="99"/>
    <w:rPr>
      <w:color w:val="605E5C"/>
      <w:shd w:val="clear" w:color="auto" w:fill="E1DFDD"/>
    </w:rPr>
  </w:style>
  <w:style w:type="character" w:customStyle="1" w:styleId="167">
    <w:name w:val="未处理的提及6"/>
    <w:basedOn w:val="39"/>
    <w:semiHidden/>
    <w:unhideWhenUsed/>
    <w:qFormat/>
    <w:uiPriority w:val="99"/>
    <w:rPr>
      <w:color w:val="605E5C"/>
      <w:shd w:val="clear" w:color="auto" w:fill="E1DFDD"/>
    </w:rPr>
  </w:style>
  <w:style w:type="paragraph" w:customStyle="1" w:styleId="168">
    <w:name w:val="修订4"/>
    <w:hidden/>
    <w:semiHidden/>
    <w:qFormat/>
    <w:uiPriority w:val="99"/>
    <w:rPr>
      <w:rFonts w:ascii="宋体" w:hAnsi="宋体" w:eastAsia="仿宋_GB2312" w:cstheme="minorBidi"/>
      <w:kern w:val="2"/>
      <w:sz w:val="30"/>
      <w:szCs w:val="22"/>
      <w:lang w:val="en-US" w:eastAsia="zh-CN" w:bidi="ar-SA"/>
    </w:rPr>
  </w:style>
  <w:style w:type="character" w:customStyle="1" w:styleId="169">
    <w:name w:val="尾注文本 字符"/>
    <w:basedOn w:val="39"/>
    <w:link w:val="23"/>
    <w:semiHidden/>
    <w:qFormat/>
    <w:uiPriority w:val="99"/>
    <w:rPr>
      <w:rFonts w:ascii="宋体" w:hAnsi="宋体" w:eastAsia="仿宋_GB2312"/>
      <w:kern w:val="2"/>
      <w:sz w:val="30"/>
      <w:szCs w:val="22"/>
    </w:rPr>
  </w:style>
  <w:style w:type="character" w:customStyle="1" w:styleId="170">
    <w:name w:val="未处理的提及61"/>
    <w:basedOn w:val="39"/>
    <w:semiHidden/>
    <w:unhideWhenUsed/>
    <w:qFormat/>
    <w:uiPriority w:val="99"/>
    <w:rPr>
      <w:color w:val="605E5C"/>
      <w:shd w:val="clear" w:color="auto" w:fill="E1DFDD"/>
    </w:rPr>
  </w:style>
  <w:style w:type="paragraph" w:customStyle="1" w:styleId="171">
    <w:name w:val="修订41"/>
    <w:hidden/>
    <w:semiHidden/>
    <w:qFormat/>
    <w:uiPriority w:val="99"/>
    <w:rPr>
      <w:rFonts w:ascii="宋体" w:hAnsi="宋体" w:eastAsia="仿宋_GB2312" w:cstheme="minorBidi"/>
      <w:kern w:val="2"/>
      <w:sz w:val="30"/>
      <w:szCs w:val="22"/>
      <w:lang w:val="en-US" w:eastAsia="zh-CN" w:bidi="ar-SA"/>
    </w:rPr>
  </w:style>
  <w:style w:type="character" w:customStyle="1" w:styleId="172">
    <w:name w:val="未处理的提及7"/>
    <w:basedOn w:val="39"/>
    <w:semiHidden/>
    <w:unhideWhenUsed/>
    <w:qFormat/>
    <w:uiPriority w:val="99"/>
    <w:rPr>
      <w:color w:val="605E5C"/>
      <w:shd w:val="clear" w:color="auto" w:fill="E1DFDD"/>
    </w:rPr>
  </w:style>
  <w:style w:type="paragraph" w:customStyle="1" w:styleId="173">
    <w:name w:val="修订5"/>
    <w:hidden/>
    <w:unhideWhenUsed/>
    <w:qFormat/>
    <w:uiPriority w:val="99"/>
    <w:rPr>
      <w:rFonts w:ascii="宋体" w:hAnsi="宋体" w:eastAsia="仿宋_GB2312" w:cstheme="minorBidi"/>
      <w:kern w:val="2"/>
      <w:sz w:val="30"/>
      <w:szCs w:val="22"/>
      <w:lang w:val="en-US" w:eastAsia="zh-CN" w:bidi="ar-SA"/>
    </w:rPr>
  </w:style>
  <w:style w:type="paragraph" w:customStyle="1" w:styleId="174">
    <w:name w:val="修订6"/>
    <w:hidden/>
    <w:unhideWhenUsed/>
    <w:qFormat/>
    <w:uiPriority w:val="99"/>
    <w:rPr>
      <w:rFonts w:ascii="宋体" w:hAnsi="宋体" w:eastAsia="仿宋_GB2312" w:cstheme="minorBidi"/>
      <w:kern w:val="2"/>
      <w:sz w:val="30"/>
      <w:szCs w:val="22"/>
      <w:lang w:val="en-US" w:eastAsia="zh-CN" w:bidi="ar-SA"/>
    </w:rPr>
  </w:style>
  <w:style w:type="character" w:customStyle="1" w:styleId="175">
    <w:name w:val="未处理的提及8"/>
    <w:basedOn w:val="39"/>
    <w:semiHidden/>
    <w:unhideWhenUsed/>
    <w:qFormat/>
    <w:uiPriority w:val="99"/>
    <w:rPr>
      <w:color w:val="605E5C"/>
      <w:shd w:val="clear" w:color="auto" w:fill="E1DFDD"/>
    </w:rPr>
  </w:style>
  <w:style w:type="paragraph" w:customStyle="1" w:styleId="176">
    <w:name w:val="修订7"/>
    <w:hidden/>
    <w:unhideWhenUsed/>
    <w:qFormat/>
    <w:uiPriority w:val="99"/>
    <w:rPr>
      <w:rFonts w:ascii="宋体" w:hAnsi="宋体" w:eastAsia="仿宋_GB2312" w:cstheme="minorBidi"/>
      <w:kern w:val="2"/>
      <w:sz w:val="30"/>
      <w:szCs w:val="22"/>
      <w:lang w:val="en-US" w:eastAsia="zh-CN" w:bidi="ar-SA"/>
    </w:rPr>
  </w:style>
  <w:style w:type="character" w:customStyle="1" w:styleId="177">
    <w:name w:val="未处理的提及9"/>
    <w:basedOn w:val="39"/>
    <w:semiHidden/>
    <w:unhideWhenUsed/>
    <w:qFormat/>
    <w:uiPriority w:val="99"/>
    <w:rPr>
      <w:color w:val="605E5C"/>
      <w:shd w:val="clear" w:color="auto" w:fill="E1DFDD"/>
    </w:rPr>
  </w:style>
  <w:style w:type="paragraph" w:customStyle="1" w:styleId="178">
    <w:name w:val="修订8"/>
    <w:hidden/>
    <w:unhideWhenUsed/>
    <w:qFormat/>
    <w:uiPriority w:val="99"/>
    <w:rPr>
      <w:rFonts w:ascii="宋体" w:hAnsi="宋体" w:eastAsia="仿宋_GB2312" w:cstheme="minorBidi"/>
      <w:kern w:val="2"/>
      <w:sz w:val="30"/>
      <w:szCs w:val="22"/>
      <w:lang w:val="en-US" w:eastAsia="zh-CN" w:bidi="ar-SA"/>
    </w:rPr>
  </w:style>
  <w:style w:type="paragraph" w:customStyle="1" w:styleId="179">
    <w:name w:val="修订9"/>
    <w:hidden/>
    <w:unhideWhenUsed/>
    <w:qFormat/>
    <w:uiPriority w:val="99"/>
    <w:rPr>
      <w:rFonts w:ascii="宋体" w:hAnsi="宋体" w:eastAsia="仿宋_GB2312" w:cstheme="minorBidi"/>
      <w:kern w:val="2"/>
      <w:sz w:val="30"/>
      <w:szCs w:val="22"/>
      <w:lang w:val="en-US" w:eastAsia="zh-CN" w:bidi="ar-SA"/>
    </w:rPr>
  </w:style>
  <w:style w:type="character" w:customStyle="1" w:styleId="180">
    <w:name w:val="未处理的提及10"/>
    <w:basedOn w:val="39"/>
    <w:semiHidden/>
    <w:unhideWhenUsed/>
    <w:qFormat/>
    <w:uiPriority w:val="99"/>
    <w:rPr>
      <w:color w:val="605E5C"/>
      <w:shd w:val="clear" w:color="auto" w:fill="E1DFDD"/>
    </w:rPr>
  </w:style>
  <w:style w:type="paragraph" w:customStyle="1" w:styleId="181">
    <w:name w:val="修订10"/>
    <w:hidden/>
    <w:unhideWhenUsed/>
    <w:qFormat/>
    <w:uiPriority w:val="99"/>
    <w:rPr>
      <w:rFonts w:ascii="宋体" w:hAnsi="宋体" w:eastAsia="仿宋_GB2312" w:cstheme="minorBidi"/>
      <w:kern w:val="2"/>
      <w:sz w:val="30"/>
      <w:szCs w:val="22"/>
      <w:lang w:val="en-US" w:eastAsia="zh-CN" w:bidi="ar-SA"/>
    </w:rPr>
  </w:style>
  <w:style w:type="character" w:customStyle="1" w:styleId="182">
    <w:name w:val="未处理的提及12"/>
    <w:basedOn w:val="39"/>
    <w:semiHidden/>
    <w:unhideWhenUsed/>
    <w:qFormat/>
    <w:uiPriority w:val="99"/>
    <w:rPr>
      <w:color w:val="605E5C"/>
      <w:shd w:val="clear" w:color="auto" w:fill="E1DFDD"/>
    </w:rPr>
  </w:style>
  <w:style w:type="paragraph" w:customStyle="1" w:styleId="183">
    <w:name w:val="TOC 标题3"/>
    <w:basedOn w:val="4"/>
    <w:next w:val="1"/>
    <w:unhideWhenUsed/>
    <w:qFormat/>
    <w:uiPriority w:val="39"/>
    <w:pPr>
      <w:pageBreakBefore w:val="0"/>
      <w:widowControl/>
      <w:numPr>
        <w:numId w:val="0"/>
      </w:numPr>
      <w:spacing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84">
    <w:name w:val="纯文本 字符"/>
    <w:basedOn w:val="39"/>
    <w:link w:val="20"/>
    <w:qFormat/>
    <w:uiPriority w:val="99"/>
    <w:rPr>
      <w:rFonts w:ascii="宋体" w:hAnsi="Courier New" w:eastAsia="仿宋_GB2312" w:cstheme="minorBidi"/>
      <w:kern w:val="2"/>
      <w:sz w:val="30"/>
      <w:szCs w:val="22"/>
    </w:rPr>
  </w:style>
  <w:style w:type="paragraph" w:customStyle="1" w:styleId="185">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186">
    <w:name w:val="未处理的提及13"/>
    <w:basedOn w:val="39"/>
    <w:semiHidden/>
    <w:unhideWhenUsed/>
    <w:qFormat/>
    <w:uiPriority w:val="99"/>
    <w:rPr>
      <w:color w:val="605E5C"/>
      <w:shd w:val="clear" w:color="auto" w:fill="E1DFDD"/>
    </w:rPr>
  </w:style>
  <w:style w:type="paragraph" w:customStyle="1" w:styleId="187">
    <w:name w:val="修订11"/>
    <w:hidden/>
    <w:unhideWhenUsed/>
    <w:qFormat/>
    <w:uiPriority w:val="99"/>
    <w:rPr>
      <w:rFonts w:ascii="宋体" w:hAnsi="宋体" w:eastAsia="仿宋_GB2312" w:cstheme="minorBidi"/>
      <w:kern w:val="2"/>
      <w:sz w:val="30"/>
      <w:szCs w:val="22"/>
      <w:lang w:val="en-US" w:eastAsia="zh-CN" w:bidi="ar-SA"/>
    </w:rPr>
  </w:style>
  <w:style w:type="paragraph" w:customStyle="1" w:styleId="188">
    <w:name w:val="修订12"/>
    <w:hidden/>
    <w:qFormat/>
    <w:uiPriority w:val="99"/>
    <w:rPr>
      <w:rFonts w:ascii="宋体" w:hAnsi="宋体" w:eastAsia="仿宋_GB2312" w:cstheme="minorBidi"/>
      <w:kern w:val="2"/>
      <w:sz w:val="30"/>
      <w:szCs w:val="22"/>
      <w:lang w:val="en-US" w:eastAsia="zh-CN" w:bidi="ar-SA"/>
    </w:rPr>
  </w:style>
  <w:style w:type="character" w:customStyle="1" w:styleId="189">
    <w:name w:val="未处理的提及14"/>
    <w:basedOn w:val="39"/>
    <w:semiHidden/>
    <w:unhideWhenUsed/>
    <w:qFormat/>
    <w:uiPriority w:val="99"/>
    <w:rPr>
      <w:color w:val="605E5C"/>
      <w:shd w:val="clear" w:color="auto" w:fill="E1DFDD"/>
    </w:rPr>
  </w:style>
  <w:style w:type="paragraph" w:customStyle="1" w:styleId="190">
    <w:name w:val="修订121"/>
    <w:hidden/>
    <w:qFormat/>
    <w:uiPriority w:val="99"/>
    <w:rPr>
      <w:rFonts w:ascii="宋体" w:hAnsi="宋体" w:eastAsia="仿宋_GB2312" w:cstheme="minorBidi"/>
      <w:kern w:val="2"/>
      <w:sz w:val="30"/>
      <w:szCs w:val="22"/>
      <w:lang w:val="en-US" w:eastAsia="zh-CN" w:bidi="ar-SA"/>
    </w:rPr>
  </w:style>
  <w:style w:type="character" w:customStyle="1" w:styleId="191">
    <w:name w:val="未处理的提及141"/>
    <w:basedOn w:val="39"/>
    <w:semiHidden/>
    <w:unhideWhenUsed/>
    <w:qFormat/>
    <w:uiPriority w:val="99"/>
    <w:rPr>
      <w:color w:val="605E5C"/>
      <w:shd w:val="clear" w:color="auto" w:fill="E1DFDD"/>
    </w:rPr>
  </w:style>
  <w:style w:type="character" w:customStyle="1" w:styleId="192">
    <w:name w:val="正文文本首行缩进 2 字符"/>
    <w:basedOn w:val="127"/>
    <w:link w:val="2"/>
    <w:qFormat/>
    <w:uiPriority w:val="99"/>
    <w:rPr>
      <w:rFonts w:ascii="Times New Roman" w:hAnsi="Times New Roman" w:eastAsia="楷体_GB2312" w:cs="Times New Roman"/>
      <w:kern w:val="2"/>
      <w:sz w:val="30"/>
      <w:szCs w:val="22"/>
    </w:rPr>
  </w:style>
  <w:style w:type="paragraph" w:customStyle="1" w:styleId="193">
    <w:name w:val="表格文字"/>
    <w:link w:val="194"/>
    <w:qFormat/>
    <w:uiPriority w:val="0"/>
    <w:pPr>
      <w:jc w:val="center"/>
    </w:pPr>
    <w:rPr>
      <w:rFonts w:ascii="Times New Roman" w:hAnsi="Times New Roman" w:eastAsia="仿宋_GB2312" w:cstheme="minorBidi"/>
      <w:kern w:val="2"/>
      <w:sz w:val="22"/>
      <w:szCs w:val="22"/>
      <w:lang w:val="en-US" w:eastAsia="zh-CN" w:bidi="ar-SA"/>
    </w:rPr>
  </w:style>
  <w:style w:type="character" w:customStyle="1" w:styleId="194">
    <w:name w:val="表格文字 字符"/>
    <w:basedOn w:val="39"/>
    <w:link w:val="193"/>
    <w:qFormat/>
    <w:uiPriority w:val="0"/>
    <w:rPr>
      <w:rFonts w:eastAsia="仿宋_GB2312" w:cstheme="minorBidi"/>
      <w:kern w:val="2"/>
      <w:sz w:val="22"/>
      <w:szCs w:val="22"/>
    </w:rPr>
  </w:style>
  <w:style w:type="paragraph" w:customStyle="1" w:styleId="195">
    <w:name w:val="修订13"/>
    <w:hidden/>
    <w:unhideWhenUsed/>
    <w:qFormat/>
    <w:uiPriority w:val="99"/>
    <w:rPr>
      <w:rFonts w:ascii="宋体" w:hAnsi="宋体" w:eastAsia="仿宋_GB2312" w:cstheme="minorBidi"/>
      <w:kern w:val="2"/>
      <w:sz w:val="30"/>
      <w:szCs w:val="22"/>
      <w:lang w:val="en-US" w:eastAsia="zh-CN" w:bidi="ar-SA"/>
    </w:rPr>
  </w:style>
  <w:style w:type="paragraph" w:customStyle="1" w:styleId="196">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pPr>
    <w:rPr>
      <w:rFonts w:ascii="仿宋_GB2312" w:cs="宋体"/>
      <w:kern w:val="0"/>
      <w:sz w:val="24"/>
      <w:szCs w:val="24"/>
    </w:rPr>
  </w:style>
  <w:style w:type="character" w:customStyle="1" w:styleId="197">
    <w:name w:val="未处理的提及15"/>
    <w:basedOn w:val="3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111</Pages>
  <Words>14975</Words>
  <Characters>15276</Characters>
  <Lines>394</Lines>
  <Paragraphs>111</Paragraphs>
  <TotalTime>76</TotalTime>
  <ScaleCrop>false</ScaleCrop>
  <LinksUpToDate>false</LinksUpToDate>
  <CharactersWithSpaces>15542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2023-08-24T08:15:00Z</dcterms:created>
  <dc:creator>PC</dc:creator>
  <cp:lastModifiedBy>璃霖</cp:lastModifiedBy>
  <cp:lastPrinted>2024-04-28T03:06:00Z</cp:lastPrinted>
  <dcterms:modified xsi:type="dcterms:W3CDTF">2025-06-06T01:02:47Z</dcterms:modified>
  <cp:revision>490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1600CABEBB204D879BFEBFEFCC5B0241_13</vt:lpwstr>
  </property>
  <property fmtid="{D5CDD505-2E9C-101B-9397-08002B2CF9AE}" pid="4" name="KSOTemplateDocerSaveRecord">
    <vt:lpwstr>eyJoZGlkIjoiODViY2JkMjU3NGYzZTEwMzZmMGFkZWViYmNkYWU3NDIiLCJ1c2VySWQiOiI2MzIzMTE4OTUifQ==</vt:lpwstr>
  </property>
</Properties>
</file>