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项目名称：202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bookmarkStart w:id="28" w:name="_GoBack"/>
      <w:bookmarkEnd w:id="28"/>
      <w:r>
        <w:rPr>
          <w:rFonts w:hint="eastAsia" w:ascii="仿宋_GB2312" w:hAnsi="宋体" w:eastAsia="仿宋_GB2312"/>
          <w:sz w:val="32"/>
        </w:rPr>
        <w:t>年社保扩面宣传、劳动仲裁、劳动监察（工伤）工作经费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仁化县人力资源和社会保障局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谭璐华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0751-6359313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2024年3月14日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pageBreakBefore w:val="0"/>
        <w:widowControl w:val="0"/>
        <w:wordWrap/>
        <w:topLinePunct w:val="0"/>
        <w:bidi w:val="0"/>
        <w:snapToGrid w:val="0"/>
        <w:spacing w:beforeLines="0" w:afterLines="0" w:line="590" w:lineRule="exact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0" w:name="_Toc10315"/>
      <w:bookmarkStart w:id="1" w:name="_Toc18727"/>
      <w:bookmarkStart w:id="2" w:name="_Toc23683"/>
      <w:bookmarkStart w:id="3" w:name="_Toc27204"/>
      <w:bookmarkStart w:id="4" w:name="_Toc5988_WPSOffice_Level3"/>
      <w:bookmarkStart w:id="5" w:name="_Toc14899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（一）部门整体概况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楷体_GB2312" w:hAnsi="楷体_GB2312" w:eastAsia="楷体_GB2312" w:cs="楷体_GB2312"/>
          <w:b w:val="0"/>
          <w:bCs w:val="0"/>
          <w:vanish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6" w:name="_Toc9782"/>
      <w:bookmarkStart w:id="7" w:name="_Toc23334_WPSOffice_Level3"/>
      <w:bookmarkStart w:id="8" w:name="_Toc25689"/>
      <w:bookmarkStart w:id="9" w:name="_Toc30471"/>
      <w:bookmarkStart w:id="10" w:name="_Toc315"/>
      <w:bookmarkStart w:id="11" w:name="_Toc31429"/>
      <w:r>
        <w:rPr>
          <w:rFonts w:hint="eastAsia" w:ascii="仿宋_GB2312" w:hAnsi="仿宋_GB2312" w:eastAsia="仿宋_GB2312" w:cs="仿宋_GB2312"/>
          <w:sz w:val="32"/>
          <w:szCs w:val="32"/>
        </w:rPr>
        <w:t>仁化县人社局劳动保障监察综合执法大队（以下简称监察大队）核定执法编制数7人，已使用综合执法编制数7人。主要负责是会同有关部门拟订农民工工作综合性政策和规划，推动农民工相关政策的落实，协调解决重点难点问题，维护农民工合法权益。统筹拟订劳动、人事争议调解仲裁制度和劳动关系政策，完善劳动关系协调机制，制定禁止非法使用童工政策和女工、未成年工的特殊劳动保护政策，组织实施劳动监察，协调劳动者维权工作，依法查处重大案件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（二）部门整体收支情况</w:t>
      </w:r>
      <w:bookmarkEnd w:id="6"/>
      <w:bookmarkEnd w:id="7"/>
      <w:bookmarkEnd w:id="8"/>
      <w:bookmarkEnd w:id="9"/>
      <w:bookmarkEnd w:id="10"/>
      <w:bookmarkEnd w:id="11"/>
    </w:p>
    <w:p>
      <w:pPr>
        <w:keepNext w:val="0"/>
        <w:keepLines w:val="0"/>
        <w:pageBreakBefore w:val="0"/>
        <w:widowControl w:val="0"/>
        <w:wordWrap/>
        <w:topLinePunct w:val="0"/>
        <w:bidi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12" w:name="_Toc22851"/>
      <w:bookmarkStart w:id="13" w:name="_Toc24678"/>
      <w:bookmarkStart w:id="14" w:name="_Toc4180"/>
      <w:bookmarkStart w:id="15" w:name="_Toc72"/>
      <w:bookmarkStart w:id="16" w:name="_Toc32528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1.部门整体收入。</w:t>
      </w:r>
      <w:bookmarkEnd w:id="12"/>
      <w:bookmarkEnd w:id="13"/>
      <w:bookmarkEnd w:id="14"/>
      <w:bookmarkEnd w:id="15"/>
      <w:bookmarkEnd w:id="16"/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17" w:name="_Toc29921"/>
      <w:bookmarkStart w:id="18" w:name="_Toc17908"/>
      <w:bookmarkStart w:id="19" w:name="_Toc30385"/>
      <w:bookmarkStart w:id="20" w:name="_Toc5261"/>
      <w:bookmarkStart w:id="21" w:name="_Toc2301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2023年，我部门收入为8483.50元，其中财政拨款收入8483.50元，经营收入0元，其他收入0元。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2.部门整体支出情况。</w:t>
      </w:r>
      <w:bookmarkEnd w:id="17"/>
      <w:bookmarkEnd w:id="18"/>
      <w:bookmarkEnd w:id="19"/>
      <w:bookmarkEnd w:id="20"/>
      <w:bookmarkEnd w:id="21"/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2022年，我部门支出为8428元，基本支出8428元，其中人员经费0元，公用经费0元，项目支出8428元。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22" w:name="_Toc14021"/>
      <w:bookmarkStart w:id="23" w:name="_Toc5102"/>
      <w:bookmarkStart w:id="24" w:name="_Toc31509"/>
      <w:bookmarkStart w:id="25" w:name="_Toc20934_WPSOffice_Level3"/>
      <w:bookmarkStart w:id="26" w:name="_Toc9422"/>
      <w:bookmarkStart w:id="27" w:name="_Toc14996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（三）部门整体支出目标及任务</w:t>
      </w:r>
      <w:bookmarkEnd w:id="22"/>
      <w:bookmarkEnd w:id="23"/>
      <w:bookmarkEnd w:id="24"/>
      <w:bookmarkEnd w:id="25"/>
      <w:bookmarkEnd w:id="26"/>
      <w:bookmarkEnd w:id="27"/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90" w:lineRule="exact"/>
        <w:ind w:left="0" w:leftChars="0" w:firstLine="640" w:firstLineChars="200"/>
        <w:contextualSpacing/>
        <w:jc w:val="both"/>
        <w:textAlignment w:val="auto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县劳动保障监察综合执法大队出动劳动保障监察执法150多人次，检查80多家用人单位，涉及人数5793人。共收到投诉及信访案件319宗。共为936名劳动者追发工资等待遇总计664.4177万元。我县人社、住建等部门共同举办《保障农民工工资支付条例》政策宣讲培训会2场次，培训施工单位、建设单位负责人、劳资专管员达60余人次，有效提高劳动者依法维权意识和企业守法诚信经营意识。保障执法装备购置及维护，以及完成县委、县政府和上级人社部门交办的各项工作任务。</w:t>
      </w:r>
    </w:p>
    <w:p>
      <w:pPr>
        <w:pageBreakBefore w:val="0"/>
        <w:widowControl w:val="0"/>
        <w:wordWrap/>
        <w:topLinePunct w:val="0"/>
        <w:bidi w:val="0"/>
        <w:snapToGrid w:val="0"/>
        <w:spacing w:beforeLines="0" w:afterLines="0" w:line="590" w:lineRule="exact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9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按照预算管理要求，严格把控经费开支，预算编制安排控制较好，项目工作经费控制在预算编制以内。并按照预算绩效管理要求，对202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年整体支出绩效认真开展自查。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9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绩效目标管理合理，预算执行进度依规执行，资金分配和使用按预算执行，不存在违反财经纪律和财务法规等行为。</w:t>
      </w:r>
    </w:p>
    <w:p>
      <w:pPr>
        <w:pageBreakBefore w:val="0"/>
        <w:widowControl w:val="0"/>
        <w:wordWrap/>
        <w:topLinePunct w:val="0"/>
        <w:bidi w:val="0"/>
        <w:snapToGrid w:val="0"/>
        <w:spacing w:beforeLines="0" w:afterLines="0" w:line="590" w:lineRule="exact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pageBreakBefore w:val="0"/>
        <w:widowControl w:val="0"/>
        <w:wordWrap/>
        <w:topLinePunct w:val="0"/>
        <w:bidi w:val="0"/>
        <w:snapToGrid w:val="0"/>
        <w:spacing w:beforeLines="0" w:afterLines="0" w:line="59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加强有针对性的具体业务指导，规范账务处理，切实提高部门收支管理水平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40D4342"/>
    <w:rsid w:val="099A00A9"/>
    <w:rsid w:val="0ABF1BFB"/>
    <w:rsid w:val="0BFE5C14"/>
    <w:rsid w:val="14D21877"/>
    <w:rsid w:val="1EDE4CF4"/>
    <w:rsid w:val="27327EBB"/>
    <w:rsid w:val="2DE123DA"/>
    <w:rsid w:val="42F145B3"/>
    <w:rsid w:val="43C92D1B"/>
    <w:rsid w:val="48F05569"/>
    <w:rsid w:val="6CFE24A2"/>
    <w:rsid w:val="70762369"/>
    <w:rsid w:val="7925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样式1"/>
    <w:basedOn w:val="1"/>
    <w:qFormat/>
    <w:uiPriority w:val="0"/>
    <w:pPr>
      <w:ind w:firstLine="708" w:firstLineChars="236"/>
    </w:pPr>
    <w:rPr>
      <w:rFonts w:ascii="Calibri" w:hAnsi="Calibri" w:eastAsia="仿宋_GB2312" w:cs="仿宋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0</TotalTime>
  <ScaleCrop>false</ScaleCrop>
  <LinksUpToDate>false</LinksUpToDate>
  <CharactersWithSpaces>208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</cp:lastModifiedBy>
  <dcterms:modified xsi:type="dcterms:W3CDTF">2024-10-16T08:50:49Z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