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严重精神障碍患者县级补助经费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侯丽芬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0751-6352819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2024年3月28日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为组织开展辖区精神卫生工作督导、考核、评估及培训,预防、治疗、康复等技术指导，完成对严重精神障碍疾病的诊治、质量控制和培训等，2023年度我站县级财政预算严重精神障碍患者防治经费5470000元。</w:t>
      </w:r>
    </w:p>
    <w:p>
      <w:pPr>
        <w:snapToGrid w:val="0"/>
        <w:spacing w:beforeLines="0" w:afterLines="0" w:line="360" w:lineRule="auto"/>
        <w:rPr>
          <w:rFonts w:hint="eastAsia" w:asci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二、自评情况</w:t>
      </w:r>
    </w:p>
    <w:p>
      <w:pPr>
        <w:spacing w:line="6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（一）自评分数   96分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（二）资金使用绩效：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1、严重精神障碍患者防治预算补助资金全部到位，资金执行率是94%。</w:t>
      </w:r>
    </w:p>
    <w:p>
      <w:pPr>
        <w:pStyle w:val="6"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2.资金完成绩效目标情况：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实现了对全县登记在管患者予以免费门诊和住院治疗和管理的目标，达到了“应治尽治、应管尽管、应收尽收”的要求。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3、资金分用途使用绩效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1、产出指标完成情况分析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（1）数量指标：在册严重精神障碍患者人数1528人;开展应急医疗处置48例;减/免服药患者人数1053人;（2）质量指标：严重精神障碍患者报告患病率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；严重精神障碍患者规范管理率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96.47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（3）效益指标完成情况分析：（1）社会效益指标：维护社会稳定，促进社会和谐;减少精神障碍患者肇事肇祸案（事）件;不断建立健全综合预防严重精神障碍肇事肇祸和救治救助长效机制;（2）可持续发展指标：不断提高严重精神障碍疾病患者病人管制率；居民健康水平提高,</w:t>
      </w: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公共卫生均等化水平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提高.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：资金使用绩效存在的问题  希望上级部门多了解基层实际、多些资金支持，各级卫生健康行政部门要切实做好承担精神卫生工作机构的房屋、人员、设备以及经费的落实；加大对精神卫生机构承担工作所需经费的保障。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三、改进意见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建立健全严重精神障碍管理治疗工作体制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重精神障碍患者救治救助机制和一线精神病防治队伍激励机制，加强严重精神障碍患者排查和发病报告管理，动态掌握全县各镇（街）卫生院（卫生服务中心）在册严重精神障碍患者数，切实提高严重精神障碍患者检出率、管理率、规范管理率、服药率、精神分裂症服药率、规律服药率、体检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9EDE80-EA95-4E53-97BE-B005B951CB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F3171A72-9EF7-4C5B-80BD-1E629666892C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3FDA02D5-B794-4D5C-B529-7EA6F0264A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E658007-9C78-49E4-9AD0-B5EFED8CE3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9E25B"/>
    <w:multiLevelType w:val="singleLevel"/>
    <w:tmpl w:val="39C9E25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NjJjMTZiOWMxNTg0MTRiMzcyZjVmYzcxNmI1NmUifQ=="/>
  </w:docVars>
  <w:rsids>
    <w:rsidRoot w:val="0BFE5C14"/>
    <w:rsid w:val="08AA7ADB"/>
    <w:rsid w:val="099A00A9"/>
    <w:rsid w:val="0BD45E2D"/>
    <w:rsid w:val="0BFE5C14"/>
    <w:rsid w:val="0F911B87"/>
    <w:rsid w:val="1EDE4CF4"/>
    <w:rsid w:val="29C93C11"/>
    <w:rsid w:val="31361532"/>
    <w:rsid w:val="3ABB59DF"/>
    <w:rsid w:val="3AC36B48"/>
    <w:rsid w:val="41597475"/>
    <w:rsid w:val="42A41B7E"/>
    <w:rsid w:val="43FA410B"/>
    <w:rsid w:val="440E7B4F"/>
    <w:rsid w:val="47674FDB"/>
    <w:rsid w:val="531B6C29"/>
    <w:rsid w:val="66953906"/>
    <w:rsid w:val="6B5E009F"/>
    <w:rsid w:val="6CFE24A2"/>
    <w:rsid w:val="6ED75307"/>
    <w:rsid w:val="6EDA69CF"/>
    <w:rsid w:val="720D1187"/>
    <w:rsid w:val="77E52C19"/>
    <w:rsid w:val="7BA4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 New"/>
    <w:basedOn w:val="7"/>
    <w:qFormat/>
    <w:uiPriority w:val="0"/>
    <w:pPr>
      <w:widowControl/>
      <w:spacing w:line="357" w:lineRule="atLeast"/>
    </w:pPr>
    <w:rPr>
      <w:color w:val="000000"/>
      <w:kern w:val="0"/>
      <w:szCs w:val="21"/>
    </w:r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2024-03-21T02:08:50Z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E4A81DE254F04F0BAEC2F3CA05521E24_12</vt:lpwstr>
  </property>
</Properties>
</file>