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lang w:val="en-US" w:eastAsia="zh-CN"/>
        </w:rPr>
      </w:pPr>
      <w:r>
        <w:rPr>
          <w:rFonts w:hint="eastAsia" w:ascii="仿宋_GB2312" w:hAnsi="宋体" w:eastAsia="仿宋_GB2312"/>
          <w:sz w:val="32"/>
        </w:rPr>
        <w:t>项目名称：</w:t>
      </w:r>
      <w:r>
        <w:rPr>
          <w:rFonts w:hint="eastAsia" w:ascii="仿宋_GB2312" w:hAnsi="宋体" w:eastAsia="仿宋_GB2312"/>
          <w:sz w:val="32"/>
          <w:lang w:eastAsia="zh-CN"/>
        </w:rPr>
        <w:t>基本药物补助经费</w:t>
      </w:r>
    </w:p>
    <w:p>
      <w:pPr>
        <w:spacing w:line="240" w:lineRule="auto"/>
        <w:ind w:firstLine="1449" w:firstLineChars="453"/>
        <w:rPr>
          <w:rFonts w:hint="eastAsia" w:ascii="仿宋_GB2312" w:hAnsi="宋体" w:eastAsia="仿宋_GB2312"/>
          <w:sz w:val="32"/>
        </w:rPr>
      </w:pPr>
    </w:p>
    <w:p>
      <w:pPr>
        <w:spacing w:line="240" w:lineRule="auto"/>
        <w:rPr>
          <w:rFonts w:hint="eastAsia" w:ascii="仿宋_GB2312" w:hAnsi="宋体" w:eastAsia="仿宋_GB2312"/>
          <w:sz w:val="32"/>
        </w:rPr>
      </w:pPr>
      <w:r>
        <w:rPr>
          <w:rFonts w:hint="eastAsia" w:ascii="仿宋_GB2312" w:hAnsi="宋体" w:eastAsia="仿宋_GB2312"/>
          <w:sz w:val="32"/>
        </w:rPr>
        <w:t>项目单位：（公章）</w:t>
      </w:r>
    </w:p>
    <w:p>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lang w:eastAsia="zh-CN"/>
        </w:rPr>
      </w:pPr>
      <w:r>
        <w:rPr>
          <w:rFonts w:hint="eastAsia" w:ascii="仿宋_GB2312" w:hAnsi="宋体" w:eastAsia="仿宋_GB2312"/>
          <w:sz w:val="32"/>
        </w:rPr>
        <w:t>填报人姓名：</w:t>
      </w:r>
      <w:r>
        <w:rPr>
          <w:rFonts w:hint="eastAsia" w:ascii="仿宋_GB2312" w:hAnsi="宋体" w:eastAsia="仿宋_GB2312"/>
          <w:sz w:val="32"/>
          <w:lang w:eastAsia="zh-CN"/>
        </w:rPr>
        <w:t>侯丽芬</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0751-6352819</w:t>
      </w:r>
    </w:p>
    <w:p>
      <w:pPr>
        <w:spacing w:line="720" w:lineRule="auto"/>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2024年3月20日</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p>
    <w:p>
      <w:pPr>
        <w:snapToGrid w:val="0"/>
        <w:spacing w:beforeLines="0" w:afterLines="0" w:line="360" w:lineRule="auto"/>
        <w:ind w:firstLine="643" w:firstLineChars="200"/>
        <w:rPr>
          <w:rFonts w:hint="eastAsia" w:ascii="黑体" w:eastAsia="黑体"/>
          <w:b/>
          <w:bCs/>
          <w:sz w:val="32"/>
          <w:szCs w:val="32"/>
        </w:rPr>
      </w:pPr>
      <w:r>
        <w:rPr>
          <w:rFonts w:hint="eastAsia" w:ascii="黑体" w:eastAsia="黑体"/>
          <w:b/>
          <w:bCs/>
          <w:sz w:val="32"/>
          <w:szCs w:val="32"/>
        </w:rPr>
        <w:t>一、基本情况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为破除“以药补医”机制，通过取消药品加成，积极推进补偿机制改革，实现县级公立医院由服务收费、药品加成收入和财政补助三个渠道向服务收费和财政补助两个渠道转变，完善价格形成机制和政府补偿方式，逐步建立起维护公益性、调动积极性、保障可持续的运行新机制。 2023年度我站县级财政预算基本药物及耗材零差价补助经费为3.94万元。</w:t>
      </w:r>
    </w:p>
    <w:p>
      <w:pPr>
        <w:snapToGrid w:val="0"/>
        <w:spacing w:beforeLines="0" w:afterLines="0" w:line="360" w:lineRule="auto"/>
        <w:ind w:firstLine="643" w:firstLineChars="200"/>
        <w:rPr>
          <w:rFonts w:hint="eastAsia" w:ascii="黑体" w:eastAsia="黑体"/>
          <w:b/>
          <w:bCs/>
          <w:sz w:val="32"/>
          <w:szCs w:val="32"/>
          <w:lang w:val="en-US" w:eastAsia="zh-CN"/>
        </w:rPr>
      </w:pPr>
      <w:r>
        <w:rPr>
          <w:rFonts w:hint="eastAsia" w:ascii="黑体" w:eastAsia="黑体"/>
          <w:b/>
          <w:bCs/>
          <w:sz w:val="32"/>
          <w:szCs w:val="32"/>
          <w:lang w:val="en-US" w:eastAsia="zh-CN"/>
        </w:rPr>
        <w:t>二、自评情况</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（一）自评分数   98分</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（二）资金使用绩效：</w:t>
      </w:r>
    </w:p>
    <w:p>
      <w:pPr>
        <w:spacing w:line="600" w:lineRule="exact"/>
        <w:ind w:left="638" w:leftChars="304" w:firstLine="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1、基本药物及耗材零差价补助资金全部到位，资金全部执行。</w:t>
      </w:r>
    </w:p>
    <w:p>
      <w:pPr>
        <w:spacing w:line="600" w:lineRule="exact"/>
        <w:ind w:left="319" w:leftChars="152"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2.资金完成绩效目标情况：实现了县级公立医院由服务收费、药品加成收入和财政补助三个渠道向服务收费和财政补助两个渠道转变，完善价格形成机制和政府补偿方式，逐步建立起维护公益性、调动积极性、保障可持续的运行新机制。</w:t>
      </w:r>
    </w:p>
    <w:p>
      <w:pPr>
        <w:spacing w:line="600" w:lineRule="exact"/>
        <w:ind w:left="319" w:leftChars="152"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3、资金分用途使用绩效：</w:t>
      </w:r>
    </w:p>
    <w:p>
      <w:pPr>
        <w:numPr>
          <w:ilvl w:val="0"/>
          <w:numId w:val="0"/>
        </w:numPr>
        <w:spacing w:line="600" w:lineRule="exact"/>
        <w:ind w:left="319" w:leftChars="152" w:firstLine="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1、产出指标完成情况分析（1）数量指标：百元医疗收入（不含药品收入）中卫生耗材消耗（元）小于等于20元。（2）质量指标：次均门诊费用增幅小于等于-0.2%；药占比（不含中药饮片）88.60%（因本单位精神病人主要</w:t>
      </w:r>
      <w:bookmarkStart w:id="0" w:name="_GoBack"/>
      <w:bookmarkEnd w:id="0"/>
      <w:r>
        <w:rPr>
          <w:rFonts w:hint="eastAsia" w:ascii="仿宋_GB2312" w:eastAsia="仿宋_GB2312"/>
          <w:sz w:val="32"/>
          <w:szCs w:val="32"/>
          <w:lang w:val="en-US" w:eastAsia="zh-CN"/>
        </w:rPr>
        <w:t>以服药为主，所以药占比较高）；2、效益指标：（1）社会效益指标：建立起维护公益性、调动积极性、保障可持续的运行新机制;完善价格形成机制和政府补偿方式.（2）可持续影响指标：居民健康水平不断提高；</w:t>
      </w:r>
    </w:p>
    <w:p>
      <w:pPr>
        <w:numPr>
          <w:ilvl w:val="0"/>
          <w:numId w:val="1"/>
        </w:num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资金使用绩效存在的问题  希望上级部门多了解基   层实际、多些资金支持，加大对医疗卫生机构承担工作所需 经费的保障。</w:t>
      </w:r>
    </w:p>
    <w:p>
      <w:pPr>
        <w:spacing w:line="600" w:lineRule="exact"/>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三、改进意见</w:t>
      </w:r>
    </w:p>
    <w:p>
      <w:pPr>
        <w:spacing w:line="600" w:lineRule="exact"/>
        <w:ind w:firstLine="320" w:firstLineChars="100"/>
        <w:rPr>
          <w:rFonts w:hint="default" w:ascii="仿宋_GB2312" w:eastAsia="仿宋_GB2312"/>
          <w:sz w:val="32"/>
          <w:szCs w:val="32"/>
          <w:lang w:val="en-US" w:eastAsia="zh-CN"/>
        </w:rPr>
      </w:pPr>
      <w:r>
        <w:rPr>
          <w:rFonts w:hint="eastAsia" w:ascii="仿宋_GB2312" w:eastAsia="仿宋_GB2312"/>
          <w:sz w:val="32"/>
          <w:szCs w:val="32"/>
          <w:lang w:val="en-US" w:eastAsia="zh-CN"/>
        </w:rPr>
        <w:t>坚持全面配备、优先合理使用基本药物。认真落实国家和省有关基本药物，同时按照基本药物临床使用指南，加强医务人员的培训和指导。</w:t>
      </w:r>
    </w:p>
    <w:p>
      <w:pPr>
        <w:spacing w:line="600" w:lineRule="exact"/>
        <w:ind w:firstLine="640" w:firstLineChars="200"/>
        <w:rPr>
          <w:rFonts w:hint="eastAsia" w:ascii="仿宋_GB2312" w:eastAsia="仿宋_GB2312"/>
          <w:sz w:val="32"/>
          <w:szCs w:val="32"/>
          <w:lang w:val="en-US" w:eastAsia="zh-CN"/>
        </w:rPr>
      </w:pP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9E25B"/>
    <w:multiLevelType w:val="singleLevel"/>
    <w:tmpl w:val="39C9E25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lNjJjMTZiOWMxNTg0MTRiMzcyZjVmYzcxNmI1NmUifQ=="/>
  </w:docVars>
  <w:rsids>
    <w:rsidRoot w:val="0BFE5C14"/>
    <w:rsid w:val="061461D9"/>
    <w:rsid w:val="099A00A9"/>
    <w:rsid w:val="0BFE5C14"/>
    <w:rsid w:val="1EDE4CF4"/>
    <w:rsid w:val="267608A5"/>
    <w:rsid w:val="28722E52"/>
    <w:rsid w:val="289112E2"/>
    <w:rsid w:val="2FEA7198"/>
    <w:rsid w:val="31361532"/>
    <w:rsid w:val="39290529"/>
    <w:rsid w:val="3ABB59DF"/>
    <w:rsid w:val="41597475"/>
    <w:rsid w:val="41C034FB"/>
    <w:rsid w:val="42A41B7E"/>
    <w:rsid w:val="440E7B4F"/>
    <w:rsid w:val="47674FDB"/>
    <w:rsid w:val="531B6C29"/>
    <w:rsid w:val="596D59FD"/>
    <w:rsid w:val="65077E66"/>
    <w:rsid w:val="65EA47EA"/>
    <w:rsid w:val="67197D38"/>
    <w:rsid w:val="6B354639"/>
    <w:rsid w:val="6CFE24A2"/>
    <w:rsid w:val="6ED75307"/>
    <w:rsid w:val="6EDA69CF"/>
    <w:rsid w:val="6EF91EB0"/>
    <w:rsid w:val="720D1187"/>
    <w:rsid w:val="77E2305A"/>
    <w:rsid w:val="77E52C19"/>
    <w:rsid w:val="782A3195"/>
    <w:rsid w:val="7BA44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Administrator</cp:lastModifiedBy>
  <dcterms:modified xsi:type="dcterms:W3CDTF">2024-03-21T03:08:27Z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ribbonExt">
    <vt:lpwstr>{"WPSExtOfficeTab":{"OnGetEnabled":false,"OnGetVisible":false}}</vt:lpwstr>
  </property>
  <property fmtid="{D5CDD505-2E9C-101B-9397-08002B2CF9AE}" pid="4" name="ICV">
    <vt:lpwstr>02B3330F32744418B74DE206F3BCE356_12</vt:lpwstr>
  </property>
</Properties>
</file>