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pPr>
      <w:bookmarkStart w:id="0" w:name="_Hlk4502285"/>
      <w:bookmarkEnd w:id="0"/>
      <w:r>
        <w:rPr>
          <w:rFonts w:hint="eastAsia"/>
        </w:rPr>
        <w:t xml:space="preserve"> </w:t>
      </w:r>
    </w:p>
    <w:p>
      <w:pPr>
        <w:pStyle w:val="9"/>
      </w:pPr>
    </w:p>
    <w:p>
      <w:pPr>
        <w:pStyle w:val="9"/>
        <w:ind w:left="0" w:leftChars="0" w:firstLine="0" w:firstLineChars="0"/>
        <w:jc w:val="center"/>
        <w:rPr>
          <w:rFonts w:hint="eastAsia" w:ascii="黑体" w:hAnsi="黑体" w:eastAsia="黑体" w:cs="Times New Roman"/>
          <w:b/>
          <w:bCs/>
          <w:spacing w:val="24"/>
          <w:kern w:val="2"/>
          <w:sz w:val="52"/>
          <w:szCs w:val="52"/>
          <w:lang w:val="en-US" w:eastAsia="zh-CN" w:bidi="ar-SA"/>
        </w:rPr>
      </w:pPr>
      <w:r>
        <w:rPr>
          <w:rFonts w:hint="eastAsia" w:ascii="黑体" w:hAnsi="黑体" w:eastAsia="黑体" w:cs="Times New Roman"/>
          <w:b/>
          <w:bCs/>
          <w:spacing w:val="24"/>
          <w:kern w:val="2"/>
          <w:sz w:val="52"/>
          <w:szCs w:val="52"/>
          <w:lang w:val="en-US" w:eastAsia="zh-CN" w:bidi="ar-SA"/>
        </w:rPr>
        <w:t>仁化县三佳畜牧有限公司</w:t>
      </w:r>
    </w:p>
    <w:p>
      <w:pPr>
        <w:pStyle w:val="108"/>
        <w:rPr>
          <w:rFonts w:hint="eastAsia" w:ascii="黑体" w:hAnsi="黑体" w:eastAsia="黑体" w:cs="Times New Roman"/>
          <w:sz w:val="52"/>
          <w:szCs w:val="52"/>
          <w:lang w:val="en-US" w:eastAsia="zh-CN"/>
        </w:rPr>
      </w:pPr>
      <w:r>
        <w:rPr>
          <w:rFonts w:hint="eastAsia" w:ascii="黑体" w:hAnsi="黑体" w:eastAsia="黑体" w:cs="Times New Roman"/>
          <w:sz w:val="52"/>
          <w:szCs w:val="52"/>
          <w:lang w:val="en-US" w:eastAsia="zh-CN"/>
        </w:rPr>
        <w:t>高联村寨下组现代</w:t>
      </w:r>
    </w:p>
    <w:p>
      <w:pPr>
        <w:pStyle w:val="108"/>
        <w:rPr>
          <w:rFonts w:hint="eastAsia" w:ascii="黑体" w:hAnsi="黑体" w:eastAsia="黑体" w:cs="Times New Roman"/>
          <w:sz w:val="52"/>
          <w:szCs w:val="52"/>
          <w:lang w:eastAsia="zh-CN"/>
        </w:rPr>
      </w:pPr>
      <w:r>
        <w:rPr>
          <w:rFonts w:hint="eastAsia" w:ascii="黑体" w:hAnsi="黑体" w:eastAsia="黑体" w:cs="Times New Roman"/>
          <w:sz w:val="52"/>
          <w:szCs w:val="52"/>
          <w:lang w:val="en-US" w:eastAsia="zh-CN"/>
        </w:rPr>
        <w:t>高效化养猪场建设项目</w:t>
      </w:r>
    </w:p>
    <w:p>
      <w:pPr>
        <w:keepNext w:val="0"/>
        <w:keepLines w:val="0"/>
        <w:pageBreakBefore w:val="0"/>
        <w:widowControl w:val="0"/>
        <w:kinsoku/>
        <w:wordWrap/>
        <w:overflowPunct/>
        <w:topLinePunct w:val="0"/>
        <w:autoSpaceDE/>
        <w:autoSpaceDN/>
        <w:bidi w:val="0"/>
        <w:adjustRightInd/>
        <w:snapToGrid/>
        <w:spacing w:before="1"/>
        <w:ind w:left="516" w:right="516" w:firstLine="0"/>
        <w:jc w:val="center"/>
        <w:textAlignment w:val="auto"/>
        <w:rPr>
          <w:rFonts w:hint="eastAsia" w:ascii="隶书" w:eastAsia="隶书"/>
          <w:sz w:val="76"/>
        </w:rPr>
      </w:pPr>
      <w:r>
        <w:rPr>
          <w:rFonts w:hint="eastAsia" w:ascii="隶书" w:eastAsia="隶书"/>
          <w:b/>
          <w:bCs/>
          <w:sz w:val="76"/>
        </w:rPr>
        <w:t>环境影响报告书</w:t>
      </w:r>
    </w:p>
    <w:p>
      <w:pPr>
        <w:pStyle w:val="8"/>
        <w:ind w:firstLine="0" w:firstLineChars="0"/>
        <w:jc w:val="center"/>
        <w:rPr>
          <w:rFonts w:eastAsia="楷体_GB2312"/>
          <w:b/>
          <w:bCs/>
          <w:spacing w:val="24"/>
          <w:kern w:val="2"/>
          <w:sz w:val="20"/>
          <w:szCs w:val="20"/>
        </w:rPr>
      </w:pPr>
      <w:bookmarkStart w:id="1" w:name="_Toc501110722"/>
      <w:bookmarkStart w:id="2" w:name="_Toc427679715"/>
      <w:bookmarkStart w:id="3" w:name="_Toc459127333"/>
      <w:bookmarkStart w:id="4" w:name="_Toc501110939"/>
    </w:p>
    <w:p>
      <w:pPr>
        <w:pStyle w:val="8"/>
        <w:ind w:firstLine="0" w:firstLineChars="0"/>
        <w:jc w:val="center"/>
        <w:rPr>
          <w:rFonts w:eastAsia="黑体"/>
          <w:b/>
          <w:bCs/>
          <w:spacing w:val="30"/>
          <w:kern w:val="2"/>
          <w:sz w:val="32"/>
          <w:szCs w:val="20"/>
        </w:rPr>
      </w:pPr>
      <w:r>
        <w:rPr>
          <w:rFonts w:eastAsia="楷体_GB2312"/>
          <w:b/>
          <w:bCs/>
          <w:spacing w:val="24"/>
          <w:kern w:val="2"/>
          <w:sz w:val="44"/>
          <w:szCs w:val="20"/>
        </w:rPr>
        <w:t>（</w:t>
      </w:r>
      <w:r>
        <w:rPr>
          <w:rFonts w:hint="eastAsia" w:eastAsia="楷体_GB2312"/>
          <w:b/>
          <w:bCs/>
          <w:spacing w:val="24"/>
          <w:kern w:val="2"/>
          <w:sz w:val="44"/>
          <w:szCs w:val="20"/>
          <w:lang w:eastAsia="zh-CN"/>
        </w:rPr>
        <w:t>送审</w:t>
      </w:r>
      <w:r>
        <w:rPr>
          <w:rFonts w:hint="eastAsia" w:eastAsia="楷体_GB2312"/>
          <w:b/>
          <w:bCs/>
          <w:spacing w:val="24"/>
          <w:kern w:val="2"/>
          <w:sz w:val="44"/>
          <w:szCs w:val="20"/>
        </w:rPr>
        <w:t>稿</w:t>
      </w:r>
      <w:r>
        <w:rPr>
          <w:rFonts w:eastAsia="楷体_GB2312"/>
          <w:b/>
          <w:bCs/>
          <w:spacing w:val="24"/>
          <w:kern w:val="2"/>
          <w:sz w:val="44"/>
          <w:szCs w:val="20"/>
        </w:rPr>
        <w:t>）</w:t>
      </w:r>
      <w:bookmarkEnd w:id="1"/>
      <w:bookmarkEnd w:id="2"/>
      <w:bookmarkEnd w:id="3"/>
      <w:bookmarkEnd w:id="4"/>
    </w:p>
    <w:p>
      <w:pPr>
        <w:pStyle w:val="9"/>
      </w:pPr>
    </w:p>
    <w:p>
      <w:pPr>
        <w:pStyle w:val="9"/>
      </w:pPr>
    </w:p>
    <w:p>
      <w:pPr>
        <w:pStyle w:val="9"/>
      </w:pPr>
    </w:p>
    <w:p>
      <w:pPr>
        <w:pStyle w:val="9"/>
      </w:pPr>
    </w:p>
    <w:p>
      <w:pPr>
        <w:pStyle w:val="9"/>
      </w:pPr>
    </w:p>
    <w:p>
      <w:pPr>
        <w:pStyle w:val="9"/>
      </w:pPr>
    </w:p>
    <w:p>
      <w:pPr>
        <w:pStyle w:val="9"/>
      </w:pPr>
    </w:p>
    <w:p>
      <w:pPr>
        <w:pStyle w:val="9"/>
      </w:pPr>
    </w:p>
    <w:p>
      <w:pPr>
        <w:pStyle w:val="110"/>
        <w:ind w:left="0" w:leftChars="0" w:firstLine="0" w:firstLineChars="0"/>
        <w:jc w:val="both"/>
        <w:rPr>
          <w:rFonts w:hint="eastAsia" w:ascii="Times New Roman" w:hAnsi="Times New Roman" w:cs="Times New Roman"/>
          <w:sz w:val="44"/>
          <w:szCs w:val="44"/>
          <w:lang w:eastAsia="zh-CN"/>
        </w:rPr>
      </w:pPr>
      <w:r>
        <w:rPr>
          <w:rFonts w:hint="eastAsia" w:ascii="Times New Roman" w:hAnsi="Times New Roman" w:cs="Times New Roman"/>
          <w:sz w:val="44"/>
          <w:szCs w:val="44"/>
          <w:lang w:eastAsia="zh-CN"/>
        </w:rPr>
        <w:t>建设单位：仁化县三佳畜牧有限公司</w:t>
      </w:r>
    </w:p>
    <w:p>
      <w:pPr>
        <w:pStyle w:val="110"/>
        <w:ind w:left="0" w:leftChars="0" w:firstLine="0" w:firstLineChars="0"/>
        <w:jc w:val="both"/>
        <w:rPr>
          <w:rFonts w:ascii="Times New Roman" w:hAnsi="Times New Roman" w:cs="Times New Roman"/>
          <w:sz w:val="48"/>
          <w:szCs w:val="28"/>
        </w:rPr>
      </w:pPr>
      <w:r>
        <w:rPr>
          <w:rFonts w:hint="eastAsia" w:ascii="Times New Roman" w:hAnsi="Times New Roman" w:cs="Times New Roman"/>
          <w:sz w:val="44"/>
          <w:szCs w:val="44"/>
          <w:lang w:eastAsia="zh-CN"/>
        </w:rPr>
        <w:t>编制单位：</w:t>
      </w:r>
      <w:r>
        <w:rPr>
          <w:rFonts w:hint="eastAsia" w:ascii="Times New Roman" w:hAnsi="Times New Roman" w:cs="Times New Roman"/>
          <w:sz w:val="44"/>
          <w:szCs w:val="44"/>
        </w:rPr>
        <w:fldChar w:fldCharType="begin"/>
      </w:r>
      <w:r>
        <w:rPr>
          <w:rFonts w:hint="eastAsia" w:ascii="Times New Roman" w:hAnsi="Times New Roman" w:cs="Times New Roman"/>
          <w:sz w:val="44"/>
          <w:szCs w:val="44"/>
        </w:rPr>
        <w:instrText xml:space="preserve"> HYPERLINK "http://www.baidu.com/link?url=Z3giJosimHPm-uuIPntrHXKA9bN0vztgBle5lLQDZgEPM03d-tLvgTAv8_I56dL1PuqJ4DW8C6I6mlCFiE8jvK" \t "https://www.baidu.com/_blank" </w:instrText>
      </w:r>
      <w:r>
        <w:rPr>
          <w:rFonts w:hint="eastAsia" w:ascii="Times New Roman" w:hAnsi="Times New Roman" w:cs="Times New Roman"/>
          <w:sz w:val="44"/>
          <w:szCs w:val="44"/>
        </w:rPr>
        <w:fldChar w:fldCharType="separate"/>
      </w:r>
      <w:r>
        <w:rPr>
          <w:rFonts w:hint="eastAsia" w:ascii="Times New Roman" w:hAnsi="Times New Roman" w:cs="Times New Roman"/>
          <w:sz w:val="44"/>
          <w:szCs w:val="44"/>
          <w:lang w:eastAsia="zh-CN"/>
        </w:rPr>
        <w:t>湖北丰桐环保科技有限公司</w:t>
      </w:r>
      <w:r>
        <w:rPr>
          <w:rFonts w:hint="eastAsia" w:ascii="Times New Roman" w:hAnsi="Times New Roman" w:cs="Times New Roman"/>
          <w:sz w:val="44"/>
          <w:szCs w:val="44"/>
        </w:rPr>
        <w:fldChar w:fldCharType="end"/>
      </w:r>
    </w:p>
    <w:p>
      <w:pPr>
        <w:pStyle w:val="110"/>
        <w:rPr>
          <w:rFonts w:ascii="Times New Roman" w:hAnsi="Times New Roman" w:cs="Times New Roman"/>
          <w:sz w:val="48"/>
          <w:szCs w:val="28"/>
        </w:rPr>
      </w:pPr>
    </w:p>
    <w:p>
      <w:pPr>
        <w:pStyle w:val="110"/>
        <w:rPr>
          <w:rFonts w:ascii="Times New Roman" w:hAnsi="Times New Roman" w:cs="Times New Roman"/>
          <w:sz w:val="48"/>
          <w:szCs w:val="28"/>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cs="Times New Roman"/>
          <w:sz w:val="48"/>
          <w:szCs w:val="28"/>
        </w:rPr>
        <w:t>二</w:t>
      </w:r>
      <w:r>
        <w:rPr>
          <w:rFonts w:hint="eastAsia" w:ascii="Times New Roman" w:hAnsi="Times New Roman" w:cs="Times New Roman"/>
          <w:sz w:val="48"/>
          <w:szCs w:val="28"/>
          <w:lang w:eastAsia="zh-CN"/>
        </w:rPr>
        <w:t>〇二〇</w:t>
      </w:r>
      <w:r>
        <w:rPr>
          <w:rFonts w:ascii="Times New Roman" w:hAnsi="Times New Roman" w:cs="Times New Roman"/>
          <w:sz w:val="48"/>
          <w:szCs w:val="28"/>
        </w:rPr>
        <w:t>年</w:t>
      </w:r>
      <w:r>
        <w:rPr>
          <w:rFonts w:hint="eastAsia" w:ascii="Times New Roman" w:hAnsi="Times New Roman" w:cs="Times New Roman"/>
          <w:sz w:val="48"/>
          <w:szCs w:val="28"/>
          <w:lang w:eastAsia="zh-CN"/>
        </w:rPr>
        <w:t>七</w:t>
      </w:r>
      <w:r>
        <w:rPr>
          <w:rFonts w:ascii="Times New Roman" w:hAnsi="Times New Roman" w:cs="Times New Roman"/>
          <w:sz w:val="48"/>
          <w:szCs w:val="28"/>
        </w:rPr>
        <w:t>月</w:t>
      </w:r>
    </w:p>
    <w:p>
      <w:pPr>
        <w:pStyle w:val="112"/>
        <w:rPr>
          <w:rFonts w:cs="Times New Roman"/>
        </w:rPr>
      </w:pPr>
      <w:r>
        <w:rPr>
          <w:rFonts w:cs="Times New Roman"/>
        </w:rPr>
        <w:t>目  录</w:t>
      </w:r>
    </w:p>
    <w:p>
      <w:pPr>
        <w:pStyle w:val="42"/>
        <w:tabs>
          <w:tab w:val="right" w:leader="dot" w:pos="8306"/>
          <w:tab w:val="clear" w:pos="420"/>
          <w:tab w:val="clear" w:pos="8640"/>
        </w:tabs>
      </w:pPr>
      <w:r>
        <w:fldChar w:fldCharType="begin"/>
      </w:r>
      <w:r>
        <w:instrText xml:space="preserve"> TOC \o "1-2" \h \z \u </w:instrText>
      </w:r>
      <w:r>
        <w:fldChar w:fldCharType="separate"/>
      </w:r>
      <w:r>
        <w:fldChar w:fldCharType="begin"/>
      </w:r>
      <w:r>
        <w:instrText xml:space="preserve"> HYPERLINK \l _Toc26985 </w:instrText>
      </w:r>
      <w:r>
        <w:fldChar w:fldCharType="separate"/>
      </w:r>
      <w:r>
        <w:rPr>
          <w:rFonts w:hint="default"/>
        </w:rPr>
        <w:t xml:space="preserve">1. </w:t>
      </w:r>
      <w:r>
        <w:rPr>
          <w:rFonts w:hint="eastAsia"/>
          <w:lang w:eastAsia="zh-CN"/>
        </w:rPr>
        <w:t>概述</w:t>
      </w:r>
      <w:r>
        <w:tab/>
      </w:r>
      <w:r>
        <w:fldChar w:fldCharType="begin"/>
      </w:r>
      <w:r>
        <w:instrText xml:space="preserve"> PAGEREF _Toc26985 </w:instrText>
      </w:r>
      <w:r>
        <w:fldChar w:fldCharType="separate"/>
      </w:r>
      <w:r>
        <w:t>1</w:t>
      </w:r>
      <w:r>
        <w:fldChar w:fldCharType="end"/>
      </w:r>
      <w: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_Toc14834 </w:instrText>
      </w:r>
      <w:r>
        <w:rPr>
          <w:bCs/>
          <w:iCs/>
          <w:szCs w:val="28"/>
        </w:rPr>
        <w:fldChar w:fldCharType="separate"/>
      </w:r>
      <w:r>
        <w:rPr>
          <w:rFonts w:hint="eastAsia"/>
        </w:rPr>
        <w:t xml:space="preserve">1.1 </w:t>
      </w:r>
      <w:r>
        <w:rPr>
          <w:rFonts w:hint="eastAsia"/>
          <w:lang w:eastAsia="zh-CN"/>
        </w:rPr>
        <w:t>项目由来</w:t>
      </w:r>
      <w:r>
        <w:tab/>
      </w:r>
      <w:r>
        <w:fldChar w:fldCharType="begin"/>
      </w:r>
      <w:r>
        <w:instrText xml:space="preserve"> PAGEREF _Toc14834 </w:instrText>
      </w:r>
      <w:r>
        <w:fldChar w:fldCharType="separate"/>
      </w:r>
      <w:r>
        <w:t>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_Toc12618 </w:instrText>
      </w:r>
      <w:r>
        <w:rPr>
          <w:bCs/>
          <w:iCs/>
          <w:szCs w:val="28"/>
        </w:rPr>
        <w:fldChar w:fldCharType="separate"/>
      </w:r>
      <w:r>
        <w:rPr>
          <w:rFonts w:hint="eastAsia"/>
        </w:rPr>
        <w:t xml:space="preserve">1.2 </w:t>
      </w:r>
      <w:r>
        <w:rPr>
          <w:rFonts w:hint="eastAsia"/>
          <w:lang w:eastAsia="zh-CN"/>
        </w:rPr>
        <w:t>项目建设特点</w:t>
      </w:r>
      <w:r>
        <w:tab/>
      </w:r>
      <w:r>
        <w:fldChar w:fldCharType="begin"/>
      </w:r>
      <w:r>
        <w:instrText xml:space="preserve"> PAGEREF _Toc12618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_Toc28694 </w:instrText>
      </w:r>
      <w:r>
        <w:rPr>
          <w:bCs/>
          <w:iCs/>
          <w:szCs w:val="28"/>
        </w:rPr>
        <w:fldChar w:fldCharType="separate"/>
      </w:r>
      <w:r>
        <w:rPr>
          <w:rFonts w:hint="eastAsia"/>
        </w:rPr>
        <w:t xml:space="preserve">1.3 </w:t>
      </w:r>
      <w:r>
        <w:rPr>
          <w:rFonts w:hint="eastAsia"/>
          <w:lang w:eastAsia="zh-CN"/>
        </w:rPr>
        <w:t>环境影响评价的工作过程</w:t>
      </w:r>
      <w:r>
        <w:tab/>
      </w:r>
      <w:r>
        <w:fldChar w:fldCharType="begin"/>
      </w:r>
      <w:r>
        <w:instrText xml:space="preserve"> PAGEREF _Toc28694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_Toc26151 </w:instrText>
      </w:r>
      <w:r>
        <w:rPr>
          <w:bCs/>
          <w:iCs/>
          <w:szCs w:val="28"/>
        </w:rPr>
        <w:fldChar w:fldCharType="separate"/>
      </w:r>
      <w:r>
        <w:rPr>
          <w:rFonts w:hint="eastAsia"/>
        </w:rPr>
        <w:t xml:space="preserve">1.4 </w:t>
      </w:r>
      <w:r>
        <w:rPr>
          <w:rFonts w:hint="eastAsia"/>
          <w:lang w:eastAsia="zh-CN"/>
        </w:rPr>
        <w:t>分析判定相关情况</w:t>
      </w:r>
      <w:r>
        <w:tab/>
      </w:r>
      <w:r>
        <w:fldChar w:fldCharType="begin"/>
      </w:r>
      <w:r>
        <w:instrText xml:space="preserve"> PAGEREF _Toc26151 </w:instrText>
      </w:r>
      <w:r>
        <w:fldChar w:fldCharType="separate"/>
      </w:r>
      <w:r>
        <w:t>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_Toc18883 </w:instrText>
      </w:r>
      <w:r>
        <w:rPr>
          <w:bCs/>
          <w:iCs/>
          <w:szCs w:val="28"/>
        </w:rPr>
        <w:fldChar w:fldCharType="separate"/>
      </w:r>
      <w:r>
        <w:rPr>
          <w:rFonts w:hint="eastAsia"/>
        </w:rPr>
        <w:t xml:space="preserve">1.5 </w:t>
      </w:r>
      <w:r>
        <w:t>关注的主要环境问题及环境影响</w:t>
      </w:r>
      <w:r>
        <w:tab/>
      </w:r>
      <w:r>
        <w:fldChar w:fldCharType="begin"/>
      </w:r>
      <w:r>
        <w:instrText xml:space="preserve"> PAGEREF _Toc18883 </w:instrText>
      </w:r>
      <w:r>
        <w:fldChar w:fldCharType="separate"/>
      </w:r>
      <w:r>
        <w:t>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_Toc30193 </w:instrText>
      </w:r>
      <w:r>
        <w:rPr>
          <w:bCs/>
          <w:iCs/>
          <w:szCs w:val="28"/>
        </w:rPr>
        <w:fldChar w:fldCharType="separate"/>
      </w:r>
      <w:r>
        <w:rPr>
          <w:rFonts w:hint="eastAsia"/>
        </w:rPr>
        <w:t xml:space="preserve">1.6 </w:t>
      </w:r>
      <w:r>
        <w:t>环境影响评价的主要结论</w:t>
      </w:r>
      <w:r>
        <w:tab/>
      </w:r>
      <w:r>
        <w:fldChar w:fldCharType="begin"/>
      </w:r>
      <w:r>
        <w:instrText xml:space="preserve"> PAGEREF _Toc30193 </w:instrText>
      </w:r>
      <w:r>
        <w:fldChar w:fldCharType="separate"/>
      </w:r>
      <w:r>
        <w:t>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_Toc13075 </w:instrText>
      </w:r>
      <w:r>
        <w:rPr>
          <w:bCs/>
          <w:iCs/>
          <w:szCs w:val="28"/>
        </w:rPr>
        <w:fldChar w:fldCharType="separate"/>
      </w:r>
      <w:r>
        <w:rPr>
          <w:rFonts w:hint="default"/>
        </w:rPr>
        <w:t xml:space="preserve">2. </w:t>
      </w:r>
      <w:r>
        <w:rPr>
          <w:rFonts w:hint="eastAsia"/>
          <w:lang w:eastAsia="zh-CN"/>
        </w:rPr>
        <w:t>总则</w:t>
      </w:r>
      <w:r>
        <w:tab/>
      </w:r>
      <w:r>
        <w:fldChar w:fldCharType="begin"/>
      </w:r>
      <w:r>
        <w:instrText xml:space="preserve"> PAGEREF _Toc13075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_Toc8863 </w:instrText>
      </w:r>
      <w:r>
        <w:rPr>
          <w:bCs/>
          <w:iCs/>
          <w:szCs w:val="28"/>
        </w:rPr>
        <w:fldChar w:fldCharType="separate"/>
      </w:r>
      <w:r>
        <w:rPr>
          <w:rFonts w:hint="eastAsia"/>
        </w:rPr>
        <w:t xml:space="preserve">2.1 </w:t>
      </w:r>
      <w:r>
        <w:rPr>
          <w:rFonts w:hint="eastAsia"/>
          <w:lang w:eastAsia="zh-CN"/>
        </w:rPr>
        <w:t>环境影响评价原则</w:t>
      </w:r>
      <w:r>
        <w:tab/>
      </w:r>
      <w:r>
        <w:fldChar w:fldCharType="begin"/>
      </w:r>
      <w:r>
        <w:instrText xml:space="preserve"> PAGEREF _Toc8863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_Toc23382 </w:instrText>
      </w:r>
      <w:r>
        <w:rPr>
          <w:bCs/>
          <w:iCs/>
          <w:szCs w:val="28"/>
        </w:rPr>
        <w:fldChar w:fldCharType="separate"/>
      </w:r>
      <w:r>
        <w:rPr>
          <w:rFonts w:hint="eastAsia"/>
        </w:rPr>
        <w:t xml:space="preserve">2.2 </w:t>
      </w:r>
      <w:r>
        <w:rPr>
          <w:rFonts w:hint="eastAsia"/>
          <w:lang w:eastAsia="zh-CN"/>
        </w:rPr>
        <w:t>编制</w:t>
      </w:r>
      <w:r>
        <w:t>依据</w:t>
      </w:r>
      <w:r>
        <w:tab/>
      </w:r>
      <w:r>
        <w:fldChar w:fldCharType="begin"/>
      </w:r>
      <w:r>
        <w:instrText xml:space="preserve"> PAGEREF _Toc23382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_Toc26254 </w:instrText>
      </w:r>
      <w:r>
        <w:rPr>
          <w:bCs/>
          <w:iCs/>
          <w:szCs w:val="28"/>
        </w:rPr>
        <w:fldChar w:fldCharType="separate"/>
      </w:r>
      <w:r>
        <w:rPr>
          <w:rFonts w:hint="eastAsia"/>
        </w:rPr>
        <w:t xml:space="preserve">2.3 </w:t>
      </w:r>
      <w:r>
        <w:t>相关规划及环境功能区划</w:t>
      </w:r>
      <w:r>
        <w:tab/>
      </w:r>
      <w:r>
        <w:fldChar w:fldCharType="begin"/>
      </w:r>
      <w:r>
        <w:instrText xml:space="preserve"> PAGEREF _Toc26254 </w:instrText>
      </w:r>
      <w:r>
        <w:fldChar w:fldCharType="separate"/>
      </w:r>
      <w:r>
        <w:t>14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_Toc642 </w:instrText>
      </w:r>
      <w:r>
        <w:rPr>
          <w:bCs/>
          <w:iCs/>
          <w:szCs w:val="28"/>
        </w:rPr>
        <w:fldChar w:fldCharType="separate"/>
      </w:r>
      <w:r>
        <w:rPr>
          <w:rFonts w:hint="eastAsia"/>
        </w:rPr>
        <w:t xml:space="preserve">2.4 </w:t>
      </w:r>
      <w:r>
        <w:t>环境影响识别与评价因子筛选</w:t>
      </w:r>
      <w:r>
        <w:tab/>
      </w:r>
      <w:r>
        <w:fldChar w:fldCharType="begin"/>
      </w:r>
      <w:r>
        <w:instrText xml:space="preserve"> PAGEREF _Toc642 </w:instrText>
      </w:r>
      <w:r>
        <w:fldChar w:fldCharType="separate"/>
      </w:r>
      <w:r>
        <w:t>17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_Toc7360 </w:instrText>
      </w:r>
      <w:r>
        <w:rPr>
          <w:bCs/>
          <w:iCs/>
          <w:szCs w:val="28"/>
        </w:rPr>
        <w:fldChar w:fldCharType="separate"/>
      </w:r>
      <w:r>
        <w:rPr>
          <w:rFonts w:hint="eastAsia"/>
        </w:rPr>
        <w:t xml:space="preserve">2.5 </w:t>
      </w:r>
      <w:r>
        <w:t>环境影响评价工作等级</w:t>
      </w:r>
      <w:r>
        <w:tab/>
      </w:r>
      <w:r>
        <w:fldChar w:fldCharType="begin"/>
      </w:r>
      <w:r>
        <w:instrText xml:space="preserve"> PAGEREF _Toc7360 </w:instrText>
      </w:r>
      <w:r>
        <w:fldChar w:fldCharType="separate"/>
      </w:r>
      <w:r>
        <w:t>18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_Toc20203 </w:instrText>
      </w:r>
      <w:r>
        <w:rPr>
          <w:bCs/>
          <w:iCs/>
          <w:szCs w:val="28"/>
        </w:rPr>
        <w:fldChar w:fldCharType="separate"/>
      </w:r>
      <w:r>
        <w:rPr>
          <w:rFonts w:hint="eastAsia"/>
        </w:rPr>
        <w:t>2.6 环境影响评价范围与评价时段</w:t>
      </w:r>
      <w:r>
        <w:tab/>
      </w:r>
      <w:r>
        <w:fldChar w:fldCharType="begin"/>
      </w:r>
      <w:r>
        <w:instrText xml:space="preserve"> PAGEREF _Toc20203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_Toc5162 </w:instrText>
      </w:r>
      <w:r>
        <w:rPr>
          <w:bCs/>
          <w:iCs/>
          <w:szCs w:val="28"/>
        </w:rPr>
        <w:fldChar w:fldCharType="separate"/>
      </w:r>
      <w:r>
        <w:rPr>
          <w:rFonts w:hint="eastAsia"/>
        </w:rPr>
        <w:t xml:space="preserve">2.7 </w:t>
      </w:r>
      <w:r>
        <w:rPr>
          <w:rFonts w:hint="eastAsia"/>
          <w:lang w:eastAsia="zh-CN"/>
        </w:rPr>
        <w:t>主要环境保护目标</w:t>
      </w:r>
      <w:r>
        <w:tab/>
      </w:r>
      <w:r>
        <w:fldChar w:fldCharType="begin"/>
      </w:r>
      <w:r>
        <w:instrText xml:space="preserve"> PAGEREF _Toc5162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_Toc21975 </w:instrText>
      </w:r>
      <w:r>
        <w:rPr>
          <w:bCs/>
          <w:iCs/>
          <w:szCs w:val="28"/>
        </w:rPr>
        <w:fldChar w:fldCharType="separate"/>
      </w:r>
      <w:r>
        <w:rPr>
          <w:rFonts w:hint="eastAsia"/>
        </w:rPr>
        <w:t xml:space="preserve">2.8 </w:t>
      </w:r>
      <w:r>
        <w:rPr>
          <w:rFonts w:hint="eastAsia"/>
          <w:lang w:eastAsia="zh-CN"/>
        </w:rPr>
        <w:t>环境影响评价标准</w:t>
      </w:r>
      <w:r>
        <w:tab/>
      </w:r>
      <w:r>
        <w:fldChar w:fldCharType="begin"/>
      </w:r>
      <w:r>
        <w:instrText xml:space="preserve"> PAGEREF _Toc21975 </w:instrText>
      </w:r>
      <w:r>
        <w:fldChar w:fldCharType="separate"/>
      </w:r>
      <w:r>
        <w:t>27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_Toc11901 </w:instrText>
      </w:r>
      <w:r>
        <w:rPr>
          <w:bCs/>
          <w:iCs/>
          <w:szCs w:val="28"/>
        </w:rPr>
        <w:fldChar w:fldCharType="separate"/>
      </w:r>
      <w:r>
        <w:rPr>
          <w:rFonts w:hint="eastAsia"/>
        </w:rPr>
        <w:t xml:space="preserve">2.9 </w:t>
      </w:r>
      <w:r>
        <w:rPr>
          <w:rFonts w:hint="eastAsia"/>
          <w:lang w:eastAsia="zh-CN"/>
        </w:rPr>
        <w:t>工程概况</w:t>
      </w:r>
      <w:r>
        <w:tab/>
      </w:r>
      <w:r>
        <w:fldChar w:fldCharType="begin"/>
      </w:r>
      <w:r>
        <w:instrText xml:space="preserve"> PAGEREF _Toc11901 </w:instrText>
      </w:r>
      <w:r>
        <w:fldChar w:fldCharType="separate"/>
      </w:r>
      <w:r>
        <w:t>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_Toc5558 </w:instrText>
      </w:r>
      <w:r>
        <w:rPr>
          <w:bCs/>
          <w:iCs/>
          <w:szCs w:val="28"/>
        </w:rPr>
        <w:fldChar w:fldCharType="separate"/>
      </w:r>
      <w:r>
        <w:rPr>
          <w:rFonts w:hint="eastAsia"/>
        </w:rPr>
        <w:t xml:space="preserve">2.10 </w:t>
      </w:r>
      <w:r>
        <w:rPr>
          <w:rFonts w:hint="eastAsia"/>
          <w:lang w:eastAsia="zh-CN"/>
        </w:rPr>
        <w:t>环境影响评价方法</w:t>
      </w:r>
      <w:r>
        <w:tab/>
      </w:r>
      <w:r>
        <w:fldChar w:fldCharType="begin"/>
      </w:r>
      <w:r>
        <w:instrText xml:space="preserve"> PAGEREF _Toc5558 </w:instrText>
      </w:r>
      <w:r>
        <w:fldChar w:fldCharType="separate"/>
      </w:r>
      <w:r>
        <w:t>38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_Toc28159 </w:instrText>
      </w:r>
      <w:r>
        <w:rPr>
          <w:bCs/>
          <w:iCs/>
          <w:szCs w:val="28"/>
        </w:rPr>
        <w:fldChar w:fldCharType="separate"/>
      </w:r>
      <w:r>
        <w:rPr>
          <w:rFonts w:hint="default"/>
        </w:rPr>
        <w:t xml:space="preserve">3. </w:t>
      </w:r>
      <w:r>
        <w:rPr>
          <w:rFonts w:hint="eastAsia"/>
          <w:lang w:eastAsia="zh-CN"/>
        </w:rPr>
        <w:t>建设项目概况</w:t>
      </w:r>
      <w:r>
        <w:tab/>
      </w:r>
      <w:r>
        <w:fldChar w:fldCharType="begin"/>
      </w:r>
      <w:r>
        <w:instrText xml:space="preserve"> PAGEREF _Toc28159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_Toc22266 </w:instrText>
      </w:r>
      <w:r>
        <w:rPr>
          <w:bCs/>
          <w:iCs/>
          <w:szCs w:val="28"/>
        </w:rPr>
        <w:fldChar w:fldCharType="separate"/>
      </w:r>
      <w:r>
        <w:rPr>
          <w:rFonts w:hint="eastAsia"/>
        </w:rPr>
        <w:t xml:space="preserve">3.1 </w:t>
      </w:r>
      <w:r>
        <w:rPr>
          <w:rFonts w:hint="eastAsia"/>
          <w:lang w:eastAsia="zh-CN"/>
        </w:rPr>
        <w:t>项目工艺流程分析</w:t>
      </w:r>
      <w:r>
        <w:tab/>
      </w:r>
      <w:r>
        <w:fldChar w:fldCharType="begin"/>
      </w:r>
      <w:r>
        <w:instrText xml:space="preserve"> PAGEREF _Toc22266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_Toc13174 </w:instrText>
      </w:r>
      <w:r>
        <w:rPr>
          <w:bCs/>
          <w:iCs/>
          <w:szCs w:val="28"/>
        </w:rPr>
        <w:fldChar w:fldCharType="separate"/>
      </w:r>
      <w:r>
        <w:rPr>
          <w:rFonts w:hint="eastAsia"/>
        </w:rPr>
        <w:t xml:space="preserve">3.2 </w:t>
      </w:r>
      <w:r>
        <w:rPr>
          <w:rFonts w:hint="eastAsia"/>
          <w:lang w:eastAsia="zh-CN"/>
        </w:rPr>
        <w:t>施工期污染源分析</w:t>
      </w:r>
      <w:r>
        <w:tab/>
      </w:r>
      <w:r>
        <w:fldChar w:fldCharType="begin"/>
      </w:r>
      <w:r>
        <w:instrText xml:space="preserve"> PAGEREF _Toc13174 </w:instrText>
      </w:r>
      <w:r>
        <w:fldChar w:fldCharType="separate"/>
      </w:r>
      <w:r>
        <w:t>41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_Toc20717 </w:instrText>
      </w:r>
      <w:r>
        <w:rPr>
          <w:bCs/>
          <w:iCs/>
          <w:szCs w:val="28"/>
        </w:rPr>
        <w:fldChar w:fldCharType="separate"/>
      </w:r>
      <w:r>
        <w:rPr>
          <w:rFonts w:hint="eastAsia"/>
        </w:rPr>
        <w:t xml:space="preserve">3.3 </w:t>
      </w:r>
      <w:r>
        <w:rPr>
          <w:rFonts w:hint="eastAsia"/>
          <w:lang w:eastAsia="zh-CN"/>
        </w:rPr>
        <w:t>营运期污染源分析</w:t>
      </w:r>
      <w:r>
        <w:tab/>
      </w:r>
      <w:r>
        <w:fldChar w:fldCharType="begin"/>
      </w:r>
      <w:r>
        <w:instrText xml:space="preserve"> PAGEREF _Toc20717 </w:instrText>
      </w:r>
      <w:r>
        <w:fldChar w:fldCharType="separate"/>
      </w:r>
      <w:r>
        <w:t>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_Toc13367 </w:instrText>
      </w:r>
      <w:r>
        <w:rPr>
          <w:bCs/>
          <w:iCs/>
          <w:szCs w:val="28"/>
        </w:rPr>
        <w:fldChar w:fldCharType="separate"/>
      </w:r>
      <w:r>
        <w:rPr>
          <w:rFonts w:hint="eastAsia"/>
          <w:lang w:eastAsia="zh-CN"/>
        </w:rPr>
        <w:t>3.4 污染物排放总量控制</w:t>
      </w:r>
      <w:r>
        <w:tab/>
      </w:r>
      <w:r>
        <w:fldChar w:fldCharType="begin"/>
      </w:r>
      <w:r>
        <w:instrText xml:space="preserve"> PAGEREF _Toc13367 </w:instrText>
      </w:r>
      <w:r>
        <w:fldChar w:fldCharType="separate"/>
      </w:r>
      <w:r>
        <w:t>55</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_Toc12756 </w:instrText>
      </w:r>
      <w:r>
        <w:rPr>
          <w:bCs/>
          <w:iCs/>
          <w:szCs w:val="28"/>
        </w:rPr>
        <w:fldChar w:fldCharType="separate"/>
      </w:r>
      <w:r>
        <w:rPr>
          <w:rFonts w:hint="default"/>
        </w:rPr>
        <w:t xml:space="preserve">4. </w:t>
      </w:r>
      <w:r>
        <w:t>环境现状调查与评价</w:t>
      </w:r>
      <w:r>
        <w:tab/>
      </w:r>
      <w:r>
        <w:fldChar w:fldCharType="begin"/>
      </w:r>
      <w:r>
        <w:instrText xml:space="preserve"> PAGEREF _Toc12756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_Toc26400 </w:instrText>
      </w:r>
      <w:r>
        <w:rPr>
          <w:bCs/>
          <w:iCs/>
          <w:szCs w:val="28"/>
        </w:rPr>
        <w:fldChar w:fldCharType="separate"/>
      </w:r>
      <w:r>
        <w:rPr>
          <w:rFonts w:hint="eastAsia"/>
        </w:rPr>
        <w:t xml:space="preserve">4.1 </w:t>
      </w:r>
      <w:r>
        <w:t>自然地理状况</w:t>
      </w:r>
      <w:r>
        <w:tab/>
      </w:r>
      <w:r>
        <w:fldChar w:fldCharType="begin"/>
      </w:r>
      <w:r>
        <w:instrText xml:space="preserve"> PAGEREF _Toc26400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_Toc2039 </w:instrText>
      </w:r>
      <w:r>
        <w:rPr>
          <w:bCs/>
          <w:iCs/>
          <w:szCs w:val="28"/>
        </w:rPr>
        <w:fldChar w:fldCharType="separate"/>
      </w:r>
      <w:r>
        <w:rPr>
          <w:rFonts w:hint="eastAsia"/>
        </w:rPr>
        <w:t xml:space="preserve">4.2 </w:t>
      </w:r>
      <w:r>
        <w:t>地表水环境质量现状调查与评价</w:t>
      </w:r>
      <w:r>
        <w:tab/>
      </w:r>
      <w:r>
        <w:fldChar w:fldCharType="begin"/>
      </w:r>
      <w:r>
        <w:instrText xml:space="preserve"> PAGEREF _Toc2039 </w:instrText>
      </w:r>
      <w:r>
        <w:fldChar w:fldCharType="separate"/>
      </w:r>
      <w:r>
        <w:t>61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_Toc31984 </w:instrText>
      </w:r>
      <w:r>
        <w:rPr>
          <w:bCs/>
          <w:iCs/>
          <w:szCs w:val="28"/>
        </w:rPr>
        <w:fldChar w:fldCharType="separate"/>
      </w:r>
      <w:r>
        <w:rPr>
          <w:rFonts w:hint="eastAsia"/>
        </w:rPr>
        <w:t xml:space="preserve">4.3 </w:t>
      </w:r>
      <w:r>
        <w:t>地</w:t>
      </w:r>
      <w:r>
        <w:rPr>
          <w:rFonts w:hint="eastAsia"/>
          <w:lang w:eastAsia="zh-CN"/>
        </w:rPr>
        <w:t>下</w:t>
      </w:r>
      <w:r>
        <w:t>水环境质量现状调查与评价</w:t>
      </w:r>
      <w:r>
        <w:tab/>
      </w:r>
      <w:r>
        <w:fldChar w:fldCharType="begin"/>
      </w:r>
      <w:r>
        <w:instrText xml:space="preserve"> PAGEREF _Toc31984 </w:instrText>
      </w:r>
      <w:r>
        <w:fldChar w:fldCharType="separate"/>
      </w:r>
      <w:r>
        <w:t>62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_Toc2676 </w:instrText>
      </w:r>
      <w:r>
        <w:rPr>
          <w:bCs/>
          <w:iCs/>
          <w:szCs w:val="28"/>
        </w:rPr>
        <w:fldChar w:fldCharType="separate"/>
      </w:r>
      <w:r>
        <w:rPr>
          <w:rFonts w:hint="eastAsia"/>
        </w:rPr>
        <w:t xml:space="preserve">4.4 </w:t>
      </w:r>
      <w:r>
        <w:t>环境空气质量现状调查与评价</w:t>
      </w:r>
      <w:r>
        <w:tab/>
      </w:r>
      <w:r>
        <w:fldChar w:fldCharType="begin"/>
      </w:r>
      <w:r>
        <w:instrText xml:space="preserve"> PAGEREF _Toc2676 </w:instrText>
      </w:r>
      <w:r>
        <w:fldChar w:fldCharType="separate"/>
      </w:r>
      <w:r>
        <w:t>66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_Toc969 </w:instrText>
      </w:r>
      <w:r>
        <w:rPr>
          <w:bCs/>
          <w:iCs/>
          <w:szCs w:val="28"/>
        </w:rPr>
        <w:fldChar w:fldCharType="separate"/>
      </w:r>
      <w:r>
        <w:rPr>
          <w:rFonts w:hint="eastAsia"/>
        </w:rPr>
        <w:t xml:space="preserve">4.5 </w:t>
      </w:r>
      <w:r>
        <w:rPr>
          <w:rFonts w:hint="eastAsia"/>
          <w:lang w:eastAsia="zh-CN"/>
        </w:rPr>
        <w:t>声</w:t>
      </w:r>
      <w:r>
        <w:t>环境质量现状调查与评价</w:t>
      </w:r>
      <w:r>
        <w:tab/>
      </w:r>
      <w:r>
        <w:fldChar w:fldCharType="begin"/>
      </w:r>
      <w:r>
        <w:instrText xml:space="preserve"> PAGEREF _Toc969 </w:instrText>
      </w:r>
      <w:r>
        <w:fldChar w:fldCharType="separate"/>
      </w:r>
      <w:r>
        <w:t>73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_Toc15516 </w:instrText>
      </w:r>
      <w:r>
        <w:rPr>
          <w:bCs/>
          <w:iCs/>
          <w:szCs w:val="28"/>
        </w:rPr>
        <w:fldChar w:fldCharType="separate"/>
      </w:r>
      <w:r>
        <w:rPr>
          <w:rFonts w:hint="eastAsia"/>
        </w:rPr>
        <w:t xml:space="preserve">4.6 </w:t>
      </w:r>
      <w:r>
        <w:rPr>
          <w:rFonts w:hint="eastAsia"/>
          <w:lang w:eastAsia="zh-CN"/>
        </w:rPr>
        <w:t>土壤</w:t>
      </w:r>
      <w:r>
        <w:t>环境质量现状调查与评价</w:t>
      </w:r>
      <w:r>
        <w:tab/>
      </w:r>
      <w:r>
        <w:fldChar w:fldCharType="begin"/>
      </w:r>
      <w:r>
        <w:instrText xml:space="preserve"> PAGEREF _Toc15516 </w:instrText>
      </w:r>
      <w:r>
        <w:fldChar w:fldCharType="separate"/>
      </w:r>
      <w:r>
        <w:t>75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_Toc17504 </w:instrText>
      </w:r>
      <w:r>
        <w:rPr>
          <w:bCs/>
          <w:iCs/>
          <w:szCs w:val="28"/>
        </w:rPr>
        <w:fldChar w:fldCharType="separate"/>
      </w:r>
      <w:r>
        <w:rPr>
          <w:rFonts w:hint="eastAsia"/>
        </w:rPr>
        <w:t xml:space="preserve">4.7 </w:t>
      </w:r>
      <w:r>
        <w:t>生态环境质量现状调查与评价</w:t>
      </w:r>
      <w:r>
        <w:tab/>
      </w:r>
      <w:r>
        <w:fldChar w:fldCharType="begin"/>
      </w:r>
      <w:r>
        <w:instrText xml:space="preserve"> PAGEREF _Toc17504 </w:instrText>
      </w:r>
      <w:r>
        <w:fldChar w:fldCharType="separate"/>
      </w:r>
      <w:r>
        <w:t>77</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_Toc29769 </w:instrText>
      </w:r>
      <w:r>
        <w:rPr>
          <w:bCs/>
          <w:iCs/>
          <w:szCs w:val="28"/>
        </w:rPr>
        <w:fldChar w:fldCharType="separate"/>
      </w:r>
      <w:r>
        <w:rPr>
          <w:rFonts w:hint="default"/>
        </w:rPr>
        <w:t xml:space="preserve">5. </w:t>
      </w:r>
      <w:r>
        <w:t>环境影响预测与</w:t>
      </w:r>
      <w:r>
        <w:rPr>
          <w:rFonts w:hint="eastAsia"/>
          <w:lang w:eastAsia="zh-CN"/>
        </w:rPr>
        <w:t>评价</w:t>
      </w:r>
      <w:r>
        <w:tab/>
      </w:r>
      <w:r>
        <w:fldChar w:fldCharType="begin"/>
      </w:r>
      <w:r>
        <w:instrText xml:space="preserve"> PAGEREF _Toc29769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_Toc13604 </w:instrText>
      </w:r>
      <w:r>
        <w:rPr>
          <w:bCs/>
          <w:iCs/>
          <w:szCs w:val="28"/>
        </w:rPr>
        <w:fldChar w:fldCharType="separate"/>
      </w:r>
      <w:r>
        <w:rPr>
          <w:rFonts w:hint="eastAsia"/>
        </w:rPr>
        <w:t xml:space="preserve">5.1 </w:t>
      </w:r>
      <w:r>
        <w:t>施工期环境影响评价</w:t>
      </w:r>
      <w:r>
        <w:tab/>
      </w:r>
      <w:r>
        <w:fldChar w:fldCharType="begin"/>
      </w:r>
      <w:r>
        <w:instrText xml:space="preserve"> PAGEREF _Toc13604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_Toc20037 </w:instrText>
      </w:r>
      <w:r>
        <w:rPr>
          <w:bCs/>
          <w:iCs/>
          <w:szCs w:val="28"/>
        </w:rPr>
        <w:fldChar w:fldCharType="separate"/>
      </w:r>
      <w:r>
        <w:rPr>
          <w:rFonts w:hint="eastAsia"/>
        </w:rPr>
        <w:t xml:space="preserve">5.2 </w:t>
      </w:r>
      <w:r>
        <w:rPr>
          <w:rFonts w:hint="eastAsia"/>
          <w:lang w:eastAsia="zh-CN"/>
        </w:rPr>
        <w:t>营运期</w:t>
      </w:r>
      <w:r>
        <w:t>环境影响</w:t>
      </w:r>
      <w:r>
        <w:rPr>
          <w:rFonts w:hint="eastAsia"/>
          <w:lang w:eastAsia="zh-CN"/>
        </w:rPr>
        <w:t>分析</w:t>
      </w:r>
      <w:r>
        <w:tab/>
      </w:r>
      <w:r>
        <w:fldChar w:fldCharType="begin"/>
      </w:r>
      <w:r>
        <w:instrText xml:space="preserve"> PAGEREF _Toc20037 </w:instrText>
      </w:r>
      <w:r>
        <w:fldChar w:fldCharType="separate"/>
      </w:r>
      <w:r>
        <w:t>83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_Toc18299 </w:instrText>
      </w:r>
      <w:r>
        <w:rPr>
          <w:bCs/>
          <w:iCs/>
          <w:szCs w:val="28"/>
        </w:rPr>
        <w:fldChar w:fldCharType="separate"/>
      </w:r>
      <w:r>
        <w:rPr>
          <w:rFonts w:hint="default"/>
        </w:rPr>
        <w:t xml:space="preserve">6. </w:t>
      </w:r>
      <w:r>
        <w:rPr>
          <w:rFonts w:hint="eastAsia"/>
        </w:rPr>
        <w:t>环境</w:t>
      </w:r>
      <w:r>
        <w:rPr>
          <w:rFonts w:hint="eastAsia"/>
          <w:lang w:eastAsia="zh-CN"/>
        </w:rPr>
        <w:t>风险评价</w:t>
      </w:r>
      <w:r>
        <w:tab/>
      </w:r>
      <w:r>
        <w:fldChar w:fldCharType="begin"/>
      </w:r>
      <w:r>
        <w:instrText xml:space="preserve"> PAGEREF _Toc18299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_Toc18171 </w:instrText>
      </w:r>
      <w:r>
        <w:rPr>
          <w:bCs/>
          <w:iCs/>
          <w:szCs w:val="28"/>
        </w:rPr>
        <w:fldChar w:fldCharType="separate"/>
      </w:r>
      <w:r>
        <w:rPr>
          <w:rFonts w:hint="eastAsia"/>
        </w:rPr>
        <w:t xml:space="preserve">6.1 </w:t>
      </w:r>
      <w:r>
        <w:rPr>
          <w:rFonts w:hint="eastAsia"/>
          <w:lang w:eastAsia="zh-CN"/>
        </w:rPr>
        <w:t>评价依据</w:t>
      </w:r>
      <w:r>
        <w:tab/>
      </w:r>
      <w:r>
        <w:fldChar w:fldCharType="begin"/>
      </w:r>
      <w:r>
        <w:instrText xml:space="preserve"> PAGEREF _Toc18171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_Toc7232 </w:instrText>
      </w:r>
      <w:r>
        <w:rPr>
          <w:bCs/>
          <w:iCs/>
          <w:szCs w:val="28"/>
        </w:rPr>
        <w:fldChar w:fldCharType="separate"/>
      </w:r>
      <w:r>
        <w:rPr>
          <w:rFonts w:hint="eastAsia"/>
        </w:rPr>
        <w:t xml:space="preserve">6.2 </w:t>
      </w:r>
      <w:r>
        <w:rPr>
          <w:rFonts w:hint="eastAsia"/>
          <w:lang w:eastAsia="zh-CN"/>
        </w:rPr>
        <w:t>环境风险识别</w:t>
      </w:r>
      <w:r>
        <w:tab/>
      </w:r>
      <w:r>
        <w:fldChar w:fldCharType="begin"/>
      </w:r>
      <w:r>
        <w:instrText xml:space="preserve"> PAGEREF _Toc7232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_Toc8593 </w:instrText>
      </w:r>
      <w:r>
        <w:rPr>
          <w:bCs/>
          <w:iCs/>
          <w:szCs w:val="28"/>
        </w:rPr>
        <w:fldChar w:fldCharType="separate"/>
      </w:r>
      <w:r>
        <w:rPr>
          <w:rFonts w:hint="eastAsia"/>
        </w:rPr>
        <w:t xml:space="preserve">6.3 </w:t>
      </w:r>
      <w:r>
        <w:rPr>
          <w:rFonts w:hint="eastAsia"/>
          <w:lang w:eastAsia="zh-CN"/>
        </w:rPr>
        <w:t>环境风险分析</w:t>
      </w:r>
      <w:r>
        <w:tab/>
      </w:r>
      <w:r>
        <w:fldChar w:fldCharType="begin"/>
      </w:r>
      <w:r>
        <w:instrText xml:space="preserve"> PAGEREF _Toc8593 </w:instrText>
      </w:r>
      <w:r>
        <w:fldChar w:fldCharType="separate"/>
      </w:r>
      <w:r>
        <w:t>106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_Toc16623 </w:instrText>
      </w:r>
      <w:r>
        <w:rPr>
          <w:bCs/>
          <w:iCs/>
          <w:szCs w:val="28"/>
        </w:rPr>
        <w:fldChar w:fldCharType="separate"/>
      </w:r>
      <w:r>
        <w:rPr>
          <w:rFonts w:hint="eastAsia"/>
        </w:rPr>
        <w:t xml:space="preserve">6.4 </w:t>
      </w:r>
      <w:r>
        <w:rPr>
          <w:rFonts w:hint="eastAsia"/>
          <w:lang w:eastAsia="zh-CN"/>
        </w:rPr>
        <w:t>环境风险防范措施及应急要求</w:t>
      </w:r>
      <w:r>
        <w:tab/>
      </w:r>
      <w:r>
        <w:fldChar w:fldCharType="begin"/>
      </w:r>
      <w:r>
        <w:instrText xml:space="preserve"> PAGEREF _Toc16623 </w:instrText>
      </w:r>
      <w:r>
        <w:fldChar w:fldCharType="separate"/>
      </w:r>
      <w:r>
        <w:t>107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_Toc22740 </w:instrText>
      </w:r>
      <w:r>
        <w:rPr>
          <w:bCs/>
          <w:iCs/>
          <w:szCs w:val="28"/>
        </w:rPr>
        <w:fldChar w:fldCharType="separate"/>
      </w:r>
      <w:r>
        <w:rPr>
          <w:rFonts w:hint="eastAsia"/>
        </w:rPr>
        <w:t xml:space="preserve">6.5 </w:t>
      </w:r>
      <w:r>
        <w:rPr>
          <w:rFonts w:hint="eastAsia"/>
          <w:lang w:eastAsia="zh-CN"/>
        </w:rPr>
        <w:t>环境风险影响评价自查表</w:t>
      </w:r>
      <w:r>
        <w:tab/>
      </w:r>
      <w:r>
        <w:fldChar w:fldCharType="begin"/>
      </w:r>
      <w:r>
        <w:instrText xml:space="preserve"> PAGEREF _Toc22740 </w:instrText>
      </w:r>
      <w:r>
        <w:fldChar w:fldCharType="separate"/>
      </w:r>
      <w:r>
        <w:t>111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_Toc25430 </w:instrText>
      </w:r>
      <w:r>
        <w:rPr>
          <w:bCs/>
          <w:iCs/>
          <w:szCs w:val="28"/>
        </w:rPr>
        <w:fldChar w:fldCharType="separate"/>
      </w:r>
      <w:r>
        <w:rPr>
          <w:rFonts w:hint="eastAsia"/>
        </w:rPr>
        <w:t xml:space="preserve">6.6 </w:t>
      </w:r>
      <w:r>
        <w:rPr>
          <w:rFonts w:hint="eastAsia"/>
          <w:lang w:eastAsia="zh-CN"/>
        </w:rPr>
        <w:t>环境风险分析结论</w:t>
      </w:r>
      <w:r>
        <w:tab/>
      </w:r>
      <w:r>
        <w:fldChar w:fldCharType="begin"/>
      </w:r>
      <w:r>
        <w:instrText xml:space="preserve"> PAGEREF _Toc25430 </w:instrText>
      </w:r>
      <w:r>
        <w:fldChar w:fldCharType="separate"/>
      </w:r>
      <w:r>
        <w:t>112</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_Toc28842 </w:instrText>
      </w:r>
      <w:r>
        <w:rPr>
          <w:bCs/>
          <w:iCs/>
          <w:szCs w:val="28"/>
        </w:rPr>
        <w:fldChar w:fldCharType="separate"/>
      </w:r>
      <w:r>
        <w:rPr>
          <w:rFonts w:hint="default"/>
        </w:rPr>
        <w:t xml:space="preserve">7. </w:t>
      </w:r>
      <w:r>
        <w:rPr>
          <w:rFonts w:hint="eastAsia"/>
        </w:rPr>
        <w:t>环境保护措施及可行性分析</w:t>
      </w:r>
      <w:r>
        <w:tab/>
      </w:r>
      <w:r>
        <w:fldChar w:fldCharType="begin"/>
      </w:r>
      <w:r>
        <w:instrText xml:space="preserve"> PAGEREF _Toc28842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_Toc6099 </w:instrText>
      </w:r>
      <w:r>
        <w:rPr>
          <w:bCs/>
          <w:iCs/>
          <w:szCs w:val="28"/>
        </w:rPr>
        <w:fldChar w:fldCharType="separate"/>
      </w:r>
      <w:r>
        <w:rPr>
          <w:rFonts w:hint="eastAsia"/>
        </w:rPr>
        <w:t xml:space="preserve">7.1 </w:t>
      </w:r>
      <w:r>
        <w:rPr>
          <w:rFonts w:hint="eastAsia"/>
          <w:lang w:eastAsia="zh-CN"/>
        </w:rPr>
        <w:t>施工期污染治理措施</w:t>
      </w:r>
      <w:r>
        <w:tab/>
      </w:r>
      <w:r>
        <w:fldChar w:fldCharType="begin"/>
      </w:r>
      <w:r>
        <w:instrText xml:space="preserve"> PAGEREF _Toc6099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_Toc29661 </w:instrText>
      </w:r>
      <w:r>
        <w:rPr>
          <w:bCs/>
          <w:iCs/>
          <w:szCs w:val="28"/>
        </w:rPr>
        <w:fldChar w:fldCharType="separate"/>
      </w:r>
      <w:r>
        <w:rPr>
          <w:rFonts w:hint="eastAsia"/>
        </w:rPr>
        <w:t xml:space="preserve">7.2 </w:t>
      </w:r>
      <w:r>
        <w:rPr>
          <w:rFonts w:hint="eastAsia"/>
          <w:lang w:eastAsia="zh-CN"/>
        </w:rPr>
        <w:t>营运期污染治理措施</w:t>
      </w:r>
      <w:r>
        <w:tab/>
      </w:r>
      <w:r>
        <w:fldChar w:fldCharType="begin"/>
      </w:r>
      <w:r>
        <w:instrText xml:space="preserve"> PAGEREF _Toc29661 </w:instrText>
      </w:r>
      <w:r>
        <w:fldChar w:fldCharType="separate"/>
      </w:r>
      <w:r>
        <w:t>116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_Toc28251 </w:instrText>
      </w:r>
      <w:r>
        <w:rPr>
          <w:bCs/>
          <w:iCs/>
          <w:szCs w:val="28"/>
        </w:rPr>
        <w:fldChar w:fldCharType="separate"/>
      </w:r>
      <w:r>
        <w:rPr>
          <w:rFonts w:hint="eastAsia"/>
        </w:rPr>
        <w:t xml:space="preserve">7.3 </w:t>
      </w:r>
      <w:r>
        <w:rPr>
          <w:rFonts w:hint="eastAsia"/>
          <w:lang w:eastAsia="zh-CN"/>
        </w:rPr>
        <w:t>环保投资估算</w:t>
      </w:r>
      <w:r>
        <w:tab/>
      </w:r>
      <w:r>
        <w:fldChar w:fldCharType="begin"/>
      </w:r>
      <w:r>
        <w:instrText xml:space="preserve"> PAGEREF _Toc28251 </w:instrText>
      </w:r>
      <w:r>
        <w:fldChar w:fldCharType="separate"/>
      </w:r>
      <w:r>
        <w:t>128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_Toc2434 </w:instrText>
      </w:r>
      <w:r>
        <w:rPr>
          <w:bCs/>
          <w:iCs/>
          <w:szCs w:val="28"/>
        </w:rPr>
        <w:fldChar w:fldCharType="separate"/>
      </w:r>
      <w:r>
        <w:rPr>
          <w:rFonts w:hint="default"/>
        </w:rPr>
        <w:t xml:space="preserve">8. </w:t>
      </w:r>
      <w:r>
        <w:rPr>
          <w:rFonts w:hint="eastAsia"/>
          <w:lang w:eastAsia="zh-CN"/>
        </w:rPr>
        <w:t>清洁生产</w:t>
      </w:r>
      <w:r>
        <w:tab/>
      </w:r>
      <w:r>
        <w:fldChar w:fldCharType="begin"/>
      </w:r>
      <w:r>
        <w:instrText xml:space="preserve"> PAGEREF _Toc2434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_Toc13534 </w:instrText>
      </w:r>
      <w:r>
        <w:rPr>
          <w:bCs/>
          <w:iCs/>
          <w:szCs w:val="28"/>
        </w:rPr>
        <w:fldChar w:fldCharType="separate"/>
      </w:r>
      <w:r>
        <w:rPr>
          <w:rFonts w:hint="eastAsia"/>
        </w:rPr>
        <w:t>8.1 拟建项目清洁生产分析</w:t>
      </w:r>
      <w:r>
        <w:tab/>
      </w:r>
      <w:r>
        <w:fldChar w:fldCharType="begin"/>
      </w:r>
      <w:r>
        <w:instrText xml:space="preserve"> PAGEREF _Toc13534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_Toc9796 </w:instrText>
      </w:r>
      <w:r>
        <w:rPr>
          <w:bCs/>
          <w:iCs/>
          <w:szCs w:val="28"/>
        </w:rPr>
        <w:fldChar w:fldCharType="separate"/>
      </w:r>
      <w:r>
        <w:rPr>
          <w:rFonts w:hint="eastAsia"/>
        </w:rPr>
        <w:t>8.2 清洁生产评价与分析</w:t>
      </w:r>
      <w:r>
        <w:tab/>
      </w:r>
      <w:r>
        <w:fldChar w:fldCharType="begin"/>
      </w:r>
      <w:r>
        <w:instrText xml:space="preserve"> PAGEREF _Toc9796 </w:instrText>
      </w:r>
      <w:r>
        <w:fldChar w:fldCharType="separate"/>
      </w:r>
      <w:r>
        <w:t>130</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_Toc31185 </w:instrText>
      </w:r>
      <w:r>
        <w:rPr>
          <w:bCs/>
          <w:iCs/>
          <w:szCs w:val="28"/>
        </w:rPr>
        <w:fldChar w:fldCharType="separate"/>
      </w:r>
      <w:r>
        <w:rPr>
          <w:rFonts w:hint="eastAsia"/>
        </w:rPr>
        <w:t>8.3 清洁生产管理要求</w:t>
      </w:r>
      <w:r>
        <w:tab/>
      </w:r>
      <w:r>
        <w:fldChar w:fldCharType="begin"/>
      </w:r>
      <w:r>
        <w:instrText xml:space="preserve"> PAGEREF _Toc31185 </w:instrText>
      </w:r>
      <w:r>
        <w:fldChar w:fldCharType="separate"/>
      </w:r>
      <w:r>
        <w:t>132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_Toc16732 </w:instrText>
      </w:r>
      <w:r>
        <w:rPr>
          <w:bCs/>
          <w:iCs/>
          <w:szCs w:val="28"/>
        </w:rPr>
        <w:fldChar w:fldCharType="separate"/>
      </w:r>
      <w:r>
        <w:rPr>
          <w:rFonts w:hint="eastAsia"/>
        </w:rPr>
        <w:t>8.4 清洁生产分析结论</w:t>
      </w:r>
      <w:r>
        <w:tab/>
      </w:r>
      <w:r>
        <w:fldChar w:fldCharType="begin"/>
      </w:r>
      <w:r>
        <w:instrText xml:space="preserve"> PAGEREF _Toc16732 </w:instrText>
      </w:r>
      <w:r>
        <w:fldChar w:fldCharType="separate"/>
      </w:r>
      <w:r>
        <w:t>133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_Toc14295 </w:instrText>
      </w:r>
      <w:r>
        <w:rPr>
          <w:bCs/>
          <w:iCs/>
          <w:szCs w:val="28"/>
        </w:rPr>
        <w:fldChar w:fldCharType="separate"/>
      </w:r>
      <w:r>
        <w:rPr>
          <w:rFonts w:hint="default"/>
        </w:rPr>
        <w:t xml:space="preserve">9. </w:t>
      </w:r>
      <w:r>
        <w:rPr>
          <w:rFonts w:hint="eastAsia"/>
        </w:rPr>
        <w:t>环境影响经济损益分析</w:t>
      </w:r>
      <w:r>
        <w:tab/>
      </w:r>
      <w:r>
        <w:fldChar w:fldCharType="begin"/>
      </w:r>
      <w:r>
        <w:instrText xml:space="preserve"> PAGEREF _Toc14295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_Toc29185 </w:instrText>
      </w:r>
      <w:r>
        <w:rPr>
          <w:bCs/>
          <w:iCs/>
          <w:szCs w:val="28"/>
        </w:rPr>
        <w:fldChar w:fldCharType="separate"/>
      </w:r>
      <w:r>
        <w:rPr>
          <w:rFonts w:hint="eastAsia"/>
        </w:rPr>
        <w:t xml:space="preserve">9.1 </w:t>
      </w:r>
      <w:r>
        <w:rPr>
          <w:rFonts w:hint="eastAsia"/>
          <w:lang w:eastAsia="zh-CN"/>
        </w:rPr>
        <w:t>经济效益分析</w:t>
      </w:r>
      <w:r>
        <w:tab/>
      </w:r>
      <w:r>
        <w:fldChar w:fldCharType="begin"/>
      </w:r>
      <w:r>
        <w:instrText xml:space="preserve"> PAGEREF _Toc29185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_Toc7138 </w:instrText>
      </w:r>
      <w:r>
        <w:rPr>
          <w:bCs/>
          <w:iCs/>
          <w:szCs w:val="28"/>
        </w:rPr>
        <w:fldChar w:fldCharType="separate"/>
      </w:r>
      <w:r>
        <w:rPr>
          <w:rFonts w:hint="eastAsia"/>
        </w:rPr>
        <w:t xml:space="preserve">9.2 </w:t>
      </w:r>
      <w:r>
        <w:rPr>
          <w:rFonts w:hint="eastAsia"/>
          <w:lang w:eastAsia="zh-CN"/>
        </w:rPr>
        <w:t>社会效益分析</w:t>
      </w:r>
      <w:r>
        <w:tab/>
      </w:r>
      <w:r>
        <w:fldChar w:fldCharType="begin"/>
      </w:r>
      <w:r>
        <w:instrText xml:space="preserve"> PAGEREF _Toc7138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_Toc16783 </w:instrText>
      </w:r>
      <w:r>
        <w:rPr>
          <w:bCs/>
          <w:iCs/>
          <w:szCs w:val="28"/>
        </w:rPr>
        <w:fldChar w:fldCharType="separate"/>
      </w:r>
      <w:r>
        <w:rPr>
          <w:rFonts w:hint="eastAsia"/>
        </w:rPr>
        <w:t xml:space="preserve">9.3 </w:t>
      </w:r>
      <w:r>
        <w:rPr>
          <w:rFonts w:hint="eastAsia"/>
          <w:lang w:eastAsia="zh-CN"/>
        </w:rPr>
        <w:t>环境效益分析</w:t>
      </w:r>
      <w:r>
        <w:tab/>
      </w:r>
      <w:r>
        <w:fldChar w:fldCharType="begin"/>
      </w:r>
      <w:r>
        <w:instrText xml:space="preserve"> PAGEREF _Toc16783 </w:instrText>
      </w:r>
      <w:r>
        <w:fldChar w:fldCharType="separate"/>
      </w:r>
      <w:r>
        <w:t>135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_Toc8524 </w:instrText>
      </w:r>
      <w:r>
        <w:rPr>
          <w:bCs/>
          <w:iCs/>
          <w:szCs w:val="28"/>
        </w:rPr>
        <w:fldChar w:fldCharType="separate"/>
      </w:r>
      <w:r>
        <w:rPr>
          <w:rFonts w:hint="eastAsia"/>
        </w:rPr>
        <w:t xml:space="preserve">9.4 </w:t>
      </w:r>
      <w:r>
        <w:rPr>
          <w:rFonts w:hint="eastAsia"/>
          <w:lang w:eastAsia="zh-CN"/>
        </w:rPr>
        <w:t>小结</w:t>
      </w:r>
      <w:r>
        <w:tab/>
      </w:r>
      <w:r>
        <w:fldChar w:fldCharType="begin"/>
      </w:r>
      <w:r>
        <w:instrText xml:space="preserve"> PAGEREF _Toc8524 </w:instrText>
      </w:r>
      <w:r>
        <w:fldChar w:fldCharType="separate"/>
      </w:r>
      <w:r>
        <w:t>136</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_Toc8121 </w:instrText>
      </w:r>
      <w:r>
        <w:rPr>
          <w:bCs/>
          <w:iCs/>
          <w:szCs w:val="28"/>
        </w:rPr>
        <w:fldChar w:fldCharType="separate"/>
      </w:r>
      <w:r>
        <w:rPr>
          <w:rFonts w:hint="default"/>
        </w:rPr>
        <w:t xml:space="preserve">10. </w:t>
      </w:r>
      <w:r>
        <w:rPr>
          <w:rFonts w:hint="eastAsia"/>
        </w:rPr>
        <w:t>环境管理与监测计划</w:t>
      </w:r>
      <w:r>
        <w:tab/>
      </w:r>
      <w:r>
        <w:fldChar w:fldCharType="begin"/>
      </w:r>
      <w:r>
        <w:instrText xml:space="preserve"> PAGEREF _Toc8121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_Toc23471 </w:instrText>
      </w:r>
      <w:r>
        <w:rPr>
          <w:bCs/>
          <w:iCs/>
          <w:szCs w:val="28"/>
        </w:rPr>
        <w:fldChar w:fldCharType="separate"/>
      </w:r>
      <w:r>
        <w:rPr>
          <w:rFonts w:hint="eastAsia"/>
        </w:rPr>
        <w:t xml:space="preserve">10.1 </w:t>
      </w:r>
      <w:r>
        <w:rPr>
          <w:rFonts w:hint="eastAsia"/>
          <w:lang w:eastAsia="zh-CN"/>
        </w:rPr>
        <w:t>环境管理要求</w:t>
      </w:r>
      <w:r>
        <w:tab/>
      </w:r>
      <w:r>
        <w:fldChar w:fldCharType="begin"/>
      </w:r>
      <w:r>
        <w:instrText xml:space="preserve"> PAGEREF _Toc23471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_Toc4486 </w:instrText>
      </w:r>
      <w:r>
        <w:rPr>
          <w:bCs/>
          <w:iCs/>
          <w:szCs w:val="28"/>
        </w:rPr>
        <w:fldChar w:fldCharType="separate"/>
      </w:r>
      <w:r>
        <w:rPr>
          <w:rFonts w:hint="eastAsia"/>
        </w:rPr>
        <w:t xml:space="preserve">10.2 </w:t>
      </w:r>
      <w:r>
        <w:rPr>
          <w:rFonts w:hint="eastAsia"/>
          <w:lang w:eastAsia="zh-CN"/>
        </w:rPr>
        <w:t>污染源排放清单</w:t>
      </w:r>
      <w:r>
        <w:tab/>
      </w:r>
      <w:r>
        <w:fldChar w:fldCharType="begin"/>
      </w:r>
      <w:r>
        <w:instrText xml:space="preserve"> PAGEREF _Toc4486 </w:instrText>
      </w:r>
      <w:r>
        <w:fldChar w:fldCharType="separate"/>
      </w:r>
      <w:r>
        <w:t>138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_Toc17543 </w:instrText>
      </w:r>
      <w:r>
        <w:rPr>
          <w:bCs/>
          <w:iCs/>
          <w:szCs w:val="28"/>
        </w:rPr>
        <w:fldChar w:fldCharType="separate"/>
      </w:r>
      <w:r>
        <w:rPr>
          <w:rFonts w:hint="eastAsia"/>
        </w:rPr>
        <w:t xml:space="preserve">10.3 </w:t>
      </w:r>
      <w:r>
        <w:rPr>
          <w:rFonts w:hint="eastAsia"/>
          <w:lang w:eastAsia="zh-CN"/>
        </w:rPr>
        <w:t>环境管理制度</w:t>
      </w:r>
      <w:r>
        <w:tab/>
      </w:r>
      <w:r>
        <w:fldChar w:fldCharType="begin"/>
      </w:r>
      <w:r>
        <w:instrText xml:space="preserve"> PAGEREF _Toc17543 </w:instrText>
      </w:r>
      <w:r>
        <w:fldChar w:fldCharType="separate"/>
      </w:r>
      <w:r>
        <w:t>139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_Toc14563 </w:instrText>
      </w:r>
      <w:r>
        <w:rPr>
          <w:bCs/>
          <w:iCs/>
          <w:szCs w:val="28"/>
        </w:rPr>
        <w:fldChar w:fldCharType="separate"/>
      </w:r>
      <w:r>
        <w:rPr>
          <w:rFonts w:hint="eastAsia"/>
        </w:rPr>
        <w:t xml:space="preserve">10.4 </w:t>
      </w:r>
      <w:r>
        <w:rPr>
          <w:rFonts w:hint="eastAsia"/>
          <w:lang w:eastAsia="zh-CN"/>
        </w:rPr>
        <w:t>环境监测计划</w:t>
      </w:r>
      <w:r>
        <w:tab/>
      </w:r>
      <w:r>
        <w:fldChar w:fldCharType="begin"/>
      </w:r>
      <w:r>
        <w:instrText xml:space="preserve"> PAGEREF _Toc14563 </w:instrText>
      </w:r>
      <w:r>
        <w:fldChar w:fldCharType="separate"/>
      </w:r>
      <w:r>
        <w:t>141</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_Toc21222 </w:instrText>
      </w:r>
      <w:r>
        <w:rPr>
          <w:bCs/>
          <w:iCs/>
          <w:szCs w:val="28"/>
        </w:rPr>
        <w:fldChar w:fldCharType="separate"/>
      </w:r>
      <w:r>
        <w:rPr>
          <w:rFonts w:hint="default"/>
        </w:rPr>
        <w:t xml:space="preserve">11. </w:t>
      </w:r>
      <w:r>
        <w:t>评价结论</w:t>
      </w:r>
      <w:r>
        <w:tab/>
      </w:r>
      <w:r>
        <w:fldChar w:fldCharType="begin"/>
      </w:r>
      <w:r>
        <w:instrText xml:space="preserve"> PAGEREF _Toc21222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_Toc524 </w:instrText>
      </w:r>
      <w:r>
        <w:rPr>
          <w:bCs/>
          <w:iCs/>
          <w:szCs w:val="28"/>
        </w:rPr>
        <w:fldChar w:fldCharType="separate"/>
      </w:r>
      <w:r>
        <w:rPr>
          <w:rFonts w:hint="eastAsia"/>
        </w:rPr>
        <w:t xml:space="preserve">11.1 </w:t>
      </w:r>
      <w:r>
        <w:rPr>
          <w:rFonts w:hint="eastAsia"/>
          <w:lang w:val="en-US" w:eastAsia="zh-CN"/>
        </w:rPr>
        <w:t>项目概况</w:t>
      </w:r>
      <w:r>
        <w:tab/>
      </w:r>
      <w:r>
        <w:fldChar w:fldCharType="begin"/>
      </w:r>
      <w:r>
        <w:instrText xml:space="preserve"> PAGEREF _Toc524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_Toc5566 </w:instrText>
      </w:r>
      <w:r>
        <w:rPr>
          <w:bCs/>
          <w:iCs/>
          <w:szCs w:val="28"/>
        </w:rPr>
        <w:fldChar w:fldCharType="separate"/>
      </w:r>
      <w:r>
        <w:rPr>
          <w:rFonts w:hint="eastAsia"/>
        </w:rPr>
        <w:t xml:space="preserve">11.2 </w:t>
      </w:r>
      <w:r>
        <w:rPr>
          <w:rFonts w:hint="eastAsia"/>
          <w:lang w:eastAsia="zh-CN"/>
        </w:rPr>
        <w:t>区域环境质量</w:t>
      </w:r>
      <w:r>
        <w:rPr>
          <w:rFonts w:hint="eastAsia"/>
        </w:rPr>
        <w:t>境现状</w:t>
      </w:r>
      <w:r>
        <w:tab/>
      </w:r>
      <w:r>
        <w:fldChar w:fldCharType="begin"/>
      </w:r>
      <w:r>
        <w:instrText xml:space="preserve"> PAGEREF _Toc5566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_Toc27945 </w:instrText>
      </w:r>
      <w:r>
        <w:rPr>
          <w:bCs/>
          <w:iCs/>
          <w:szCs w:val="28"/>
        </w:rPr>
        <w:fldChar w:fldCharType="separate"/>
      </w:r>
      <w:r>
        <w:rPr>
          <w:rFonts w:hint="eastAsia"/>
        </w:rPr>
        <w:t>11.3 环境影响</w:t>
      </w:r>
      <w:r>
        <w:rPr>
          <w:rFonts w:hint="eastAsia"/>
          <w:lang w:eastAsia="zh-CN"/>
        </w:rPr>
        <w:t>分析结论</w:t>
      </w:r>
      <w:r>
        <w:tab/>
      </w:r>
      <w:r>
        <w:fldChar w:fldCharType="begin"/>
      </w:r>
      <w:r>
        <w:instrText xml:space="preserve"> PAGEREF _Toc27945 </w:instrText>
      </w:r>
      <w:r>
        <w:fldChar w:fldCharType="separate"/>
      </w:r>
      <w:r>
        <w:t>147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_Toc3474 </w:instrText>
      </w:r>
      <w:r>
        <w:rPr>
          <w:bCs/>
          <w:iCs/>
          <w:szCs w:val="28"/>
        </w:rPr>
        <w:fldChar w:fldCharType="separate"/>
      </w:r>
      <w:r>
        <w:rPr>
          <w:rFonts w:hint="eastAsia" w:ascii="宋体" w:hAnsi="宋体" w:eastAsia="宋体"/>
        </w:rPr>
        <w:t>11.4 项目拟采取的主要环保措施</w:t>
      </w:r>
      <w:r>
        <w:tab/>
      </w:r>
      <w:r>
        <w:fldChar w:fldCharType="begin"/>
      </w:r>
      <w:r>
        <w:instrText xml:space="preserve"> PAGEREF _Toc3474 </w:instrText>
      </w:r>
      <w:r>
        <w:fldChar w:fldCharType="separate"/>
      </w:r>
      <w:r>
        <w:t>149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_Toc24006 </w:instrText>
      </w:r>
      <w:r>
        <w:rPr>
          <w:bCs/>
          <w:iCs/>
          <w:szCs w:val="28"/>
        </w:rPr>
        <w:fldChar w:fldCharType="separate"/>
      </w:r>
      <w:r>
        <w:rPr>
          <w:rFonts w:hint="eastAsia"/>
        </w:rPr>
        <w:t>11.5 环境影响经济损益分析</w:t>
      </w:r>
      <w:r>
        <w:tab/>
      </w:r>
      <w:r>
        <w:fldChar w:fldCharType="begin"/>
      </w:r>
      <w:r>
        <w:instrText xml:space="preserve"> PAGEREF _Toc24006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_Toc10378 </w:instrText>
      </w:r>
      <w:r>
        <w:rPr>
          <w:bCs/>
          <w:iCs/>
          <w:szCs w:val="28"/>
        </w:rPr>
        <w:fldChar w:fldCharType="separate"/>
      </w:r>
      <w:r>
        <w:rPr>
          <w:rFonts w:hint="eastAsia"/>
        </w:rPr>
        <w:t>11.6 环境管理与环境</w:t>
      </w:r>
      <w:r>
        <w:rPr>
          <w:rFonts w:hint="eastAsia"/>
          <w:lang w:eastAsia="zh-CN"/>
        </w:rPr>
        <w:t>监测</w:t>
      </w:r>
      <w:r>
        <w:tab/>
      </w:r>
      <w:r>
        <w:fldChar w:fldCharType="begin"/>
      </w:r>
      <w:r>
        <w:instrText xml:space="preserve"> PAGEREF _Toc10378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_Toc26385 </w:instrText>
      </w:r>
      <w:r>
        <w:rPr>
          <w:bCs/>
          <w:iCs/>
          <w:szCs w:val="28"/>
        </w:rPr>
        <w:fldChar w:fldCharType="separate"/>
      </w:r>
      <w:r>
        <w:rPr>
          <w:rFonts w:hint="eastAsia"/>
        </w:rPr>
        <w:t xml:space="preserve">11.7 </w:t>
      </w:r>
      <w:r>
        <w:rPr>
          <w:rFonts w:hint="eastAsia"/>
          <w:lang w:eastAsia="zh-CN"/>
        </w:rPr>
        <w:t>清洁生产</w:t>
      </w:r>
      <w:r>
        <w:tab/>
      </w:r>
      <w:r>
        <w:fldChar w:fldCharType="begin"/>
      </w:r>
      <w:r>
        <w:instrText xml:space="preserve"> PAGEREF _Toc26385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_Toc7224 </w:instrText>
      </w:r>
      <w:r>
        <w:rPr>
          <w:bCs/>
          <w:iCs/>
          <w:szCs w:val="28"/>
        </w:rPr>
        <w:fldChar w:fldCharType="separate"/>
      </w:r>
      <w:r>
        <w:rPr>
          <w:rFonts w:hint="eastAsia"/>
          <w:lang w:eastAsia="zh-CN"/>
        </w:rPr>
        <w:t>11.8 产业政策、项目选址与平面布局合理性分析结论</w:t>
      </w:r>
      <w:r>
        <w:tab/>
      </w:r>
      <w:r>
        <w:fldChar w:fldCharType="begin"/>
      </w:r>
      <w:r>
        <w:instrText xml:space="preserve"> PAGEREF _Toc7224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_Toc769 </w:instrText>
      </w:r>
      <w:r>
        <w:rPr>
          <w:bCs/>
          <w:iCs/>
          <w:szCs w:val="28"/>
        </w:rPr>
        <w:fldChar w:fldCharType="separate"/>
      </w:r>
      <w:r>
        <w:rPr>
          <w:rFonts w:hint="eastAsia"/>
        </w:rPr>
        <w:t xml:space="preserve">11.9 </w:t>
      </w:r>
      <w:r>
        <w:rPr>
          <w:rFonts w:hint="eastAsia"/>
          <w:lang w:eastAsia="zh-CN"/>
        </w:rPr>
        <w:t>公众参与采纳情况</w:t>
      </w:r>
      <w:r>
        <w:tab/>
      </w:r>
      <w:r>
        <w:fldChar w:fldCharType="begin"/>
      </w:r>
      <w:r>
        <w:instrText xml:space="preserve"> PAGEREF _Toc769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_Toc29338 </w:instrText>
      </w:r>
      <w:r>
        <w:rPr>
          <w:bCs/>
          <w:iCs/>
          <w:szCs w:val="28"/>
        </w:rPr>
        <w:fldChar w:fldCharType="separate"/>
      </w:r>
      <w:r>
        <w:rPr>
          <w:rFonts w:hint="eastAsia"/>
        </w:rPr>
        <w:t>11.10 总体评价</w:t>
      </w:r>
      <w:r>
        <w:tab/>
      </w:r>
      <w:r>
        <w:fldChar w:fldCharType="begin"/>
      </w:r>
      <w:r>
        <w:instrText xml:space="preserve"> PAGEREF _Toc29338 </w:instrText>
      </w:r>
      <w:r>
        <w:fldChar w:fldCharType="separate"/>
      </w:r>
      <w:r>
        <w:t>153</w:t>
      </w:r>
      <w:r>
        <w:fldChar w:fldCharType="end"/>
      </w:r>
      <w:r>
        <w:rPr>
          <w:bCs/>
          <w:iCs/>
          <w:szCs w:val="28"/>
        </w:rPr>
        <w:fldChar w:fldCharType="end"/>
      </w:r>
    </w:p>
    <w:p>
      <w:pPr>
        <w:rPr>
          <w:bCs/>
          <w:iCs/>
          <w:szCs w:val="28"/>
        </w:rPr>
      </w:pPr>
      <w:r>
        <w:rPr>
          <w:bCs/>
          <w:iCs/>
          <w:szCs w:val="28"/>
        </w:rPr>
        <w:fldChar w:fldCharType="end"/>
      </w: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bCs/>
          <w:iCs/>
          <w:sz w:val="24"/>
          <w:szCs w:val="28"/>
        </w:rPr>
        <w:t>附件：</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eastAsia="zh-CN"/>
        </w:rPr>
        <w:t>附件</w:t>
      </w:r>
      <w:r>
        <w:rPr>
          <w:rFonts w:hint="eastAsia"/>
          <w:b w:val="0"/>
          <w:bCs w:val="0"/>
          <w:iCs/>
          <w:color w:val="auto"/>
          <w:sz w:val="24"/>
          <w:szCs w:val="28"/>
          <w:lang w:val="en-US" w:eastAsia="zh-CN"/>
        </w:rPr>
        <w:t>1：委托书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附件2：营业执照</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附件3：土地租赁协议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附件4  选址证明</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附件5：监测报告</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r>
        <w:rPr>
          <w:rFonts w:hint="eastAsia"/>
          <w:b/>
          <w:bCs/>
          <w:iCs/>
          <w:sz w:val="24"/>
          <w:szCs w:val="28"/>
          <w:lang w:eastAsia="zh-CN"/>
        </w:rPr>
        <w:t>附图：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val="0"/>
          <w:bCs w:val="0"/>
          <w:iCs/>
          <w:sz w:val="24"/>
          <w:szCs w:val="28"/>
        </w:rPr>
        <w:t>附图1   项目地理位置示意图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rPr>
      </w:pPr>
      <w:r>
        <w:rPr>
          <w:rFonts w:hint="eastAsia"/>
          <w:b w:val="0"/>
          <w:bCs w:val="0"/>
          <w:iCs/>
          <w:sz w:val="24"/>
          <w:szCs w:val="28"/>
        </w:rPr>
        <w:t>附图2   项目平面布置及污染源分布示意图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附图3   项目所在地与仁化县三区划定范围位置关系示意图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lang w:val="en-US" w:eastAsia="zh-CN"/>
        </w:rPr>
      </w:pPr>
      <w:r>
        <w:rPr>
          <w:rFonts w:hint="eastAsia"/>
          <w:b w:val="0"/>
          <w:bCs w:val="0"/>
          <w:iCs/>
          <w:sz w:val="24"/>
          <w:szCs w:val="28"/>
          <w:lang w:val="en-US" w:eastAsia="zh-CN"/>
        </w:rPr>
        <w:t>附图4   项目区域水系图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b w:val="0"/>
          <w:bCs w:val="0"/>
          <w:iCs/>
          <w:kern w:val="2"/>
          <w:sz w:val="24"/>
          <w:szCs w:val="28"/>
          <w:lang w:val="en-US" w:eastAsia="zh-CN" w:bidi="ar-SA"/>
        </w:rPr>
      </w:pPr>
      <w:r>
        <w:rPr>
          <w:rFonts w:hint="eastAsia"/>
          <w:b w:val="0"/>
          <w:bCs w:val="0"/>
          <w:iCs/>
          <w:sz w:val="24"/>
          <w:szCs w:val="28"/>
          <w:lang w:val="en-US" w:eastAsia="zh-CN"/>
        </w:rPr>
        <w:t>附图5   项</w:t>
      </w:r>
      <w:r>
        <w:rPr>
          <w:rFonts w:hint="eastAsia" w:ascii="Times New Roman" w:hAnsi="Times New Roman" w:eastAsia="宋体" w:cs="Times New Roman"/>
          <w:b w:val="0"/>
          <w:bCs w:val="0"/>
          <w:iCs/>
          <w:kern w:val="2"/>
          <w:sz w:val="24"/>
          <w:szCs w:val="28"/>
          <w:lang w:val="en-US" w:eastAsia="zh-CN" w:bidi="ar-SA"/>
        </w:rPr>
        <w:t>目大气质量监测布点示意图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6</w:t>
      </w:r>
      <w:r>
        <w:rPr>
          <w:rFonts w:hint="eastAsia"/>
          <w:b w:val="0"/>
          <w:bCs w:val="0"/>
          <w:iCs/>
          <w:color w:val="auto"/>
          <w:sz w:val="24"/>
          <w:szCs w:val="28"/>
        </w:rPr>
        <w:t xml:space="preserve">   </w:t>
      </w:r>
      <w:r>
        <w:rPr>
          <w:rFonts w:hint="eastAsia"/>
          <w:b w:val="0"/>
          <w:bCs w:val="0"/>
          <w:iCs/>
          <w:color w:val="auto"/>
          <w:sz w:val="24"/>
          <w:szCs w:val="28"/>
          <w:lang w:val="en-US" w:eastAsia="zh-CN"/>
        </w:rPr>
        <w:t>地下水环境监测点位示意图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7</w:t>
      </w:r>
      <w:r>
        <w:rPr>
          <w:rFonts w:hint="eastAsia"/>
          <w:b w:val="0"/>
          <w:bCs w:val="0"/>
          <w:iCs/>
          <w:color w:val="auto"/>
          <w:sz w:val="24"/>
          <w:szCs w:val="28"/>
        </w:rPr>
        <w:t xml:space="preserve">   </w:t>
      </w:r>
      <w:r>
        <w:rPr>
          <w:rFonts w:hint="eastAsia"/>
          <w:b w:val="0"/>
          <w:bCs w:val="0"/>
          <w:iCs/>
          <w:color w:val="auto"/>
          <w:sz w:val="24"/>
          <w:szCs w:val="28"/>
          <w:lang w:val="en-US" w:eastAsia="zh-CN"/>
        </w:rPr>
        <w:t>声环境监测点位示意图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rPr>
        <w:t>附图</w:t>
      </w:r>
      <w:r>
        <w:rPr>
          <w:rFonts w:hint="eastAsia"/>
          <w:b w:val="0"/>
          <w:bCs w:val="0"/>
          <w:iCs/>
          <w:color w:val="auto"/>
          <w:sz w:val="24"/>
          <w:szCs w:val="28"/>
          <w:lang w:val="en-US" w:eastAsia="zh-CN"/>
        </w:rPr>
        <w:t>8</w:t>
      </w:r>
      <w:r>
        <w:rPr>
          <w:rFonts w:hint="eastAsia"/>
          <w:b w:val="0"/>
          <w:bCs w:val="0"/>
          <w:iCs/>
          <w:color w:val="auto"/>
          <w:sz w:val="24"/>
          <w:szCs w:val="28"/>
        </w:rPr>
        <w:t xml:space="preserve">   </w:t>
      </w:r>
      <w:r>
        <w:rPr>
          <w:rFonts w:hint="eastAsia"/>
          <w:b w:val="0"/>
          <w:bCs w:val="0"/>
          <w:iCs/>
          <w:color w:val="auto"/>
          <w:sz w:val="24"/>
          <w:szCs w:val="28"/>
          <w:lang w:val="en-US" w:eastAsia="zh-CN"/>
        </w:rPr>
        <w:t>土壤环境监测点位示意图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附图9   项目污水管网示意图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color w:val="auto"/>
          <w:sz w:val="24"/>
          <w:szCs w:val="28"/>
          <w:lang w:val="en-US" w:eastAsia="zh-CN"/>
        </w:rPr>
      </w:pPr>
      <w:r>
        <w:rPr>
          <w:rFonts w:hint="eastAsia"/>
          <w:b w:val="0"/>
          <w:bCs w:val="0"/>
          <w:iCs/>
          <w:color w:val="auto"/>
          <w:sz w:val="24"/>
          <w:szCs w:val="28"/>
          <w:lang w:val="en-US" w:eastAsia="zh-CN"/>
        </w:rPr>
        <w:t xml:space="preserve">附表  </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ascii="Times New Roman" w:hAnsi="Times New Roman" w:cs="Times New Roman"/>
          <w:bCs/>
          <w:iCs/>
          <w:color w:val="auto"/>
          <w:sz w:val="24"/>
          <w:szCs w:val="28"/>
        </w:rPr>
        <w:t>建设项目环评审批基础信息表</w:t>
      </w:r>
    </w:p>
    <w:p>
      <w:pPr>
        <w:rPr>
          <w:rFonts w:hint="eastAsia"/>
          <w:bCs/>
          <w:iCs/>
          <w:sz w:val="24"/>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3"/>
        <w:jc w:val="center"/>
      </w:pPr>
      <w:bookmarkStart w:id="5" w:name="_Toc26985"/>
      <w:r>
        <w:rPr>
          <w:rFonts w:hint="eastAsia"/>
          <w:lang w:eastAsia="zh-CN"/>
        </w:rPr>
        <w:t>概述</w:t>
      </w:r>
      <w:bookmarkEnd w:id="5"/>
    </w:p>
    <w:p>
      <w:pPr>
        <w:pStyle w:val="4"/>
      </w:pPr>
      <w:bookmarkStart w:id="6" w:name="_Toc14834"/>
      <w:r>
        <w:rPr>
          <w:rFonts w:hint="eastAsia"/>
          <w:lang w:eastAsia="zh-CN"/>
        </w:rPr>
        <w:t>项目由来</w:t>
      </w:r>
      <w:bookmarkEnd w:id="6"/>
    </w:p>
    <w:p>
      <w:pPr>
        <w:pStyle w:val="8"/>
        <w:rPr>
          <w:rFonts w:hint="eastAsia"/>
          <w:lang w:val="en-US" w:eastAsia="zh-CN"/>
        </w:rPr>
      </w:pPr>
      <w:r>
        <w:rPr>
          <w:rFonts w:hint="eastAsia"/>
          <w:lang w:val="en-US" w:eastAsia="zh-CN"/>
        </w:rPr>
        <w:t>仁化县三佳畜牧有限公司位于广东省韶关市仁化县丹霞街道高联村寨下组，主要从事生猪养殖。根据中央和国家机关发电《自然资源部办公厅关于保障生猪养殖用地有关问题的通知》（自然资电发</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39号）和生态环境部办公厅&amp;农业农村部办公厅文件《关于进一步规范畜禽养殖禁养区划定和管理促进生猪生产发展的通知》（环办土壤</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55号）指示精神，当前我国受非洲猪瘟疫情冲击导致生猪存栏下降，产能下滑，稳产保供形势严峻。为了稳定生猪的生产，保证猪肉市场长期稳定，契合国家发展大型养殖场的政策，稳定猪价，充分利用土地资源，韶关市仁化县三佳畜牧有限公司拟投资1280万元建设高联村寨下组现代高效化养猪场建设项目，建设后可年出栏瘦肉型生猪1.8万头。</w:t>
      </w:r>
    </w:p>
    <w:p>
      <w:pPr>
        <w:pStyle w:val="8"/>
        <w:rPr>
          <w:rFonts w:hint="eastAsia"/>
          <w:lang w:val="en-US" w:eastAsia="zh-CN"/>
        </w:rPr>
        <w:sectPr>
          <w:headerReference r:id="rId7" w:type="default"/>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lang w:val="en-US" w:eastAsia="zh-CN"/>
        </w:rPr>
        <w:t>根据《中华人民共和国环境保护法》（2015年1月1日）、《中华人民共和国环境影响评价法》（2018年12月29日）、国务院令第682号《建设项目环境保护管理条例》等有关要求，本项目的建设必须执行环境影响评价制度。根据《建设项目环境影响评价分类管理名录》（2018年4月28日、环境保护部令 第44号、生态环境部令 第1号），本项目属于“一、畜牧业”中的“1.畜禽养殖场、养殖小区”中的“年出栏生猪5000头及以上”，应当编制环境影响报告书。为此，韶关市仁化县三佳畜牧有限公司于2020年3月委托湖北丰桐环保科技有限公司承担韶关市仁化县三佳畜牧有限公司高联村寨下组现代高效化养猪场建设项目（下称本项目）的环境影响评价工作。环评单位在接受委托后，立即收集了相关资料，对本项目拟定现场开展现场踏勘、调查，并开展必要的环境现状监测，经过资料整理和模式运算，对本项目所造成的环境影响进行分析、预测和评价，提出减少环境影响应采取的措施，在此基础上编制了《韶关市仁化县三佳畜牧有限公司高联村寨下组现代高效化养猪场建设项目环境影响报告书》。</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drawing>
          <wp:inline distT="0" distB="0" distL="114300" distR="114300">
            <wp:extent cx="5249545" cy="4183380"/>
            <wp:effectExtent l="15875" t="15875" r="22860" b="22225"/>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2"/>
                    <pic:cNvPicPr>
                      <a:picLocks noChangeAspect="1"/>
                    </pic:cNvPicPr>
                  </pic:nvPicPr>
                  <pic:blipFill>
                    <a:blip r:embed="rId14"/>
                    <a:stretch>
                      <a:fillRect/>
                    </a:stretch>
                  </pic:blipFill>
                  <pic:spPr>
                    <a:xfrm>
                      <a:off x="0" y="0"/>
                      <a:ext cx="5249545" cy="4183380"/>
                    </a:xfrm>
                    <a:prstGeom prst="rect">
                      <a:avLst/>
                    </a:prstGeom>
                    <a:noFill/>
                    <a:ln w="15875">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图1.1-1  项目地理位置示意图</w:t>
      </w:r>
    </w:p>
    <w:p>
      <w:pPr>
        <w:pStyle w:val="4"/>
      </w:pPr>
      <w:bookmarkStart w:id="7" w:name="_Toc12618"/>
      <w:r>
        <w:rPr>
          <w:rFonts w:hint="eastAsia"/>
          <w:lang w:eastAsia="zh-CN"/>
        </w:rPr>
        <w:t>项目建设特点</w:t>
      </w:r>
      <w:bookmarkEnd w:id="7"/>
    </w:p>
    <w:p>
      <w:pPr>
        <w:pStyle w:val="8"/>
        <w:rPr>
          <w:rFonts w:hint="eastAsia"/>
          <w:lang w:val="en-US" w:eastAsia="zh-CN"/>
        </w:rPr>
      </w:pPr>
      <w:r>
        <w:rPr>
          <w:rFonts w:hint="eastAsia"/>
          <w:lang w:val="en-US" w:eastAsia="zh-CN"/>
        </w:rPr>
        <w:t>根据现场调查，项目所在地不在生活饮用水水源保护区范围；不涉及风景名胜区、自然保护区；不属于城市和城镇居民区等人口集中地区；不属于国家或地方法律、法规规定需特殊保护的其它区域。项目位于韶关市人民政府依法划定的适养区，从项目周围环境状况和周边村民居住区分布情况看，本项目选址符合《畜禽养殖业污染防治技术规范》（HJ/T81-2001）、《畜禽规模养殖场粪污资源化利用设施建设规范（试行）》（农办牧〔2018〕2号）中的选址要求。</w:t>
      </w:r>
    </w:p>
    <w:p>
      <w:pPr>
        <w:pStyle w:val="8"/>
        <w:rPr>
          <w:rFonts w:hint="eastAsia"/>
          <w:lang w:val="en-US" w:eastAsia="zh-CN"/>
        </w:rPr>
      </w:pPr>
      <w:r>
        <w:rPr>
          <w:rFonts w:hint="eastAsia"/>
          <w:lang w:val="en-US" w:eastAsia="zh-CN"/>
        </w:rPr>
        <w:t>项目施工和生产运营过程中将产生一定量的废水、废气、噪声和固体废物，根据建设项目排放的主要污染因子以及场址的地理位置、气象因素，环评重点为生产过程中废气、废水、噪声以及固废对环境的影响。</w:t>
      </w:r>
    </w:p>
    <w:p>
      <w:pPr>
        <w:pStyle w:val="4"/>
      </w:pPr>
      <w:bookmarkStart w:id="8" w:name="_Toc28694"/>
      <w:r>
        <w:rPr>
          <w:rFonts w:hint="eastAsia"/>
          <w:lang w:eastAsia="zh-CN"/>
        </w:rPr>
        <w:t>环境影响评价的工作过程</w:t>
      </w:r>
      <w:bookmarkEnd w:id="8"/>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韶关市仁化县三佳畜牧有限公司高联村寨下组现代高效化养猪场建设项目的环境影响评价主要工作过程为：接受委托→确定环境影响评价文件类型→收集资料→初步工程分析→环境现状调查→环境质量现状监测→污染源分析→环境影响预测评价→提出环境保护措施并进行经济技术可行性论证→分析论证项目建设及选址合理合法性→编制环境影响报告书→环境技术中心评审→报环境保护行政主管部门审批。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按照《建设项目环境影响评价技术导则 总纲》（HJ2.1-2016）的要求，建设项目环评的工作分为三个阶段，即调查分析和工作方案制定阶段，分析论证和预测评价阶段，环境影响报告书编制阶段，具体程序流程见下图。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rPr>
          <w:sz w:val="21"/>
          <w:szCs w:val="21"/>
        </w:rPr>
        <w:drawing>
          <wp:inline distT="0" distB="0" distL="114300" distR="114300">
            <wp:extent cx="5273040" cy="5027930"/>
            <wp:effectExtent l="0" t="0" r="3810" b="12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15"/>
                    <a:stretch>
                      <a:fillRect/>
                    </a:stretch>
                  </pic:blipFill>
                  <pic:spPr>
                    <a:xfrm>
                      <a:off x="0" y="0"/>
                      <a:ext cx="5273040" cy="5027930"/>
                    </a:xfrm>
                    <a:prstGeom prst="rect">
                      <a:avLst/>
                    </a:prstGeom>
                    <a:noFill/>
                    <a:ln>
                      <a:no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图1.</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-1  项目环境影响评价工作程序示意图</w:t>
      </w:r>
    </w:p>
    <w:p>
      <w:pPr>
        <w:pStyle w:val="4"/>
      </w:pPr>
      <w:bookmarkStart w:id="9" w:name="_Toc26151"/>
      <w:r>
        <w:rPr>
          <w:rFonts w:hint="eastAsia"/>
          <w:lang w:eastAsia="zh-CN"/>
        </w:rPr>
        <w:t>分析判定相关情况</w:t>
      </w:r>
      <w:bookmarkEnd w:id="9"/>
    </w:p>
    <w:p>
      <w:pPr>
        <w:pStyle w:val="5"/>
        <w:ind w:firstLine="562"/>
      </w:pPr>
      <w:r>
        <w:rPr>
          <w:rFonts w:hint="eastAsia"/>
          <w:lang w:eastAsia="zh-CN"/>
        </w:rPr>
        <w:t>产业政策分析</w:t>
      </w:r>
    </w:p>
    <w:p>
      <w:pPr>
        <w:pStyle w:val="6"/>
      </w:pPr>
      <w:r>
        <w:rPr>
          <w:rFonts w:hint="eastAsia"/>
        </w:rPr>
        <w:t xml:space="preserve">与《产业结构调整指导目录（2019年本）》符合性分析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本项目为生猪养殖，猪只的饲养过程中不使用任何抗生素或化学抗菌药物，包括有机砷制剂；不使用高铜、国家禁止的药物，包括瘦肉精、莱克多巴胺和镇定剂等，改用益生菌，属于《产业结构调整指导目录（2019年本）》第一类鼓励类农林业第4条“畜禽标准化规模养殖技术开发与应用”项目，属于鼓励类项目。 </w:t>
      </w:r>
    </w:p>
    <w:p>
      <w:pPr>
        <w:pStyle w:val="6"/>
      </w:pPr>
      <w:r>
        <w:rPr>
          <w:rFonts w:hint="eastAsia"/>
        </w:rPr>
        <w:t xml:space="preserve">与《市场准入负面清单（2019年版）》符合性分析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根据《市场准入负面清单（2019年版）》，本项目为生猪养殖，不位于负面清单里面，无禁止或许可事项，故本项目的建设符合《市场准入负面清单（2019年版）》的相关要求。 </w:t>
      </w:r>
    </w:p>
    <w:p>
      <w:pPr>
        <w:pStyle w:val="5"/>
        <w:ind w:firstLine="562"/>
      </w:pPr>
      <w:r>
        <w:rPr>
          <w:rFonts w:hint="eastAsia"/>
          <w:lang w:eastAsia="zh-CN"/>
        </w:rPr>
        <w:t>环保规划相符性分析</w:t>
      </w:r>
    </w:p>
    <w:p>
      <w:pPr>
        <w:pStyle w:val="6"/>
      </w:pPr>
      <w:r>
        <w:rPr>
          <w:rFonts w:hint="eastAsia"/>
        </w:rPr>
        <w:t xml:space="preserve">与《关于做好畜禽规模养殖项目环境影响评价管理工作的通知》符合性分析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关于做好畜禽规模养殖项目环境影响评价管理工作的通知》（环办环评[2018]31号）的要求，本项目选址符合相关规划要求，不位于禁养区，不位于水源保护区等敏感区，项目粪污源化利用，加强畜禽养殖粪污资源化利用过程中的污染控制，与《关于做好畜禽规模养殖项目环境影响评价管理工作的通知》相符。 </w:t>
      </w:r>
    </w:p>
    <w:p>
      <w:pPr>
        <w:pStyle w:val="6"/>
      </w:pPr>
      <w:r>
        <w:rPr>
          <w:rFonts w:hint="eastAsia"/>
        </w:rPr>
        <w:t xml:space="preserve">与《韶关市生猪和家禽生产发展规划和布局（2008-2020）》符合性分析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生猪和家禽生产发展规划和布局（2008-2020）》，生猪生产总体布局分为主城郊区、平原区、山区。区域发展的战略是：提高主城郊区发展水平，加快发展平原区，稳定发展山区，推进养猪生产的区域化、专业化、规模化和标准化。主城郊区包括武江区、浈江区、曲江区。利用其区位优势、市场优势、经济基础好等有利条件，加快养猪业产业化进程，率先实现养猪产业现代化。平原区包括乐昌市南部、南雄市、仁化县、始兴县。山区包括乳源瑶族自治县、新丰县，利用其生态环境及国家扶贫开展支持等有利条件，发展特色养猪业。本项目位于韶关市仁化县丹霞街道高联村寨下组，属于平原区，为新建项目，采用先进的粪污处理设备和技术，发展规模化养殖业。因此本项目的建设符合《韶关市生猪和家禽生产发展规划和布局（2008-2020）》。 </w:t>
      </w:r>
    </w:p>
    <w:p>
      <w:pPr>
        <w:pStyle w:val="6"/>
      </w:pPr>
      <w:r>
        <w:rPr>
          <w:rFonts w:hint="eastAsia"/>
        </w:rPr>
        <w:t>与《</w:t>
      </w:r>
      <w:r>
        <w:rPr>
          <w:rFonts w:hint="eastAsia"/>
          <w:lang w:eastAsia="zh-CN"/>
        </w:rPr>
        <w:t>韶关市仁化县</w:t>
      </w:r>
      <w:r>
        <w:rPr>
          <w:rFonts w:hint="eastAsia"/>
        </w:rPr>
        <w:t xml:space="preserve">畜禽养殖禁养区、限养区和适养区划定方案》符合性分析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仁化县畜禽养殖禁养区、限养区和适养区划定方案》，禁养区（一）内禁止建设畜禽养殖项目。已建成的畜禽养殖项目，由县政府相关部门依法责令限期搬迁或关闭；禁养区（二）内禁止建设有污染物排放的畜禽养殖项目（注：畜禽粪便、养殖废水、沼渣、沼液等经过无害化处理用作肥料还田，符合法律法规要求以及国家和地方相关标准不造成环境污染的，不属于排放污染物）。已建成的有污染物排放的畜禽养殖项目，由县政府相关部门依法责令限期升级改造为不排放污染物、搬迁或关闭；禁养区（三）内禁止建设畜禽养殖场。已建成的畜禽养殖场，由县政府相关部门依法责令限期搬迁或关闭。限养区内禁止新建有污染物排放的畜禽养殖场，现有畜禽养殖场改、扩建不得增加污染物排放量。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禁养区：（一）饮用水水源保护区：自然保护区核心区和缓冲区；风景名胜区；（二）仁化县城市总体规划（2010~2030）中的城市建成区，丹霞街道、董塘镇、石塘镇、长江镇、扶溪镇、闻韶镇、城口镇、红山镇、周田镇、黄坑镇、大桥镇镇区范围；（三）《广东省环境保护规划纲要（2006~2020年）》所划定生态严格控制区；法律法规对顶的其他禁止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限养区：1、主干道（铁路、高速公路、国道、省道）两侧1000米范围内；2、丹霞山国家级自然保护区的实验区，广东仁化高坪省级自然保护区的实验区；3、丹霞山国家级风景名胜区的外围环境保护带；4、仁化县城市总体规划（2010~2030）中城市建成区和丹霞街道、董塘镇、石塘镇、长江镇、扶溪镇、闻韶镇、城口镇、红山镇、周田镇、黄坑镇、大桥镇镇区范围外延500米范围；5、锦江、浈江河岸线两侧1000米范围（已列入禁养区范围的除外）；6、超过土地承载力的区域；7、其他不宜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适养区：除禁养区、限养区以外的区域。</w:t>
      </w:r>
    </w:p>
    <w:p>
      <w:pPr>
        <w:pStyle w:val="8"/>
        <w:rPr>
          <w:rFonts w:hint="eastAsia"/>
          <w:lang w:val="en-US" w:eastAsia="zh-CN"/>
        </w:rPr>
      </w:pPr>
      <w:r>
        <w:rPr>
          <w:rFonts w:hint="eastAsia"/>
          <w:lang w:val="en-US" w:eastAsia="zh-CN"/>
        </w:rPr>
        <w:t>本次新建项目位于适养区范围内，不在《韶关市仁化县畜禽养殖禁养区、限养区和适养区划定方案》所规定的禁养区、限养区范围内，项目选址符合区划方案的要求，详见下图。</w:t>
      </w:r>
    </w:p>
    <w:p>
      <w:pPr>
        <w:pStyle w:val="8"/>
        <w:ind w:left="0" w:leftChars="0" w:firstLine="0" w:firstLineChars="0"/>
        <w:rPr>
          <w:rFonts w:hint="eastAsia"/>
          <w:lang w:val="en-US" w:eastAsia="zh-CN"/>
        </w:rPr>
      </w:pPr>
      <w:r>
        <w:drawing>
          <wp:inline distT="0" distB="0" distL="114300" distR="114300">
            <wp:extent cx="5210175" cy="4200525"/>
            <wp:effectExtent l="12700" t="12700" r="15875" b="15875"/>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16"/>
                    <a:stretch>
                      <a:fillRect/>
                    </a:stretch>
                  </pic:blipFill>
                  <pic:spPr>
                    <a:xfrm>
                      <a:off x="0" y="0"/>
                      <a:ext cx="5210175" cy="4200525"/>
                    </a:xfrm>
                    <a:prstGeom prst="rect">
                      <a:avLst/>
                    </a:prstGeom>
                    <a:noFill/>
                    <a:ln w="12700">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color w:val="000000"/>
          <w:sz w:val="21"/>
          <w:szCs w:val="21"/>
        </w:rPr>
        <w:t>图1.</w:t>
      </w:r>
      <w:r>
        <w:rPr>
          <w:rFonts w:hint="default" w:ascii="Times New Roman" w:hAnsi="Times New Roman" w:eastAsia="宋体" w:cs="Times New Roman"/>
          <w:b/>
          <w:bCs/>
          <w:color w:val="000000"/>
          <w:sz w:val="21"/>
          <w:szCs w:val="21"/>
          <w:lang w:val="en-US" w:eastAsia="zh-CN"/>
        </w:rPr>
        <w:t>4</w:t>
      </w:r>
      <w:r>
        <w:rPr>
          <w:rFonts w:hint="default" w:ascii="Times New Roman" w:hAnsi="Times New Roman" w:eastAsia="宋体" w:cs="Times New Roman"/>
          <w:b/>
          <w:bCs/>
          <w:color w:val="000000"/>
          <w:sz w:val="21"/>
          <w:szCs w:val="21"/>
        </w:rPr>
        <w:t xml:space="preserve">-1 </w:t>
      </w:r>
      <w:r>
        <w:rPr>
          <w:rFonts w:hint="default"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项目所在地的三区划定图</w:t>
      </w:r>
    </w:p>
    <w:p>
      <w:pPr>
        <w:pStyle w:val="6"/>
      </w:pPr>
      <w:r>
        <w:rPr>
          <w:rFonts w:hint="eastAsia"/>
        </w:rPr>
        <w:t xml:space="preserve">与《广东省饮用水源水质保护条例》符合性分析 </w:t>
      </w:r>
    </w:p>
    <w:p>
      <w:pPr>
        <w:pStyle w:val="8"/>
        <w:rPr>
          <w:rFonts w:hint="eastAsia"/>
          <w:lang w:val="en-US" w:eastAsia="zh-CN"/>
        </w:rPr>
      </w:pPr>
      <w:r>
        <w:rPr>
          <w:rFonts w:hint="eastAsia"/>
          <w:lang w:val="en-US" w:eastAsia="zh-CN"/>
        </w:rPr>
        <w:t>《广东省饮用水源水质保护条例》第十五条规定：饮用水地表水源保护区内禁止设置畜禽养殖场、养殖小区。本项目不在饮用水源保护区内，符合《广东省饮用水源水质保护条例》。</w:t>
      </w:r>
    </w:p>
    <w:p>
      <w:pPr>
        <w:pStyle w:val="6"/>
      </w:pPr>
      <w:r>
        <w:rPr>
          <w:rFonts w:hint="eastAsia"/>
        </w:rPr>
        <w:t xml:space="preserve">与《畜禽养殖业污染防治技术规范》、《畜禽规模养殖场粪污资源化利用设施建设规范（试行）》（农办牧〔2018〕2 号）符合性分析 </w:t>
      </w:r>
    </w:p>
    <w:p>
      <w:pPr>
        <w:pStyle w:val="8"/>
        <w:rPr>
          <w:rFonts w:hint="eastAsia"/>
          <w:lang w:val="en-US" w:eastAsia="zh-CN"/>
        </w:rPr>
      </w:pPr>
      <w:r>
        <w:rPr>
          <w:rFonts w:hint="eastAsia"/>
          <w:lang w:val="en-US" w:eastAsia="zh-CN"/>
        </w:rPr>
        <w:t>《畜禽养殖业污染防治技术规范》（HJ/T81-2001）规定畜禽粪便贮存设施的位置必须远离各类地表水体（距离不得小于400m），并设在养殖场生产及生活管理区的常年主导风向的下风向或侧方向。根据现场勘查，项目附近主要水体为锦江，</w:t>
      </w:r>
      <w:r>
        <w:rPr>
          <w:rFonts w:hint="eastAsia"/>
          <w:highlight w:val="none"/>
          <w:shd w:val="clear"/>
          <w:lang w:val="en-US" w:eastAsia="zh-CN"/>
        </w:rPr>
        <w:t>与锦江的距离为5.6km</w:t>
      </w:r>
      <w:r>
        <w:rPr>
          <w:rFonts w:hint="eastAsia"/>
          <w:lang w:val="en-US" w:eastAsia="zh-CN"/>
        </w:rPr>
        <w:t>，符合《畜禽养殖业污染防治技术规范》（HJ/T81-2001）要求。</w:t>
      </w:r>
    </w:p>
    <w:p>
      <w:pPr>
        <w:pStyle w:val="8"/>
        <w:rPr>
          <w:rFonts w:hint="eastAsia"/>
          <w:lang w:val="en-US" w:eastAsia="zh-CN"/>
        </w:rPr>
      </w:pPr>
      <w:r>
        <w:rPr>
          <w:rFonts w:hint="eastAsia"/>
          <w:lang w:val="en-US" w:eastAsia="zh-CN"/>
        </w:rPr>
        <w:t>《畜禽养殖业污染防治技术规范》第7条指出：畜禽粪便必须经过无害化处理，并且须符合《粪便无害化卫生标准》后，才能进行土地利用，禁止未经处理的畜禽粪便直接施入农田。本项目产生的猪粪经“异位发酵床”制成有机肥外售</w:t>
      </w:r>
      <w:r>
        <w:rPr>
          <w:rFonts w:hint="eastAsia"/>
          <w:highlight w:val="none"/>
          <w:lang w:val="en-US" w:eastAsia="zh-CN"/>
        </w:rPr>
        <w:t>，不外排，</w:t>
      </w:r>
      <w:r>
        <w:rPr>
          <w:rFonts w:hint="eastAsia"/>
          <w:lang w:val="en-US" w:eastAsia="zh-CN"/>
        </w:rPr>
        <w:t>符合《畜禽养殖业污染防治技术规范》（HJ/T81-2001）要求。</w:t>
      </w:r>
    </w:p>
    <w:p>
      <w:pPr>
        <w:pStyle w:val="6"/>
      </w:pPr>
      <w:r>
        <w:rPr>
          <w:rFonts w:hint="eastAsia"/>
        </w:rPr>
        <w:t xml:space="preserve">与《韶关市环境保护纲要（2006-2020年）》符合性分析 </w:t>
      </w:r>
    </w:p>
    <w:p>
      <w:pPr>
        <w:pStyle w:val="8"/>
        <w:rPr>
          <w:rFonts w:hint="eastAsia"/>
          <w:lang w:val="en-US" w:eastAsia="zh-CN"/>
        </w:rPr>
      </w:pPr>
      <w:r>
        <w:rPr>
          <w:rFonts w:hint="eastAsia"/>
          <w:lang w:val="en-US" w:eastAsia="zh-CN"/>
        </w:rPr>
        <w:t>《韶关市环境保护纲要（2006-2020年）》提出控制畜禽养殖场的规模，提倡户用沼气，实现充分、有效和环保利用畜禽粪便。重点发展资源利用型畜牧业，建设新型生猪饲养基地，推行规模化集中养殖，努力实现生产全过程的物质流管理。本项目采用干清粪工艺，将人工或机械搜集的猪粪经“异位发酵床”发酵处理后外售，不外排，充分将粪便资源合理化，因此本项目的建设符合《韶关市环境保护规划纲要（2006-2020年）》。</w:t>
      </w:r>
    </w:p>
    <w:p>
      <w:pPr>
        <w:pStyle w:val="6"/>
      </w:pPr>
      <w:r>
        <w:rPr>
          <w:rFonts w:hint="eastAsia"/>
        </w:rPr>
        <w:t xml:space="preserve">与《韶关市国民经济和社会发展第十三个五年规划纲要》符合性分析 </w:t>
      </w:r>
    </w:p>
    <w:p>
      <w:pPr>
        <w:pStyle w:val="8"/>
        <w:rPr>
          <w:rFonts w:hint="eastAsia"/>
          <w:lang w:val="en-US" w:eastAsia="zh-CN"/>
        </w:rPr>
      </w:pPr>
      <w:r>
        <w:rPr>
          <w:rFonts w:hint="eastAsia"/>
          <w:lang w:val="en-US" w:eastAsia="zh-CN"/>
        </w:rPr>
        <w:t>《韶关市国民经济和社会发展第十三个五年规划纲要》提出加强畜禽养殖污染防治，严禁在水资源保护区、生态敏感区新建、扩建、改建规模化畜禽养殖场，本项目不在水源保护区、畜禽禁养区内，畜禽废水达标处理后用于农业、林业灌溉，不直接向环境水体排放，因此本项目的建设符合《韶关市国民经济和社会发展第十三个五年规划纲要》。</w:t>
      </w:r>
    </w:p>
    <w:p>
      <w:pPr>
        <w:pStyle w:val="6"/>
      </w:pPr>
      <w:r>
        <w:rPr>
          <w:rFonts w:hint="eastAsia"/>
        </w:rPr>
        <w:t xml:space="preserve">与“三线一单”符合性分析 </w:t>
      </w:r>
    </w:p>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spacing w:before="0" w:after="0" w:line="240" w:lineRule="auto"/>
        <w:ind w:left="0" w:leftChars="0"/>
        <w:jc w:val="center"/>
        <w:textAlignment w:val="baseline"/>
        <w:outlineLvl w:val="9"/>
        <w:rPr>
          <w:rFonts w:hint="default" w:ascii="Times New Roman" w:hAnsi="Times New Roman" w:eastAsia="宋体" w:cs="Times New Roman"/>
          <w:b/>
          <w:bCs/>
        </w:rPr>
      </w:pPr>
      <w:r>
        <w:rPr>
          <w:rFonts w:hint="default" w:ascii="Times New Roman" w:hAnsi="Times New Roman" w:eastAsia="宋体" w:cs="Times New Roman"/>
          <w:b/>
          <w:bCs/>
        </w:rPr>
        <w:t>表 1.</w:t>
      </w:r>
      <w:r>
        <w:rPr>
          <w:rFonts w:hint="eastAsia" w:ascii="Times New Roman" w:hAnsi="Times New Roman" w:cs="Times New Roman"/>
          <w:b/>
          <w:bCs/>
          <w:lang w:val="en-US" w:eastAsia="zh-CN"/>
        </w:rPr>
        <w:t>4</w:t>
      </w:r>
      <w:r>
        <w:rPr>
          <w:rFonts w:hint="default" w:ascii="Times New Roman" w:hAnsi="Times New Roman" w:eastAsia="宋体" w:cs="Times New Roman"/>
          <w:b/>
          <w:bCs/>
        </w:rPr>
        <w:t>-1“三线一单”符合性分析</w:t>
      </w:r>
    </w:p>
    <w:tbl>
      <w:tblPr>
        <w:tblStyle w:val="63"/>
        <w:tblW w:w="4999"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1373"/>
        <w:gridCol w:w="6931"/>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82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内容</w:t>
            </w:r>
          </w:p>
        </w:tc>
        <w:tc>
          <w:tcPr>
            <w:tcW w:w="417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符合性分析</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935" w:hRule="atLeast"/>
        </w:trPr>
        <w:tc>
          <w:tcPr>
            <w:tcW w:w="82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生态保护红线</w:t>
            </w:r>
          </w:p>
        </w:tc>
        <w:tc>
          <w:tcPr>
            <w:tcW w:w="417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本项目位于</w:t>
            </w:r>
            <w:r>
              <w:rPr>
                <w:rFonts w:hint="default" w:ascii="Times New Roman" w:hAnsi="Times New Roman" w:eastAsia="宋体" w:cs="Times New Roman"/>
                <w:spacing w:val="-8"/>
                <w:sz w:val="21"/>
                <w:szCs w:val="21"/>
                <w:lang w:val="en-US" w:eastAsia="zh-CN"/>
              </w:rPr>
              <w:t>仁化县丹霞街道高联村寨下组</w:t>
            </w:r>
            <w:r>
              <w:rPr>
                <w:rFonts w:hint="default" w:ascii="Times New Roman" w:hAnsi="Times New Roman" w:eastAsia="宋体" w:cs="Times New Roman"/>
                <w:spacing w:val="-8"/>
                <w:sz w:val="21"/>
                <w:szCs w:val="21"/>
                <w:highlight w:val="none"/>
              </w:rPr>
              <w:t>，根据图</w:t>
            </w:r>
            <w:r>
              <w:rPr>
                <w:rFonts w:hint="default" w:ascii="Times New Roman" w:hAnsi="Times New Roman" w:eastAsia="宋体" w:cs="Times New Roman"/>
                <w:sz w:val="21"/>
                <w:szCs w:val="21"/>
                <w:highlight w:val="none"/>
              </w:rPr>
              <w:t>2.3-1</w:t>
            </w:r>
            <w:r>
              <w:rPr>
                <w:rFonts w:hint="default" w:ascii="Times New Roman" w:hAnsi="Times New Roman" w:eastAsia="宋体" w:cs="Times New Roman"/>
                <w:spacing w:val="-22"/>
                <w:sz w:val="21"/>
                <w:szCs w:val="21"/>
                <w:highlight w:val="none"/>
              </w:rPr>
              <w:t xml:space="preserve">至 </w:t>
            </w:r>
            <w:r>
              <w:rPr>
                <w:rFonts w:hint="default" w:ascii="Times New Roman" w:hAnsi="Times New Roman" w:eastAsia="宋体" w:cs="Times New Roman"/>
                <w:sz w:val="21"/>
                <w:szCs w:val="21"/>
                <w:highlight w:val="none"/>
              </w:rPr>
              <w:t>2.3-</w:t>
            </w:r>
            <w:r>
              <w:rPr>
                <w:rFonts w:hint="eastAsia" w:ascii="Times New Roman" w:hAnsi="Times New Roman" w:cs="Times New Roman"/>
                <w:sz w:val="21"/>
                <w:szCs w:val="21"/>
                <w:highlight w:val="none"/>
                <w:lang w:val="en-US" w:eastAsia="zh-CN"/>
              </w:rPr>
              <w:t>5</w:t>
            </w:r>
            <w:r>
              <w:rPr>
                <w:rFonts w:hint="default" w:ascii="Times New Roman" w:hAnsi="Times New Roman" w:eastAsia="宋体" w:cs="Times New Roman"/>
                <w:spacing w:val="-7"/>
                <w:sz w:val="21"/>
                <w:szCs w:val="21"/>
                <w:highlight w:val="none"/>
              </w:rPr>
              <w:t>分析，项</w:t>
            </w:r>
            <w:r>
              <w:rPr>
                <w:rFonts w:hint="default" w:ascii="Times New Roman" w:hAnsi="Times New Roman" w:eastAsia="宋体" w:cs="Times New Roman"/>
                <w:spacing w:val="-7"/>
                <w:sz w:val="21"/>
                <w:szCs w:val="21"/>
              </w:rPr>
              <w:t>目不涉及广东省划</w:t>
            </w:r>
            <w:r>
              <w:rPr>
                <w:rFonts w:hint="default" w:ascii="Times New Roman" w:hAnsi="Times New Roman" w:eastAsia="宋体" w:cs="Times New Roman"/>
                <w:spacing w:val="-6"/>
                <w:sz w:val="21"/>
                <w:szCs w:val="21"/>
              </w:rPr>
              <w:t>定的生态保护红线、周边无自然保护区、饮用水源保护区等生态保护目标，符合生</w:t>
            </w:r>
            <w:r>
              <w:rPr>
                <w:rFonts w:hint="default" w:ascii="Times New Roman" w:hAnsi="Times New Roman" w:eastAsia="宋体" w:cs="Times New Roman"/>
                <w:sz w:val="21"/>
                <w:szCs w:val="21"/>
              </w:rPr>
              <w:t>态保护红线要求。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资源利用上线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本项目营运过程中消耗一定量的电源、水资源等资源消耗，项目资源消耗量相对区域资源，利用总量较少，符合资源利用上线要求。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环境质量底线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本项目附近地表水环境、地下水环境、大气环境、声环境质量能够满足相应的标准要求。因此，本项目符合环境质量底线。</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5"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负面清单</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本项目位于</w:t>
            </w:r>
            <w:r>
              <w:rPr>
                <w:rFonts w:hint="default" w:ascii="Times New Roman" w:hAnsi="Times New Roman" w:eastAsia="宋体" w:cs="Times New Roman"/>
                <w:sz w:val="21"/>
                <w:szCs w:val="21"/>
                <w:lang w:val="en-US" w:eastAsia="zh-CN"/>
              </w:rPr>
              <w:t>仁化县丹霞街道高联村寨下组</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highlight w:val="none"/>
              </w:rPr>
              <w:t>属于</w:t>
            </w:r>
            <w:r>
              <w:rPr>
                <w:rFonts w:hint="eastAsia" w:ascii="Times New Roman" w:hAnsi="Times New Roman" w:cs="Times New Roman"/>
                <w:sz w:val="21"/>
                <w:szCs w:val="21"/>
                <w:highlight w:val="none"/>
                <w:lang w:eastAsia="zh-CN"/>
              </w:rPr>
              <w:t>仁化北部山地生物多样性保护与水源涵养</w:t>
            </w:r>
            <w:r>
              <w:rPr>
                <w:rFonts w:hint="default" w:ascii="Times New Roman" w:hAnsi="Times New Roman" w:eastAsia="宋体" w:cs="Times New Roman"/>
                <w:sz w:val="21"/>
                <w:szCs w:val="21"/>
                <w:highlight w:val="none"/>
              </w:rPr>
              <w:t>生态功能区，</w:t>
            </w:r>
            <w:r>
              <w:rPr>
                <w:rFonts w:hint="default" w:ascii="Times New Roman" w:hAnsi="Times New Roman" w:eastAsia="宋体" w:cs="Times New Roman"/>
                <w:sz w:val="21"/>
                <w:szCs w:val="21"/>
              </w:rPr>
              <w:t>不在该功能区的负面清单内。</w:t>
            </w:r>
          </w:p>
        </w:tc>
      </w:tr>
    </w:tbl>
    <w:p>
      <w:pPr>
        <w:pStyle w:val="5"/>
        <w:ind w:firstLine="562"/>
      </w:pPr>
      <w:r>
        <w:rPr>
          <w:rFonts w:hint="eastAsia"/>
          <w:lang w:eastAsia="zh-CN"/>
        </w:rPr>
        <w:t>项目用地合法合理性分析</w:t>
      </w:r>
    </w:p>
    <w:p>
      <w:pPr>
        <w:pStyle w:val="8"/>
        <w:rPr>
          <w:rFonts w:hint="eastAsia"/>
          <w:lang w:val="en-US" w:eastAsia="zh-CN"/>
        </w:rPr>
      </w:pPr>
      <w:r>
        <w:rPr>
          <w:rFonts w:hint="eastAsia"/>
          <w:lang w:val="en-US" w:eastAsia="zh-CN"/>
        </w:rPr>
        <w:t>本项目位于韶关市仁化县丹霞街道高联村寨下</w:t>
      </w:r>
      <w:r>
        <w:rPr>
          <w:rFonts w:hint="eastAsia"/>
          <w:highlight w:val="none"/>
          <w:lang w:val="en-US" w:eastAsia="zh-CN"/>
        </w:rPr>
        <w:t>组，根据用地协议，本项</w:t>
      </w:r>
      <w:r>
        <w:rPr>
          <w:rFonts w:hint="eastAsia"/>
          <w:lang w:val="en-US" w:eastAsia="zh-CN"/>
        </w:rPr>
        <w:t>目用地类型为设施农用地、林地，不占基本农田，项目用地合法合理。</w:t>
      </w:r>
    </w:p>
    <w:p>
      <w:pPr>
        <w:pStyle w:val="4"/>
      </w:pPr>
      <w:bookmarkStart w:id="10" w:name="_Toc18883"/>
      <w:r>
        <w:t>关注的主要环境问题及环境影响</w:t>
      </w:r>
      <w:bookmarkEnd w:id="10"/>
    </w:p>
    <w:p>
      <w:pPr>
        <w:pStyle w:val="8"/>
        <w:rPr>
          <w:rFonts w:hint="eastAsia"/>
          <w:lang w:val="en-US" w:eastAsia="zh-CN"/>
        </w:rPr>
      </w:pPr>
      <w:r>
        <w:rPr>
          <w:rFonts w:hint="eastAsia"/>
          <w:lang w:val="en-US" w:eastAsia="zh-CN"/>
        </w:rPr>
        <w:t>本项目关注的主要环境问题：养殖废水治理措施及对周边环境的影响，养殖废水零排放的可行性分析；养殖废气对周边敏感目标的影响；畜禽粪便处理措施的合理性等。</w:t>
      </w:r>
    </w:p>
    <w:p>
      <w:pPr>
        <w:pStyle w:val="4"/>
      </w:pPr>
      <w:bookmarkStart w:id="11" w:name="_Toc30193"/>
      <w:r>
        <w:t>环境影响评价的主要结论</w:t>
      </w:r>
      <w:bookmarkEnd w:id="11"/>
    </w:p>
    <w:p>
      <w:pPr>
        <w:pStyle w:val="8"/>
        <w:rPr>
          <w:rFonts w:hint="eastAsia"/>
          <w:lang w:val="en-US" w:eastAsia="zh-CN"/>
        </w:rPr>
      </w:pPr>
      <w:r>
        <w:rPr>
          <w:rFonts w:hint="eastAsia"/>
          <w:lang w:val="en-US" w:eastAsia="zh-CN"/>
        </w:rPr>
        <w:t>本项目选址合理；项目建设符合国家和地方产业政策，项目完成后有较高的社会、经济效益；加强管理及采取各项污染防治措施可有效实现污染物达标排放；项目周围的环境质量现状良好，总体来说能满足环境功能的要求；经项目环境影响分析结果可知，项目建成运营后，产生的废水、废气等污染物通过加强管理及采取各项污染防治措施可有效实现污染物达标排放，污染物的排放满足环境容量的限制要求，不改变所在地区的环境功能属性；项目周围的环境质量现状良好，总体来说能满足环境功能的要求；事故环境风险处于可接受水平；环保投资可基本满足环保设施建设的需要，能实现环境效益与经济效益的统一，周围群众对项目建设基本持支持态度。</w:t>
      </w:r>
    </w:p>
    <w:p>
      <w:pPr>
        <w:pStyle w:val="8"/>
        <w:rPr>
          <w:rFonts w:hint="eastAsia"/>
          <w:b/>
          <w:bCs/>
          <w:lang w:val="en-US" w:eastAsia="zh-CN"/>
        </w:rPr>
      </w:pPr>
      <w:r>
        <w:rPr>
          <w:rFonts w:hint="eastAsia"/>
          <w:lang w:val="en-US" w:eastAsia="zh-CN"/>
        </w:rPr>
        <w:t>本项目保证严格执行我国建设项目环境保护“三同时”制度、对各项污染防治措施和本报告书中提出的各项环境保护对策建议切实逐项予以落实，并加强生产和污染治理设施的运行管理、保证各种污染物达标排放的前提下，</w:t>
      </w:r>
      <w:r>
        <w:rPr>
          <w:rFonts w:hint="eastAsia"/>
          <w:b/>
          <w:bCs/>
          <w:lang w:val="en-US" w:eastAsia="zh-CN"/>
        </w:rPr>
        <w:t>本项目的建设从环保角度而言是可行的。</w:t>
      </w: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3"/>
        <w:jc w:val="center"/>
      </w:pPr>
      <w:bookmarkStart w:id="12" w:name="_Toc13075"/>
      <w:bookmarkStart w:id="13" w:name="_Toc346282456"/>
      <w:r>
        <w:rPr>
          <w:rFonts w:hint="eastAsia"/>
          <w:lang w:eastAsia="zh-CN"/>
        </w:rPr>
        <w:t>总则</w:t>
      </w:r>
      <w:bookmarkEnd w:id="12"/>
      <w:bookmarkEnd w:id="13"/>
    </w:p>
    <w:p>
      <w:pPr>
        <w:pStyle w:val="4"/>
      </w:pPr>
      <w:bookmarkStart w:id="14" w:name="_Toc8863"/>
      <w:r>
        <w:rPr>
          <w:rFonts w:hint="eastAsia"/>
          <w:lang w:eastAsia="zh-CN"/>
        </w:rPr>
        <w:t>环境影响评价原则</w:t>
      </w:r>
      <w:bookmarkEnd w:id="14"/>
    </w:p>
    <w:p>
      <w:pPr>
        <w:pStyle w:val="8"/>
        <w:rPr>
          <w:rFonts w:hint="eastAsia"/>
          <w:color w:val="auto"/>
        </w:rPr>
      </w:pPr>
      <w:r>
        <w:rPr>
          <w:rFonts w:hint="eastAsia"/>
          <w:color w:val="auto"/>
        </w:rPr>
        <w:t>突出环境影响评价的源头预防作用，坚持保护和改善环境质量。</w:t>
      </w:r>
    </w:p>
    <w:p>
      <w:pPr>
        <w:pStyle w:val="8"/>
        <w:rPr>
          <w:rFonts w:hint="eastAsia"/>
          <w:color w:val="auto"/>
        </w:rPr>
      </w:pPr>
      <w:r>
        <w:rPr>
          <w:rFonts w:hint="eastAsia"/>
          <w:color w:val="auto"/>
          <w:lang w:val="en-US" w:eastAsia="zh-CN"/>
        </w:rPr>
        <w:t>a）</w:t>
      </w:r>
      <w:r>
        <w:rPr>
          <w:rFonts w:hint="eastAsia"/>
          <w:color w:val="auto"/>
        </w:rPr>
        <w:t>依法评价</w:t>
      </w:r>
    </w:p>
    <w:p>
      <w:pPr>
        <w:pStyle w:val="8"/>
        <w:rPr>
          <w:rFonts w:hint="eastAsia"/>
          <w:color w:val="auto"/>
        </w:rPr>
      </w:pPr>
      <w:r>
        <w:rPr>
          <w:rFonts w:hint="eastAsia"/>
          <w:color w:val="auto"/>
        </w:rPr>
        <w:t>贯彻执行我国环境保护相关法律法规、标准、政策和规划等，优化项目建设，服务环境管理。</w:t>
      </w:r>
    </w:p>
    <w:p>
      <w:pPr>
        <w:pStyle w:val="8"/>
        <w:rPr>
          <w:rFonts w:hint="eastAsia"/>
          <w:color w:val="auto"/>
        </w:rPr>
      </w:pPr>
      <w:r>
        <w:rPr>
          <w:rFonts w:hint="eastAsia"/>
          <w:color w:val="auto"/>
          <w:lang w:val="en-US" w:eastAsia="zh-CN"/>
        </w:rPr>
        <w:t>b）</w:t>
      </w:r>
      <w:r>
        <w:rPr>
          <w:rFonts w:hint="eastAsia"/>
          <w:color w:val="auto"/>
        </w:rPr>
        <w:t>科学评价</w:t>
      </w:r>
    </w:p>
    <w:p>
      <w:pPr>
        <w:pStyle w:val="8"/>
        <w:rPr>
          <w:rFonts w:hint="eastAsia"/>
          <w:color w:val="auto"/>
        </w:rPr>
      </w:pPr>
      <w:r>
        <w:rPr>
          <w:rFonts w:hint="eastAsia"/>
          <w:color w:val="auto"/>
        </w:rPr>
        <w:t>规范环境影响评价方法，科学分析项目建设对环境质量的影响。</w:t>
      </w:r>
    </w:p>
    <w:p>
      <w:pPr>
        <w:pStyle w:val="8"/>
        <w:rPr>
          <w:rFonts w:hint="eastAsia"/>
          <w:color w:val="auto"/>
        </w:rPr>
      </w:pPr>
      <w:r>
        <w:rPr>
          <w:rFonts w:hint="eastAsia"/>
          <w:color w:val="auto"/>
          <w:lang w:val="en-US" w:eastAsia="zh-CN"/>
        </w:rPr>
        <w:t>c）</w:t>
      </w:r>
      <w:r>
        <w:rPr>
          <w:rFonts w:hint="eastAsia"/>
          <w:color w:val="auto"/>
        </w:rPr>
        <w:t>突出重点</w:t>
      </w:r>
    </w:p>
    <w:p>
      <w:pPr>
        <w:pStyle w:val="8"/>
        <w:rPr>
          <w:rFonts w:hint="eastAsia"/>
          <w:color w:val="auto"/>
        </w:rPr>
      </w:pPr>
      <w:r>
        <w:rPr>
          <w:rFonts w:hint="eastAsia"/>
          <w:color w:val="auto"/>
        </w:rPr>
        <w:t>根据建设项目的工程内容及其特点，明确与环境要素间的作用效应关系，根据规划环境影响评价结论和审查意见，充分利用符合时效的数据资料及成果，对建设项目主要环境影响予以重点分析和评价。</w:t>
      </w:r>
    </w:p>
    <w:p>
      <w:pPr>
        <w:pStyle w:val="4"/>
      </w:pPr>
      <w:bookmarkStart w:id="15" w:name="_Toc346282437"/>
      <w:bookmarkStart w:id="16" w:name="_Toc23382"/>
      <w:r>
        <w:rPr>
          <w:rFonts w:hint="eastAsia"/>
          <w:lang w:eastAsia="zh-CN"/>
        </w:rPr>
        <w:t>编制</w:t>
      </w:r>
      <w:r>
        <w:t>依据</w:t>
      </w:r>
      <w:bookmarkEnd w:id="15"/>
      <w:bookmarkEnd w:id="16"/>
    </w:p>
    <w:p>
      <w:pPr>
        <w:pStyle w:val="5"/>
        <w:ind w:firstLine="562"/>
      </w:pPr>
      <w:r>
        <w:t>国家法律、法规、政策文件</w:t>
      </w:r>
    </w:p>
    <w:p>
      <w:pPr>
        <w:pStyle w:val="8"/>
        <w:jc w:val="left"/>
      </w:pPr>
      <w:r>
        <w:rPr>
          <w:rFonts w:hint="eastAsia"/>
        </w:rPr>
        <w:t>（1）《中华人民共和国环境保护法》（2015年1月1日实施）；</w:t>
      </w:r>
    </w:p>
    <w:p>
      <w:pPr>
        <w:pStyle w:val="8"/>
        <w:jc w:val="left"/>
      </w:pPr>
      <w:r>
        <w:rPr>
          <w:rFonts w:hint="eastAsia"/>
        </w:rPr>
        <w:t>（2）《中华人民共和国水污染防治法》（20</w:t>
      </w:r>
      <w:r>
        <w:t>18</w:t>
      </w:r>
      <w:r>
        <w:rPr>
          <w:rFonts w:hint="eastAsia"/>
        </w:rPr>
        <w:t>年</w:t>
      </w:r>
      <w:r>
        <w:t>1</w:t>
      </w:r>
      <w:r>
        <w:rPr>
          <w:rFonts w:hint="eastAsia"/>
        </w:rPr>
        <w:t>月1日实施）；</w:t>
      </w:r>
    </w:p>
    <w:p>
      <w:pPr>
        <w:pStyle w:val="8"/>
        <w:jc w:val="left"/>
      </w:pPr>
      <w:r>
        <w:rPr>
          <w:rFonts w:hint="eastAsia"/>
        </w:rPr>
        <w:t>（3）《中华人民共和国大气污染防治法》（2018年10月26日实施）；</w:t>
      </w:r>
    </w:p>
    <w:p>
      <w:pPr>
        <w:pStyle w:val="8"/>
        <w:jc w:val="left"/>
      </w:pPr>
      <w:r>
        <w:rPr>
          <w:rFonts w:hint="eastAsia"/>
        </w:rPr>
        <w:t>（4）《中华人民共和国环境噪声污染防治法》（</w:t>
      </w:r>
      <w:r>
        <w:t>2018</w:t>
      </w:r>
      <w:r>
        <w:rPr>
          <w:rFonts w:hint="eastAsia"/>
        </w:rPr>
        <w:t>年</w:t>
      </w:r>
      <w:r>
        <w:t>12</w:t>
      </w:r>
      <w:r>
        <w:rPr>
          <w:rFonts w:hint="eastAsia"/>
        </w:rPr>
        <w:t>月</w:t>
      </w:r>
      <w:r>
        <w:t>29</w:t>
      </w:r>
      <w:r>
        <w:rPr>
          <w:rFonts w:hint="eastAsia"/>
        </w:rPr>
        <w:t>日修订）；</w:t>
      </w:r>
    </w:p>
    <w:p>
      <w:pPr>
        <w:pStyle w:val="8"/>
        <w:jc w:val="left"/>
      </w:pPr>
      <w:r>
        <w:rPr>
          <w:rFonts w:hint="eastAsia"/>
        </w:rPr>
        <w:t>（5）《中华人民共和国固体废物污染环境防治法》（2</w:t>
      </w:r>
      <w:r>
        <w:rPr>
          <w:rFonts w:hint="eastAsia"/>
          <w:lang w:val="en-US" w:eastAsia="zh-CN"/>
        </w:rPr>
        <w:t>020</w:t>
      </w:r>
      <w:r>
        <w:rPr>
          <w:rFonts w:hint="eastAsia"/>
        </w:rPr>
        <w:t>年</w:t>
      </w:r>
      <w:r>
        <w:rPr>
          <w:rFonts w:hint="eastAsia"/>
          <w:lang w:val="en-US" w:eastAsia="zh-CN"/>
        </w:rPr>
        <w:t>4</w:t>
      </w:r>
      <w:r>
        <w:rPr>
          <w:rFonts w:hint="eastAsia"/>
        </w:rPr>
        <w:t>月</w:t>
      </w:r>
      <w:r>
        <w:rPr>
          <w:rFonts w:hint="eastAsia"/>
          <w:lang w:val="en-US" w:eastAsia="zh-CN"/>
        </w:rPr>
        <w:t>29</w:t>
      </w:r>
      <w:r>
        <w:rPr>
          <w:rFonts w:hint="eastAsia"/>
        </w:rPr>
        <w:t>日修订</w:t>
      </w:r>
      <w:r>
        <w:rPr>
          <w:rFonts w:hint="eastAsia"/>
          <w:lang w:val="en-US" w:eastAsia="zh-CN"/>
        </w:rPr>
        <w:t>,2020年9月1日起施行</w:t>
      </w:r>
      <w:r>
        <w:rPr>
          <w:rFonts w:hint="eastAsia"/>
        </w:rPr>
        <w:t>）；</w:t>
      </w:r>
    </w:p>
    <w:p>
      <w:pPr>
        <w:pStyle w:val="8"/>
        <w:jc w:val="left"/>
      </w:pPr>
      <w:r>
        <w:rPr>
          <w:rFonts w:hint="eastAsia"/>
        </w:rPr>
        <w:t>（6）《中华人民共和国清洁生产促进法》（2013年1月1日修订实施）；</w:t>
      </w:r>
    </w:p>
    <w:p>
      <w:pPr>
        <w:pStyle w:val="8"/>
        <w:jc w:val="left"/>
      </w:pPr>
      <w:r>
        <w:rPr>
          <w:rFonts w:hint="eastAsia"/>
        </w:rPr>
        <w:t>（7）《中华人民共和国循环经济促进法》（20</w:t>
      </w:r>
      <w:r>
        <w:rPr>
          <w:rFonts w:hint="eastAsia"/>
          <w:lang w:val="en-US" w:eastAsia="zh-CN"/>
        </w:rPr>
        <w:t>18</w:t>
      </w:r>
      <w:r>
        <w:rPr>
          <w:rFonts w:hint="eastAsia"/>
        </w:rPr>
        <w:t>年</w:t>
      </w:r>
      <w:r>
        <w:rPr>
          <w:rFonts w:hint="eastAsia"/>
          <w:lang w:val="en-US" w:eastAsia="zh-CN"/>
        </w:rPr>
        <w:t>10</w:t>
      </w:r>
      <w:r>
        <w:rPr>
          <w:rFonts w:hint="eastAsia"/>
        </w:rPr>
        <w:t>月</w:t>
      </w:r>
      <w:r>
        <w:rPr>
          <w:rFonts w:hint="eastAsia"/>
          <w:lang w:val="en-US" w:eastAsia="zh-CN"/>
        </w:rPr>
        <w:t>26</w:t>
      </w:r>
      <w:r>
        <w:rPr>
          <w:rFonts w:hint="eastAsia"/>
        </w:rPr>
        <w:t>日</w:t>
      </w:r>
      <w:r>
        <w:rPr>
          <w:rFonts w:hint="eastAsia"/>
          <w:lang w:eastAsia="zh-CN"/>
        </w:rPr>
        <w:t>修订实施</w:t>
      </w:r>
      <w:r>
        <w:rPr>
          <w:rFonts w:hint="eastAsia"/>
        </w:rPr>
        <w:t>）；</w:t>
      </w:r>
    </w:p>
    <w:p>
      <w:pPr>
        <w:pStyle w:val="8"/>
        <w:jc w:val="left"/>
      </w:pPr>
      <w:r>
        <w:rPr>
          <w:rFonts w:hint="eastAsia"/>
        </w:rPr>
        <w:t>（8）《中华人民共和国水土保持法》（2011年3月1日施）；</w:t>
      </w:r>
    </w:p>
    <w:p>
      <w:pPr>
        <w:pStyle w:val="8"/>
        <w:jc w:val="left"/>
      </w:pPr>
      <w:r>
        <w:rPr>
          <w:rFonts w:hint="eastAsia"/>
        </w:rPr>
        <w:t>（9）《中华人民共和国环境影响评价法》（201</w:t>
      </w:r>
      <w:r>
        <w:rPr>
          <w:rFonts w:hint="eastAsia"/>
          <w:lang w:val="en-US" w:eastAsia="zh-CN"/>
        </w:rPr>
        <w:t>8</w:t>
      </w:r>
      <w:r>
        <w:rPr>
          <w:rFonts w:hint="eastAsia"/>
        </w:rPr>
        <w:t>年</w:t>
      </w:r>
      <w:r>
        <w:rPr>
          <w:rFonts w:hint="eastAsia"/>
          <w:lang w:val="en-US" w:eastAsia="zh-CN"/>
        </w:rPr>
        <w:t>12</w:t>
      </w:r>
      <w:r>
        <w:rPr>
          <w:rFonts w:hint="eastAsia"/>
        </w:rPr>
        <w:t>月</w:t>
      </w:r>
      <w:r>
        <w:rPr>
          <w:rFonts w:hint="eastAsia"/>
          <w:lang w:val="en-US" w:eastAsia="zh-CN"/>
        </w:rPr>
        <w:t>29</w:t>
      </w:r>
      <w:r>
        <w:rPr>
          <w:rFonts w:hint="eastAsia"/>
        </w:rPr>
        <w:t>日修</w:t>
      </w:r>
      <w:r>
        <w:t>订</w:t>
      </w:r>
      <w:r>
        <w:rPr>
          <w:rFonts w:hint="eastAsia"/>
        </w:rPr>
        <w:t>）；</w:t>
      </w:r>
    </w:p>
    <w:p>
      <w:pPr>
        <w:pStyle w:val="8"/>
        <w:jc w:val="left"/>
      </w:pPr>
      <w:r>
        <w:rPr>
          <w:rFonts w:hint="eastAsia"/>
        </w:rPr>
        <w:t>（10）《中</w:t>
      </w:r>
      <w:r>
        <w:rPr>
          <w:rFonts w:hint="eastAsia"/>
          <w:lang w:eastAsia="zh-CN"/>
        </w:rPr>
        <w:t>华</w:t>
      </w:r>
      <w:r>
        <w:rPr>
          <w:rFonts w:hint="eastAsia"/>
        </w:rPr>
        <w:t>人民共和国畜牧法（2015年</w:t>
      </w:r>
      <w:r>
        <w:rPr>
          <w:rFonts w:hint="eastAsia"/>
          <w:lang w:val="en-US" w:eastAsia="zh-CN"/>
        </w:rPr>
        <w:t>4月24日</w:t>
      </w:r>
      <w:r>
        <w:rPr>
          <w:rFonts w:hint="eastAsia"/>
        </w:rPr>
        <w:t>修正</w:t>
      </w:r>
      <w:r>
        <w:rPr>
          <w:rFonts w:hint="eastAsia"/>
          <w:lang w:eastAsia="zh-CN"/>
        </w:rPr>
        <w:t>版</w:t>
      </w:r>
      <w:r>
        <w:rPr>
          <w:rFonts w:hint="eastAsia"/>
        </w:rPr>
        <w:t>）》；</w:t>
      </w:r>
    </w:p>
    <w:p>
      <w:pPr>
        <w:pStyle w:val="8"/>
        <w:jc w:val="left"/>
      </w:pPr>
      <w:r>
        <w:rPr>
          <w:rFonts w:hint="eastAsia"/>
        </w:rPr>
        <w:t>（11）《中</w:t>
      </w:r>
      <w:r>
        <w:rPr>
          <w:rFonts w:hint="eastAsia"/>
          <w:lang w:eastAsia="zh-CN"/>
        </w:rPr>
        <w:t>华</w:t>
      </w:r>
      <w:r>
        <w:rPr>
          <w:rFonts w:hint="eastAsia"/>
        </w:rPr>
        <w:t>人民共和国传染病防治法（2013年修正）》，2004年12月1日施行；</w:t>
      </w:r>
    </w:p>
    <w:p>
      <w:pPr>
        <w:pStyle w:val="8"/>
        <w:jc w:val="left"/>
      </w:pPr>
      <w:r>
        <w:rPr>
          <w:rFonts w:hint="eastAsia"/>
        </w:rPr>
        <w:t>（12）《中</w:t>
      </w:r>
      <w:r>
        <w:rPr>
          <w:rFonts w:hint="eastAsia"/>
          <w:lang w:eastAsia="zh-CN"/>
        </w:rPr>
        <w:t>华</w:t>
      </w:r>
      <w:r>
        <w:rPr>
          <w:rFonts w:hint="eastAsia"/>
        </w:rPr>
        <w:t>人民共和国动物防疫法（2015年修正）》，2008年1月1日施行；</w:t>
      </w:r>
    </w:p>
    <w:p>
      <w:pPr>
        <w:pStyle w:val="8"/>
        <w:jc w:val="left"/>
      </w:pPr>
      <w:r>
        <w:rPr>
          <w:rFonts w:hint="eastAsia"/>
        </w:rPr>
        <w:t>（13）《国务院关于落实科学发展观加强环境保护的决定》(国发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39号)；</w:t>
      </w:r>
    </w:p>
    <w:p>
      <w:pPr>
        <w:pStyle w:val="8"/>
        <w:jc w:val="left"/>
      </w:pPr>
      <w:r>
        <w:rPr>
          <w:rFonts w:hint="eastAsia"/>
        </w:rPr>
        <w:t>（14）《环境影响评价公众参与办法》（部令第4号）；</w:t>
      </w:r>
    </w:p>
    <w:p>
      <w:pPr>
        <w:pStyle w:val="8"/>
        <w:jc w:val="left"/>
      </w:pPr>
      <w:r>
        <w:rPr>
          <w:rFonts w:hint="eastAsia"/>
        </w:rPr>
        <w:t>（15）《关于进一步做好规划环境影响评价工作的通知》(环办</w:t>
      </w:r>
      <w:r>
        <w:rPr>
          <w:rFonts w:hint="eastAsia" w:ascii="宋体" w:hAnsi="宋体" w:eastAsia="宋体" w:cs="宋体"/>
        </w:rPr>
        <w:t>〔</w:t>
      </w:r>
      <w:r>
        <w:rPr>
          <w:rFonts w:hint="eastAsia"/>
        </w:rPr>
        <w:t>2006</w:t>
      </w:r>
      <w:r>
        <w:rPr>
          <w:rFonts w:hint="eastAsia" w:ascii="宋体" w:hAnsi="宋体" w:eastAsia="宋体" w:cs="宋体"/>
        </w:rPr>
        <w:t>〕</w:t>
      </w:r>
      <w:r>
        <w:rPr>
          <w:rFonts w:hint="eastAsia"/>
        </w:rPr>
        <w:t>109号)；</w:t>
      </w:r>
    </w:p>
    <w:p>
      <w:pPr>
        <w:pStyle w:val="8"/>
        <w:jc w:val="left"/>
      </w:pPr>
      <w:r>
        <w:rPr>
          <w:rFonts w:hint="eastAsia"/>
        </w:rPr>
        <w:t>（16）《关于进一步加强畜禽养殖污染防治工作的通知》，环水体</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144号；</w:t>
      </w:r>
    </w:p>
    <w:p>
      <w:pPr>
        <w:pStyle w:val="8"/>
        <w:jc w:val="left"/>
      </w:pPr>
      <w:r>
        <w:rPr>
          <w:rFonts w:hint="eastAsia"/>
        </w:rPr>
        <w:t>（17）《产业结构调整指导目录（201</w:t>
      </w:r>
      <w:r>
        <w:rPr>
          <w:rFonts w:hint="eastAsia"/>
          <w:lang w:val="en-US" w:eastAsia="zh-CN"/>
        </w:rPr>
        <w:t>9</w:t>
      </w:r>
      <w:r>
        <w:rPr>
          <w:rFonts w:hint="eastAsia"/>
        </w:rPr>
        <w:t>年本）》；</w:t>
      </w:r>
    </w:p>
    <w:p>
      <w:pPr>
        <w:pStyle w:val="8"/>
        <w:jc w:val="left"/>
      </w:pPr>
      <w:r>
        <w:rPr>
          <w:rFonts w:hint="eastAsia"/>
        </w:rPr>
        <w:t>（</w:t>
      </w:r>
      <w:r>
        <w:rPr>
          <w:rFonts w:hint="eastAsia"/>
          <w:lang w:val="en-US" w:eastAsia="zh-CN"/>
        </w:rPr>
        <w:t>18</w:t>
      </w:r>
      <w:r>
        <w:rPr>
          <w:rFonts w:hint="eastAsia"/>
        </w:rPr>
        <w:t>）《畜禽养殖污染防治管理办法》，2001年5月8日施行；</w:t>
      </w:r>
    </w:p>
    <w:p>
      <w:pPr>
        <w:pStyle w:val="8"/>
        <w:jc w:val="left"/>
      </w:pPr>
      <w:r>
        <w:rPr>
          <w:rFonts w:hint="eastAsia"/>
        </w:rPr>
        <w:t>（</w:t>
      </w:r>
      <w:r>
        <w:rPr>
          <w:rFonts w:hint="eastAsia"/>
          <w:lang w:val="en-US" w:eastAsia="zh-CN"/>
        </w:rPr>
        <w:t>19</w:t>
      </w:r>
      <w:r>
        <w:rPr>
          <w:rFonts w:hint="eastAsia"/>
        </w:rPr>
        <w:t>）《畜禽养殖业污染防治技术政策》，环发</w:t>
      </w:r>
      <w:r>
        <w:rPr>
          <w:rFonts w:hint="eastAsia" w:ascii="宋体" w:hAnsi="宋体" w:eastAsia="宋体" w:cs="宋体"/>
        </w:rPr>
        <w:t>〔</w:t>
      </w:r>
      <w:r>
        <w:rPr>
          <w:rFonts w:hint="eastAsia"/>
        </w:rPr>
        <w:t>2010</w:t>
      </w:r>
      <w:r>
        <w:rPr>
          <w:rFonts w:hint="eastAsia" w:ascii="宋体" w:hAnsi="宋体" w:eastAsia="宋体" w:cs="宋体"/>
        </w:rPr>
        <w:t>〕</w:t>
      </w:r>
      <w:r>
        <w:rPr>
          <w:rFonts w:hint="eastAsia"/>
        </w:rPr>
        <w:t>151号；</w:t>
      </w:r>
    </w:p>
    <w:p>
      <w:pPr>
        <w:pStyle w:val="8"/>
        <w:jc w:val="left"/>
      </w:pPr>
      <w:r>
        <w:rPr>
          <w:rFonts w:hint="eastAsia"/>
        </w:rPr>
        <w:t>（</w:t>
      </w:r>
      <w:r>
        <w:rPr>
          <w:rFonts w:hint="eastAsia"/>
          <w:lang w:val="en-US" w:eastAsia="zh-CN"/>
        </w:rPr>
        <w:t>20</w:t>
      </w:r>
      <w:r>
        <w:rPr>
          <w:rFonts w:hint="eastAsia"/>
        </w:rPr>
        <w:t>）《关于进一步加强环境影响评价管理防范环境风险的通知》(环发[2012]77号)；</w:t>
      </w:r>
    </w:p>
    <w:p>
      <w:pPr>
        <w:pStyle w:val="8"/>
        <w:jc w:val="left"/>
        <w:rPr>
          <w:rFonts w:hint="eastAsia" w:eastAsia="宋体"/>
          <w:lang w:eastAsia="zh-CN"/>
        </w:rPr>
      </w:pPr>
      <w:r>
        <w:rPr>
          <w:rFonts w:hint="eastAsia"/>
        </w:rPr>
        <w:t>（</w:t>
      </w:r>
      <w:r>
        <w:rPr>
          <w:rFonts w:hint="eastAsia"/>
          <w:lang w:val="en-US" w:eastAsia="zh-CN"/>
        </w:rPr>
        <w:t>21</w:t>
      </w:r>
      <w:r>
        <w:rPr>
          <w:rFonts w:hint="eastAsia"/>
        </w:rPr>
        <w:t>）《关于落实大气污染防治行动计划严格环境影响评价准入的通知》(环办[2014]30号)</w:t>
      </w:r>
      <w:r>
        <w:rPr>
          <w:rFonts w:hint="eastAsia"/>
          <w:lang w:eastAsia="zh-CN"/>
        </w:rPr>
        <w:t>；</w:t>
      </w:r>
    </w:p>
    <w:p>
      <w:pPr>
        <w:pStyle w:val="8"/>
        <w:jc w:val="left"/>
      </w:pPr>
      <w:r>
        <w:rPr>
          <w:rFonts w:hint="eastAsia"/>
        </w:rPr>
        <w:t>（</w:t>
      </w:r>
      <w:r>
        <w:rPr>
          <w:rFonts w:hint="eastAsia"/>
          <w:lang w:val="en-US" w:eastAsia="zh-CN"/>
        </w:rPr>
        <w:t>22</w:t>
      </w:r>
      <w:r>
        <w:rPr>
          <w:rFonts w:hint="eastAsia"/>
        </w:rPr>
        <w:t>）《家畜家禽防疫条例实施细则》，1992年4月8日；</w:t>
      </w:r>
    </w:p>
    <w:p>
      <w:pPr>
        <w:pStyle w:val="8"/>
        <w:jc w:val="left"/>
      </w:pPr>
      <w:r>
        <w:rPr>
          <w:rFonts w:hint="eastAsia"/>
        </w:rPr>
        <w:t>（</w:t>
      </w:r>
      <w:r>
        <w:rPr>
          <w:rFonts w:hint="eastAsia"/>
          <w:lang w:val="en-US" w:eastAsia="zh-CN"/>
        </w:rPr>
        <w:t>23</w:t>
      </w:r>
      <w:r>
        <w:rPr>
          <w:rFonts w:hint="eastAsia"/>
        </w:rPr>
        <w:t>）《饲料和饲料添加剂管理条例》，2017年3月1日修订；</w:t>
      </w:r>
    </w:p>
    <w:p>
      <w:pPr>
        <w:pStyle w:val="8"/>
        <w:jc w:val="left"/>
      </w:pPr>
      <w:r>
        <w:rPr>
          <w:rFonts w:hint="eastAsia"/>
        </w:rPr>
        <w:t>（</w:t>
      </w:r>
      <w:r>
        <w:rPr>
          <w:rFonts w:hint="eastAsia"/>
          <w:lang w:val="en-US" w:eastAsia="zh-CN"/>
        </w:rPr>
        <w:t>24</w:t>
      </w:r>
      <w:r>
        <w:rPr>
          <w:rFonts w:hint="eastAsia"/>
        </w:rPr>
        <w:t>）《国务院关于印发大气污染防治行动计划的通知》（国发</w:t>
      </w:r>
      <w:r>
        <w:rPr>
          <w:rFonts w:hint="eastAsia" w:ascii="宋体" w:hAnsi="宋体" w:eastAsia="宋体" w:cs="宋体"/>
        </w:rPr>
        <w:t>〔</w:t>
      </w:r>
      <w:r>
        <w:rPr>
          <w:rFonts w:hint="eastAsia"/>
        </w:rPr>
        <w:t>2013</w:t>
      </w:r>
      <w:r>
        <w:rPr>
          <w:rFonts w:hint="eastAsia" w:ascii="宋体" w:hAnsi="宋体" w:eastAsia="宋体" w:cs="宋体"/>
        </w:rPr>
        <w:t>〕</w:t>
      </w:r>
      <w:r>
        <w:rPr>
          <w:rFonts w:hint="eastAsia"/>
        </w:rPr>
        <w:t>37号）；</w:t>
      </w:r>
    </w:p>
    <w:p>
      <w:pPr>
        <w:pStyle w:val="8"/>
        <w:jc w:val="left"/>
      </w:pPr>
      <w:r>
        <w:rPr>
          <w:rFonts w:hint="eastAsia"/>
        </w:rPr>
        <w:t>（2</w:t>
      </w:r>
      <w:r>
        <w:rPr>
          <w:rFonts w:hint="eastAsia"/>
          <w:lang w:val="en-US" w:eastAsia="zh-CN"/>
        </w:rPr>
        <w:t>5</w:t>
      </w:r>
      <w:r>
        <w:rPr>
          <w:rFonts w:hint="eastAsia"/>
        </w:rPr>
        <w:t>）《国务院关于印发水污染防治行动计划的通知》（国发</w:t>
      </w:r>
      <w:r>
        <w:rPr>
          <w:rFonts w:hint="eastAsia" w:ascii="宋体" w:hAnsi="宋体" w:eastAsia="宋体" w:cs="宋体"/>
        </w:rPr>
        <w:t>〔</w:t>
      </w:r>
      <w:r>
        <w:rPr>
          <w:rFonts w:hint="eastAsia"/>
        </w:rPr>
        <w:t>2015</w:t>
      </w:r>
      <w:r>
        <w:rPr>
          <w:rFonts w:hint="eastAsia" w:ascii="宋体" w:hAnsi="宋体" w:eastAsia="宋体" w:cs="宋体"/>
        </w:rPr>
        <w:t>〕</w:t>
      </w:r>
      <w:r>
        <w:rPr>
          <w:rFonts w:hint="eastAsia"/>
        </w:rPr>
        <w:t>17号）；</w:t>
      </w:r>
    </w:p>
    <w:p>
      <w:pPr>
        <w:pStyle w:val="8"/>
        <w:jc w:val="left"/>
        <w:rPr>
          <w:rFonts w:hint="eastAsia"/>
        </w:rPr>
      </w:pPr>
      <w:r>
        <w:rPr>
          <w:rFonts w:hint="eastAsia"/>
        </w:rPr>
        <w:t>（2</w:t>
      </w:r>
      <w:r>
        <w:rPr>
          <w:rFonts w:hint="eastAsia"/>
          <w:lang w:val="en-US" w:eastAsia="zh-CN"/>
        </w:rPr>
        <w:t>6</w:t>
      </w:r>
      <w:r>
        <w:rPr>
          <w:rFonts w:hint="eastAsia"/>
        </w:rPr>
        <w:t>）《国务院关于印发土壤污染防治行动计划的通知》（国发</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3号）；</w:t>
      </w:r>
    </w:p>
    <w:p>
      <w:pPr>
        <w:pStyle w:val="8"/>
        <w:jc w:val="left"/>
        <w:rPr>
          <w:rFonts w:hint="eastAsia"/>
        </w:rPr>
      </w:pPr>
      <w:r>
        <w:rPr>
          <w:rFonts w:hint="eastAsia"/>
          <w:lang w:eastAsia="zh-CN"/>
        </w:rPr>
        <w:t>（</w:t>
      </w:r>
      <w:r>
        <w:rPr>
          <w:rFonts w:hint="eastAsia"/>
          <w:lang w:val="en-US" w:eastAsia="zh-CN"/>
        </w:rPr>
        <w:t>27</w:t>
      </w:r>
      <w:r>
        <w:rPr>
          <w:rFonts w:hint="eastAsia"/>
          <w:lang w:eastAsia="zh-CN"/>
        </w:rPr>
        <w:t>）</w:t>
      </w:r>
      <w:r>
        <w:rPr>
          <w:rFonts w:hint="eastAsia"/>
        </w:rPr>
        <w:t>《关于印发&lt;病死及死因不明动物处置办法(试行)&gt;的通知》（农医发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25号）；</w:t>
      </w:r>
    </w:p>
    <w:p>
      <w:pPr>
        <w:pStyle w:val="8"/>
        <w:jc w:val="left"/>
        <w:rPr>
          <w:rFonts w:hint="eastAsia"/>
        </w:rPr>
      </w:pPr>
      <w:r>
        <w:rPr>
          <w:rFonts w:hint="eastAsia"/>
          <w:lang w:eastAsia="zh-CN"/>
        </w:rPr>
        <w:t>（</w:t>
      </w:r>
      <w:r>
        <w:rPr>
          <w:rFonts w:hint="eastAsia"/>
          <w:lang w:val="en-US" w:eastAsia="zh-CN"/>
        </w:rPr>
        <w:t>28</w:t>
      </w:r>
      <w:r>
        <w:rPr>
          <w:rFonts w:hint="eastAsia"/>
          <w:lang w:eastAsia="zh-CN"/>
        </w:rPr>
        <w:t>）</w:t>
      </w:r>
      <w:r>
        <w:rPr>
          <w:rFonts w:hint="eastAsia"/>
        </w:rPr>
        <w:t>《危险废物污染防治技术政策》（环发</w:t>
      </w:r>
      <w:r>
        <w:rPr>
          <w:rFonts w:hint="eastAsia" w:ascii="宋体" w:hAnsi="宋体" w:eastAsia="宋体" w:cs="宋体"/>
        </w:rPr>
        <w:t>〔</w:t>
      </w:r>
      <w:r>
        <w:rPr>
          <w:rFonts w:hint="eastAsia"/>
        </w:rPr>
        <w:t>2001</w:t>
      </w:r>
      <w:r>
        <w:rPr>
          <w:rFonts w:hint="eastAsia" w:ascii="宋体" w:hAnsi="宋体" w:eastAsia="宋体" w:cs="宋体"/>
        </w:rPr>
        <w:t>〕</w:t>
      </w:r>
      <w:r>
        <w:rPr>
          <w:rFonts w:hint="eastAsia"/>
        </w:rPr>
        <w:t>199 号）；</w:t>
      </w:r>
    </w:p>
    <w:p>
      <w:pPr>
        <w:pStyle w:val="8"/>
        <w:jc w:val="left"/>
        <w:rPr>
          <w:rFonts w:hint="eastAsia"/>
        </w:rPr>
      </w:pPr>
      <w:r>
        <w:rPr>
          <w:rFonts w:hint="eastAsia"/>
          <w:lang w:eastAsia="zh-CN"/>
        </w:rPr>
        <w:t>（</w:t>
      </w:r>
      <w:r>
        <w:rPr>
          <w:rFonts w:hint="eastAsia"/>
          <w:lang w:val="en-US" w:eastAsia="zh-CN"/>
        </w:rPr>
        <w:t>29</w:t>
      </w:r>
      <w:r>
        <w:rPr>
          <w:rFonts w:hint="eastAsia"/>
          <w:lang w:eastAsia="zh-CN"/>
        </w:rPr>
        <w:t>）</w:t>
      </w:r>
      <w:r>
        <w:rPr>
          <w:rFonts w:hint="eastAsia"/>
        </w:rPr>
        <w:t>《国家危险废物名录》，2016年8月1日施行；</w:t>
      </w:r>
    </w:p>
    <w:p>
      <w:pPr>
        <w:pStyle w:val="8"/>
        <w:jc w:val="left"/>
        <w:rPr>
          <w:rFonts w:hint="eastAsia" w:eastAsia="宋体"/>
          <w:lang w:eastAsia="zh-CN"/>
        </w:rPr>
      </w:pPr>
      <w:r>
        <w:rPr>
          <w:rFonts w:hint="eastAsia"/>
          <w:lang w:eastAsia="zh-CN"/>
        </w:rPr>
        <w:t>（</w:t>
      </w:r>
      <w:r>
        <w:rPr>
          <w:rFonts w:hint="eastAsia"/>
          <w:lang w:val="en-US" w:eastAsia="zh-CN"/>
        </w:rPr>
        <w:t>30</w:t>
      </w:r>
      <w:r>
        <w:rPr>
          <w:rFonts w:hint="eastAsia"/>
          <w:lang w:eastAsia="zh-CN"/>
        </w:rPr>
        <w:t>）</w:t>
      </w:r>
      <w:r>
        <w:rPr>
          <w:rFonts w:hint="eastAsia"/>
        </w:rPr>
        <w:t>《危险废物转移联单管理办法》，国家环境保护总局，1999年6月22日</w:t>
      </w:r>
      <w:r>
        <w:rPr>
          <w:rFonts w:hint="eastAsia"/>
          <w:lang w:eastAsia="zh-CN"/>
        </w:rPr>
        <w:t>；</w:t>
      </w:r>
    </w:p>
    <w:p>
      <w:pPr>
        <w:pStyle w:val="8"/>
        <w:jc w:val="left"/>
        <w:rPr>
          <w:rFonts w:hint="eastAsia" w:eastAsia="宋体"/>
          <w:lang w:eastAsia="zh-CN"/>
        </w:rPr>
      </w:pPr>
      <w:r>
        <w:rPr>
          <w:rFonts w:hint="eastAsia"/>
          <w:lang w:eastAsia="zh-CN"/>
        </w:rPr>
        <w:t>（</w:t>
      </w:r>
      <w:r>
        <w:rPr>
          <w:rFonts w:hint="eastAsia"/>
          <w:lang w:val="en-US" w:eastAsia="zh-CN"/>
        </w:rPr>
        <w:t>31</w:t>
      </w:r>
      <w:r>
        <w:rPr>
          <w:rFonts w:hint="eastAsia"/>
          <w:lang w:eastAsia="zh-CN"/>
        </w:rPr>
        <w:t>）</w:t>
      </w:r>
      <w:r>
        <w:rPr>
          <w:rFonts w:hint="eastAsia"/>
        </w:rPr>
        <w:t>《市场准入负面清单（2019年版）》，2019年1月1号起施行</w:t>
      </w:r>
      <w:r>
        <w:rPr>
          <w:rFonts w:hint="eastAsia"/>
          <w:lang w:eastAsia="zh-CN"/>
        </w:rPr>
        <w:t>；</w:t>
      </w:r>
    </w:p>
    <w:p>
      <w:pPr>
        <w:pStyle w:val="8"/>
        <w:jc w:val="left"/>
        <w:rPr>
          <w:rFonts w:hint="eastAsia"/>
        </w:rPr>
      </w:pPr>
      <w:r>
        <w:rPr>
          <w:rFonts w:hint="eastAsia"/>
          <w:lang w:eastAsia="zh-CN"/>
        </w:rPr>
        <w:t>（</w:t>
      </w:r>
      <w:r>
        <w:rPr>
          <w:rFonts w:hint="eastAsia"/>
          <w:lang w:val="en-US" w:eastAsia="zh-CN"/>
        </w:rPr>
        <w:t>32</w:t>
      </w:r>
      <w:r>
        <w:rPr>
          <w:rFonts w:hint="eastAsia"/>
          <w:lang w:eastAsia="zh-CN"/>
        </w:rPr>
        <w:t>）</w:t>
      </w:r>
      <w:r>
        <w:rPr>
          <w:rFonts w:hint="eastAsia"/>
        </w:rPr>
        <w:t>《打赢蓝天保卫战三年行动计划》，国发</w:t>
      </w:r>
      <w:r>
        <w:rPr>
          <w:rFonts w:hint="eastAsia" w:ascii="宋体" w:hAnsi="宋体" w:eastAsia="宋体" w:cs="宋体"/>
        </w:rPr>
        <w:t>〔</w:t>
      </w:r>
      <w:r>
        <w:rPr>
          <w:rFonts w:hint="eastAsia"/>
          <w:lang w:val="en-US" w:eastAsia="zh-CN"/>
        </w:rPr>
        <w:t>2018</w:t>
      </w:r>
      <w:r>
        <w:rPr>
          <w:rFonts w:hint="eastAsia" w:ascii="宋体" w:hAnsi="宋体" w:eastAsia="宋体" w:cs="宋体"/>
        </w:rPr>
        <w:t>〕</w:t>
      </w:r>
      <w:r>
        <w:rPr>
          <w:rFonts w:hint="eastAsia"/>
        </w:rPr>
        <w:t>22号；</w:t>
      </w:r>
    </w:p>
    <w:p>
      <w:pPr>
        <w:pStyle w:val="8"/>
        <w:jc w:val="left"/>
        <w:rPr>
          <w:rFonts w:hint="eastAsia"/>
        </w:rPr>
      </w:pPr>
      <w:r>
        <w:rPr>
          <w:rFonts w:hint="eastAsia"/>
          <w:lang w:eastAsia="zh-CN"/>
        </w:rPr>
        <w:t>（</w:t>
      </w:r>
      <w:r>
        <w:rPr>
          <w:rFonts w:hint="eastAsia"/>
          <w:lang w:val="en-US" w:eastAsia="zh-CN"/>
        </w:rPr>
        <w:t>33</w:t>
      </w:r>
      <w:r>
        <w:rPr>
          <w:rFonts w:hint="eastAsia"/>
          <w:lang w:eastAsia="zh-CN"/>
        </w:rPr>
        <w:t>）</w:t>
      </w:r>
      <w:r>
        <w:rPr>
          <w:rFonts w:hint="eastAsia"/>
        </w:rPr>
        <w:t>《建设项目主要污染物排放总量指标审核及管理暂行办法》（环发</w:t>
      </w:r>
      <w:r>
        <w:rPr>
          <w:rFonts w:hint="eastAsia" w:ascii="宋体" w:hAnsi="宋体" w:eastAsia="宋体" w:cs="宋体"/>
        </w:rPr>
        <w:t>〔</w:t>
      </w:r>
      <w:r>
        <w:rPr>
          <w:rFonts w:hint="eastAsia"/>
        </w:rPr>
        <w:t>2014</w:t>
      </w:r>
      <w:r>
        <w:rPr>
          <w:rFonts w:hint="eastAsia" w:ascii="宋体" w:hAnsi="宋体" w:eastAsia="宋体" w:cs="宋体"/>
        </w:rPr>
        <w:t>〕</w:t>
      </w:r>
      <w:r>
        <w:rPr>
          <w:rFonts w:hint="eastAsia"/>
        </w:rPr>
        <w:t>197 号</w:t>
      </w:r>
    </w:p>
    <w:p>
      <w:pPr>
        <w:pStyle w:val="8"/>
        <w:jc w:val="left"/>
        <w:rPr>
          <w:rFonts w:hint="eastAsia"/>
        </w:rPr>
      </w:pPr>
      <w:r>
        <w:rPr>
          <w:rFonts w:hint="eastAsia"/>
          <w:lang w:eastAsia="zh-CN"/>
        </w:rPr>
        <w:t>（</w:t>
      </w:r>
      <w:r>
        <w:rPr>
          <w:rFonts w:hint="eastAsia"/>
          <w:lang w:val="en-US" w:eastAsia="zh-CN"/>
        </w:rPr>
        <w:t>34</w:t>
      </w:r>
      <w:r>
        <w:rPr>
          <w:rFonts w:hint="eastAsia"/>
          <w:lang w:eastAsia="zh-CN"/>
        </w:rPr>
        <w:t>）</w:t>
      </w:r>
      <w:r>
        <w:rPr>
          <w:rFonts w:hint="eastAsia"/>
        </w:rPr>
        <w:t>《关于进一步规范畜禽养殖禁养区划定和管理促进生猪生产发展的通知》（环办土壤</w:t>
      </w:r>
      <w:r>
        <w:rPr>
          <w:rFonts w:hint="eastAsia" w:ascii="宋体" w:hAnsi="宋体" w:eastAsia="宋体" w:cs="宋体"/>
        </w:rPr>
        <w:t>〔</w:t>
      </w:r>
      <w:r>
        <w:rPr>
          <w:rFonts w:hint="eastAsia"/>
        </w:rPr>
        <w:t>2019</w:t>
      </w:r>
      <w:r>
        <w:rPr>
          <w:rFonts w:hint="eastAsia" w:ascii="宋体" w:hAnsi="宋体" w:eastAsia="宋体" w:cs="宋体"/>
        </w:rPr>
        <w:t>〕</w:t>
      </w:r>
      <w:r>
        <w:rPr>
          <w:rFonts w:hint="eastAsia"/>
        </w:rPr>
        <w:t>55 号）；</w:t>
      </w:r>
    </w:p>
    <w:p>
      <w:pPr>
        <w:pStyle w:val="8"/>
        <w:jc w:val="left"/>
        <w:rPr>
          <w:rFonts w:hint="eastAsia"/>
        </w:rPr>
      </w:pPr>
      <w:r>
        <w:rPr>
          <w:rFonts w:hint="eastAsia"/>
          <w:lang w:eastAsia="zh-CN"/>
        </w:rPr>
        <w:t>（</w:t>
      </w:r>
      <w:r>
        <w:rPr>
          <w:rFonts w:hint="eastAsia"/>
          <w:lang w:val="en-US" w:eastAsia="zh-CN"/>
        </w:rPr>
        <w:t>35</w:t>
      </w:r>
      <w:r>
        <w:rPr>
          <w:rFonts w:hint="eastAsia"/>
          <w:lang w:eastAsia="zh-CN"/>
        </w:rPr>
        <w:t>）</w:t>
      </w:r>
      <w:r>
        <w:rPr>
          <w:rFonts w:hint="eastAsia"/>
        </w:rPr>
        <w:t>《关于做好畜禽规模养殖项目环境影响评价管理工作的通知》（环办环评</w:t>
      </w:r>
      <w:r>
        <w:rPr>
          <w:rFonts w:hint="eastAsia" w:ascii="宋体" w:hAnsi="宋体" w:eastAsia="宋体" w:cs="宋体"/>
        </w:rPr>
        <w:t>〔</w:t>
      </w:r>
      <w:r>
        <w:rPr>
          <w:rFonts w:hint="eastAsia"/>
        </w:rPr>
        <w:t>2018</w:t>
      </w:r>
      <w:r>
        <w:rPr>
          <w:rFonts w:hint="eastAsia" w:ascii="宋体" w:hAnsi="宋体" w:eastAsia="宋体" w:cs="宋体"/>
        </w:rPr>
        <w:t>〕</w:t>
      </w:r>
      <w:r>
        <w:rPr>
          <w:rFonts w:hint="eastAsia"/>
        </w:rPr>
        <w:t>31号）；</w:t>
      </w:r>
    </w:p>
    <w:p>
      <w:pPr>
        <w:pStyle w:val="8"/>
        <w:jc w:val="left"/>
        <w:rPr>
          <w:rFonts w:hint="eastAsia"/>
        </w:rPr>
      </w:pPr>
      <w:r>
        <w:rPr>
          <w:rFonts w:hint="eastAsia"/>
          <w:lang w:eastAsia="zh-CN"/>
        </w:rPr>
        <w:t>（</w:t>
      </w:r>
      <w:r>
        <w:rPr>
          <w:rFonts w:hint="eastAsia"/>
          <w:lang w:val="en-US" w:eastAsia="zh-CN"/>
        </w:rPr>
        <w:t>36</w:t>
      </w:r>
      <w:r>
        <w:rPr>
          <w:rFonts w:hint="eastAsia"/>
          <w:lang w:eastAsia="zh-CN"/>
        </w:rPr>
        <w:t>）</w:t>
      </w:r>
      <w:r>
        <w:rPr>
          <w:rFonts w:hint="eastAsia"/>
        </w:rPr>
        <w:t>《饲料和饲料添加剂管理条例》（国务院令第645号）。</w:t>
      </w:r>
    </w:p>
    <w:p>
      <w:pPr>
        <w:pStyle w:val="5"/>
        <w:ind w:firstLine="562"/>
      </w:pPr>
      <w:r>
        <w:t>地方地方法律、法规、政策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bookmarkStart w:id="17" w:name="_Toc346282440"/>
      <w:r>
        <w:t>（1） 《广东省环境保护条例》，2015年7月1日施行；</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（2） 《广东省环境保护规划纲要(2006-2020 年)》，粤环函</w:t>
      </w:r>
      <w:r>
        <w:rPr>
          <w:rFonts w:hint="eastAsia" w:ascii="宋体" w:hAnsi="宋体" w:eastAsia="宋体" w:cs="宋体"/>
        </w:rPr>
        <w:t>〔</w:t>
      </w:r>
      <w:r>
        <w:t>2006</w:t>
      </w:r>
      <w:r>
        <w:rPr>
          <w:rFonts w:hint="eastAsia" w:ascii="宋体" w:hAnsi="宋体" w:eastAsia="宋体" w:cs="宋体"/>
        </w:rPr>
        <w:t>〕</w:t>
      </w:r>
      <w:r>
        <w:t>35号；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w:t>
      </w:r>
      <w:r>
        <w:rPr>
          <w:rFonts w:hint="eastAsia"/>
          <w:lang w:eastAsia="zh-CN"/>
        </w:rPr>
        <w:t>）</w:t>
      </w:r>
      <w:r>
        <w:t>《广东省固体废物污染环境防治条例》（2018年11月29日修订）；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4</w:t>
      </w:r>
      <w:r>
        <w:rPr>
          <w:rFonts w:hint="eastAsia"/>
          <w:lang w:eastAsia="zh-CN"/>
        </w:rPr>
        <w:t>）</w:t>
      </w:r>
      <w:r>
        <w:t>《广东省实施&lt;危险废物转移联单管理办法&gt;规定》，1999年10月1日</w:t>
      </w:r>
      <w:r>
        <w:rPr>
          <w:rFonts w:hint="eastAsia"/>
          <w:lang w:eastAsia="zh-CN"/>
        </w:rPr>
        <w:t>实施</w:t>
      </w:r>
      <w: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5</w:t>
      </w:r>
      <w:r>
        <w:rPr>
          <w:rFonts w:hint="eastAsia"/>
          <w:lang w:eastAsia="zh-CN"/>
        </w:rPr>
        <w:t>）</w:t>
      </w:r>
      <w:r>
        <w:t>《广东省地表水环境功能区划》，粤府函</w:t>
      </w:r>
      <w:r>
        <w:rPr>
          <w:rFonts w:hint="eastAsia" w:ascii="宋体" w:hAnsi="宋体" w:eastAsia="宋体" w:cs="宋体"/>
        </w:rPr>
        <w:t>〔</w:t>
      </w:r>
      <w:r>
        <w:t>2011</w:t>
      </w:r>
      <w:r>
        <w:rPr>
          <w:rFonts w:hint="eastAsia" w:ascii="宋体" w:hAnsi="宋体" w:eastAsia="宋体" w:cs="宋体"/>
        </w:rPr>
        <w:t>〕</w:t>
      </w:r>
      <w:r>
        <w:t>14号；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6</w:t>
      </w:r>
      <w:r>
        <w:rPr>
          <w:rFonts w:hint="eastAsia"/>
          <w:lang w:eastAsia="zh-CN"/>
        </w:rPr>
        <w:t>）</w:t>
      </w:r>
      <w:r>
        <w:t>《广东省人民政府关于印发广东省建设项目环境影响评价文件分级审批办法的通知》，粤府〔2019〕6号，2019年1月19日</w:t>
      </w:r>
      <w:r>
        <w:rPr>
          <w:rFonts w:hint="eastAsia"/>
          <w:lang w:eastAsia="zh-CN"/>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7</w:t>
      </w:r>
      <w:r>
        <w:rPr>
          <w:rFonts w:hint="eastAsia"/>
          <w:lang w:eastAsia="zh-CN"/>
        </w:rPr>
        <w:t>）</w:t>
      </w:r>
      <w:r>
        <w:t>《关于印发广东省规模化畜禽养殖场（小区）主要污染物减排技术指南的通知》，2012年5月24日；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8</w:t>
      </w:r>
      <w:r>
        <w:rPr>
          <w:rFonts w:hint="eastAsia"/>
          <w:lang w:eastAsia="zh-CN"/>
        </w:rPr>
        <w:t>）</w:t>
      </w:r>
      <w:r>
        <w:t>《广东省饮用水源水质保护条例（2010年修正本）》，2010年7月23日；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9</w:t>
      </w:r>
      <w:r>
        <w:rPr>
          <w:rFonts w:hint="eastAsia"/>
          <w:lang w:eastAsia="zh-CN"/>
        </w:rPr>
        <w:t>）</w:t>
      </w:r>
      <w:r>
        <w:t>《韶关市城市集中饮用水水源保护区划分调整可行性研究报告》（2016 年</w:t>
      </w:r>
      <w:r>
        <w:rPr>
          <w:rFonts w:hint="eastAsia"/>
          <w:lang w:val="en-US" w:eastAsia="zh-CN"/>
        </w:rPr>
        <w:t>10</w:t>
      </w:r>
      <w:r>
        <w:t>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10</w:t>
      </w:r>
      <w:r>
        <w:rPr>
          <w:rFonts w:hint="eastAsia"/>
          <w:lang w:eastAsia="zh-CN"/>
        </w:rPr>
        <w:t>）</w:t>
      </w:r>
      <w:r>
        <w:t>《广东省国民经济和社会发展第十三个五年规划纲要》，2016年4月；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11</w:t>
      </w:r>
      <w:r>
        <w:rPr>
          <w:rFonts w:hint="eastAsia"/>
          <w:lang w:eastAsia="zh-CN"/>
        </w:rPr>
        <w:t>）</w:t>
      </w:r>
      <w:r>
        <w:t>《关于同意广东省地下水功能区划的复函》（粤办函</w:t>
      </w:r>
      <w:r>
        <w:rPr>
          <w:rFonts w:hint="eastAsia" w:ascii="宋体" w:hAnsi="宋体" w:eastAsia="宋体" w:cs="宋体"/>
        </w:rPr>
        <w:t>〔</w:t>
      </w:r>
      <w:r>
        <w:t>2009</w:t>
      </w:r>
      <w:r>
        <w:rPr>
          <w:rFonts w:hint="eastAsia" w:ascii="宋体" w:hAnsi="宋体" w:eastAsia="宋体" w:cs="宋体"/>
        </w:rPr>
        <w:t>〕</w:t>
      </w:r>
      <w:r>
        <w:t>459号）；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12</w:t>
      </w:r>
      <w:r>
        <w:rPr>
          <w:rFonts w:hint="eastAsia"/>
          <w:lang w:eastAsia="zh-CN"/>
        </w:rPr>
        <w:t>）</w:t>
      </w:r>
      <w:r>
        <w:t>《关于印发广东省地下水功能区划的通知》（粤水资源</w:t>
      </w:r>
      <w:r>
        <w:rPr>
          <w:rFonts w:hint="eastAsia" w:ascii="宋体" w:hAnsi="宋体" w:eastAsia="宋体" w:cs="宋体"/>
        </w:rPr>
        <w:t>〔</w:t>
      </w:r>
      <w:r>
        <w:t>2009</w:t>
      </w:r>
      <w:r>
        <w:rPr>
          <w:rFonts w:hint="eastAsia" w:ascii="宋体" w:hAnsi="宋体" w:eastAsia="宋体" w:cs="宋体"/>
        </w:rPr>
        <w:t>〕</w:t>
      </w:r>
      <w:r>
        <w:t>19号）；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13</w:t>
      </w:r>
      <w:r>
        <w:rPr>
          <w:rFonts w:hint="eastAsia"/>
          <w:lang w:eastAsia="zh-CN"/>
        </w:rPr>
        <w:t>）</w:t>
      </w:r>
      <w:r>
        <w:t>《广东省生猪生产发展总体规划和区域布局（2008-2020年）》，粤农</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185；</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14</w:t>
      </w:r>
      <w:r>
        <w:rPr>
          <w:rFonts w:hint="eastAsia"/>
          <w:lang w:eastAsia="zh-CN"/>
        </w:rPr>
        <w:t>）</w:t>
      </w:r>
      <w:r>
        <w:t>《广东省主体功能区规划的配套环保政策》，粤环</w:t>
      </w:r>
      <w:r>
        <w:rPr>
          <w:rFonts w:hint="eastAsia" w:ascii="宋体" w:hAnsi="宋体" w:eastAsia="宋体" w:cs="宋体"/>
        </w:rPr>
        <w:t>〔</w:t>
      </w:r>
      <w:r>
        <w:t>20</w:t>
      </w:r>
      <w:r>
        <w:rPr>
          <w:rFonts w:hint="eastAsia"/>
          <w:lang w:val="en-US" w:eastAsia="zh-CN"/>
        </w:rPr>
        <w:t>14</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5</w:t>
      </w:r>
      <w:r>
        <w:t>）《韶关市城市总体规划（2015~2030）》；</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6</w:t>
      </w:r>
      <w:r>
        <w:t>）《韶关市环境保护规划纲要（2006-2020）》，韶府办</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210 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17</w:t>
      </w:r>
      <w:r>
        <w:rPr>
          <w:rFonts w:hint="eastAsia"/>
          <w:lang w:eastAsia="zh-CN"/>
        </w:rPr>
        <w:t>）</w:t>
      </w:r>
      <w:r>
        <w:t>《韶关市国民经济和社会发展第十三个五年规划纲要》，2016年10月；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18</w:t>
      </w:r>
      <w:r>
        <w:rPr>
          <w:rFonts w:hint="eastAsia"/>
          <w:lang w:eastAsia="zh-CN"/>
        </w:rPr>
        <w:t>）</w:t>
      </w:r>
      <w:r>
        <w:t>《韶关市农业农村经济“十三五”发展规划》，韶农</w:t>
      </w:r>
      <w:r>
        <w:rPr>
          <w:rFonts w:hint="eastAsia" w:ascii="宋体" w:hAnsi="宋体" w:eastAsia="宋体" w:cs="宋体"/>
        </w:rPr>
        <w:t>〔</w:t>
      </w:r>
      <w:r>
        <w:t>20</w:t>
      </w:r>
      <w:r>
        <w:rPr>
          <w:rFonts w:hint="eastAsia"/>
          <w:lang w:val="en-US" w:eastAsia="zh-CN"/>
        </w:rPr>
        <w:t>16</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19</w:t>
      </w:r>
      <w:r>
        <w:rPr>
          <w:rFonts w:hint="eastAsia"/>
          <w:lang w:eastAsia="zh-CN"/>
        </w:rPr>
        <w:t>）</w:t>
      </w:r>
      <w:r>
        <w:t>《广东省韶关市土地利用总体规划（2006-2020年）》，2010年；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20</w:t>
      </w:r>
      <w:r>
        <w:rPr>
          <w:rFonts w:hint="eastAsia"/>
          <w:lang w:eastAsia="zh-CN"/>
        </w:rPr>
        <w:t>）</w:t>
      </w:r>
      <w:r>
        <w:t>《韶关市生猪和家禽发展规划和布局（2008~2020）》，韶农〔2009</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21</w:t>
      </w:r>
      <w:r>
        <w:rPr>
          <w:rFonts w:hint="eastAsia"/>
          <w:lang w:eastAsia="zh-CN"/>
        </w:rPr>
        <w:t>）</w:t>
      </w:r>
      <w:r>
        <w:t>《印发关于促进全市生猪生产和价格稳定工作方案的通知》，韶府办〔2011</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22</w:t>
      </w:r>
      <w:r>
        <w:rPr>
          <w:rFonts w:hint="eastAsia"/>
          <w:lang w:eastAsia="zh-CN"/>
        </w:rPr>
        <w:t>）</w:t>
      </w:r>
      <w:r>
        <w:t>《广东省打赢蓝天保卫战实施方案（2018-2020 年）》（粤府函〔2018〕128号）；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23</w:t>
      </w:r>
      <w:r>
        <w:rPr>
          <w:rFonts w:hint="eastAsia"/>
          <w:lang w:eastAsia="zh-CN"/>
        </w:rPr>
        <w:t>）</w:t>
      </w:r>
      <w:r>
        <w:t>《关于印发南粤水更清行动计划（修订本）（2017-2020 年）的通知》（粤环〔2017</w:t>
      </w:r>
      <w:r>
        <w:rPr>
          <w:rFonts w:hint="eastAsia" w:ascii="宋体" w:hAnsi="宋体" w:eastAsia="宋体" w:cs="宋体"/>
        </w:rPr>
        <w:t>〕</w:t>
      </w:r>
      <w:r>
        <w:t>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24</w:t>
      </w:r>
      <w:r>
        <w:rPr>
          <w:rFonts w:hint="eastAsia"/>
          <w:lang w:eastAsia="zh-CN"/>
        </w:rPr>
        <w:t>）</w:t>
      </w:r>
      <w:r>
        <w:t>《广东省人民政府关于印发广东省水污染防治行动计划实施方案的通知》（粤府〔2015</w:t>
      </w:r>
      <w:r>
        <w:rPr>
          <w:rFonts w:hint="eastAsia" w:ascii="宋体" w:hAnsi="宋体" w:eastAsia="宋体" w:cs="宋体"/>
        </w:rPr>
        <w:t>〕</w:t>
      </w:r>
      <w:r>
        <w:t>131号）；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25</w:t>
      </w:r>
      <w:r>
        <w:rPr>
          <w:rFonts w:hint="eastAsia"/>
          <w:lang w:eastAsia="zh-CN"/>
        </w:rPr>
        <w:t>）</w:t>
      </w:r>
      <w:r>
        <w:t>《广东省人民政府关于印发广东省大气污染防治强化措施及分工方案的通知》（粤办函〔2017</w:t>
      </w:r>
      <w:r>
        <w:rPr>
          <w:rFonts w:hint="eastAsia" w:ascii="宋体" w:hAnsi="宋体" w:eastAsia="宋体" w:cs="宋体"/>
        </w:rPr>
        <w:t>〕</w:t>
      </w:r>
      <w:r>
        <w:t>471号）；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26</w:t>
      </w:r>
      <w:r>
        <w:rPr>
          <w:rFonts w:hint="eastAsia"/>
          <w:lang w:eastAsia="zh-CN"/>
        </w:rPr>
        <w:t>）</w:t>
      </w:r>
      <w:r>
        <w:t>《广东省人民政府关于印发广东省土壤污染防治行动计划实施方案的通知》（粤府〔2016</w:t>
      </w:r>
      <w:r>
        <w:rPr>
          <w:rFonts w:hint="eastAsia" w:ascii="宋体" w:hAnsi="宋体" w:eastAsia="宋体" w:cs="宋体"/>
        </w:rPr>
        <w:t>〕</w:t>
      </w:r>
      <w:r>
        <w:t>145号）；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27</w:t>
      </w:r>
      <w:r>
        <w:rPr>
          <w:rFonts w:hint="eastAsia"/>
          <w:lang w:eastAsia="zh-CN"/>
        </w:rPr>
        <w:t>）</w:t>
      </w:r>
      <w:r>
        <w:t>《关于发布广东省生态环境厅审批环境影响评价文件的建设项目名录（2019年本）的通知》，粤环〔2019〕24号；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28</w:t>
      </w:r>
      <w:r>
        <w:rPr>
          <w:rFonts w:hint="eastAsia"/>
          <w:lang w:eastAsia="zh-CN"/>
        </w:rPr>
        <w:t>）</w:t>
      </w:r>
      <w:r>
        <w:t>《广东省环境保护厅关于转发环境保护部&lt;建设项目主要污染物排放总量指标审核及管理暂行办法&gt;的通知》（粤环〔2015〕45号）；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29</w:t>
      </w:r>
      <w:r>
        <w:rPr>
          <w:rFonts w:hint="eastAsia"/>
          <w:lang w:eastAsia="zh-CN"/>
        </w:rPr>
        <w:t>）</w:t>
      </w:r>
      <w:r>
        <w:t>《关于印发广东省污染源排污口规范化设置导则的通知》(粤环〔2008〕42号，2008年4月28日发布)；</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30</w:t>
      </w:r>
      <w:r>
        <w:rPr>
          <w:rFonts w:hint="eastAsia"/>
          <w:lang w:eastAsia="zh-CN"/>
        </w:rPr>
        <w:t>）</w:t>
      </w:r>
      <w:r>
        <w:t>《广东省人民政府办公厅关于印发广东省控制污染物排放许可制实施计划的通知》（粤府办〔2017〕29号）；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31</w:t>
      </w:r>
      <w:r>
        <w:rPr>
          <w:rFonts w:hint="eastAsia"/>
          <w:lang w:eastAsia="zh-CN"/>
        </w:rPr>
        <w:t>）</w:t>
      </w:r>
      <w:r>
        <w:t>《广东省环境保护厅关于实施国家排污许可制有关事项的公告》（粤环发〔2018〕7号）。</w:t>
      </w:r>
    </w:p>
    <w:bookmarkEnd w:id="17"/>
    <w:p>
      <w:pPr>
        <w:pStyle w:val="5"/>
        <w:ind w:firstLine="562"/>
      </w:pPr>
      <w:r>
        <w:t>导则、技术规范、养殖行业标准</w:t>
      </w:r>
    </w:p>
    <w:p>
      <w:pPr>
        <w:pStyle w:val="8"/>
      </w:pPr>
      <w:r>
        <w:rPr>
          <w:rFonts w:hint="eastAsia"/>
        </w:rPr>
        <w:t>（1）《建设项目环境影响评价技术导则 总纲》（HJ 2.1-2016）</w:t>
      </w:r>
      <w:r>
        <w:t>；</w:t>
      </w:r>
    </w:p>
    <w:p>
      <w:pPr>
        <w:pStyle w:val="8"/>
      </w:pPr>
      <w:r>
        <w:rPr>
          <w:rFonts w:hint="eastAsia"/>
        </w:rPr>
        <w:t>（</w:t>
      </w:r>
      <w:r>
        <w:rPr>
          <w:rFonts w:hint="eastAsia"/>
          <w:lang w:val="en-US" w:eastAsia="zh-CN"/>
        </w:rPr>
        <w:t>2</w:t>
      </w:r>
      <w:r>
        <w:rPr>
          <w:rFonts w:hint="eastAsia"/>
        </w:rPr>
        <w:t>）</w:t>
      </w:r>
      <w:r>
        <w:t>《环境影响评价技术导则——大气环境》(HJ2.2-2018)；</w:t>
      </w:r>
    </w:p>
    <w:p>
      <w:pPr>
        <w:pStyle w:val="8"/>
      </w:pPr>
      <w:r>
        <w:rPr>
          <w:rFonts w:hint="eastAsia"/>
        </w:rPr>
        <w:t>（</w:t>
      </w:r>
      <w:r>
        <w:rPr>
          <w:rFonts w:hint="eastAsia"/>
          <w:lang w:val="en-US" w:eastAsia="zh-CN"/>
        </w:rPr>
        <w:t>3</w:t>
      </w:r>
      <w:r>
        <w:rPr>
          <w:rFonts w:hint="eastAsia"/>
        </w:rPr>
        <w:t>）</w:t>
      </w:r>
      <w:r>
        <w:t>《环境影响评价技术导则——地</w:t>
      </w:r>
      <w:r>
        <w:rPr>
          <w:rFonts w:hint="eastAsia"/>
        </w:rPr>
        <w:t>表</w:t>
      </w:r>
      <w:r>
        <w:t>水环境》(HJ2.3-2018)；</w:t>
      </w:r>
    </w:p>
    <w:p>
      <w:pPr>
        <w:pStyle w:val="8"/>
      </w:pPr>
      <w:r>
        <w:rPr>
          <w:rFonts w:hint="eastAsia"/>
        </w:rPr>
        <w:t>（</w:t>
      </w:r>
      <w:r>
        <w:rPr>
          <w:rFonts w:hint="eastAsia"/>
          <w:lang w:val="en-US" w:eastAsia="zh-CN"/>
        </w:rPr>
        <w:t>4</w:t>
      </w:r>
      <w:r>
        <w:rPr>
          <w:rFonts w:hint="eastAsia"/>
        </w:rPr>
        <w:t>）</w:t>
      </w:r>
      <w:r>
        <w:t>《环境影响评价技术导则——地下水环境》(HJ610-2016)；</w:t>
      </w:r>
    </w:p>
    <w:p>
      <w:pPr>
        <w:pStyle w:val="8"/>
      </w:pPr>
      <w:r>
        <w:rPr>
          <w:rFonts w:hint="eastAsia"/>
        </w:rPr>
        <w:t>（</w:t>
      </w:r>
      <w:r>
        <w:rPr>
          <w:rFonts w:hint="eastAsia"/>
          <w:lang w:val="en-US" w:eastAsia="zh-CN"/>
        </w:rPr>
        <w:t>5</w:t>
      </w:r>
      <w:r>
        <w:rPr>
          <w:rFonts w:hint="eastAsia"/>
        </w:rPr>
        <w:t>）</w:t>
      </w:r>
      <w:r>
        <w:t>《环境影响评价技术导则——声环境》(HJ2.4-2009)；</w:t>
      </w:r>
    </w:p>
    <w:p>
      <w:pPr>
        <w:pStyle w:val="8"/>
      </w:pPr>
      <w:r>
        <w:rPr>
          <w:rFonts w:hint="eastAsia"/>
        </w:rPr>
        <w:t>（</w:t>
      </w:r>
      <w:r>
        <w:rPr>
          <w:rFonts w:hint="eastAsia"/>
          <w:lang w:val="en-US" w:eastAsia="zh-CN"/>
        </w:rPr>
        <w:t>6</w:t>
      </w:r>
      <w:r>
        <w:rPr>
          <w:rFonts w:hint="eastAsia"/>
        </w:rPr>
        <w:t>）</w:t>
      </w:r>
      <w:r>
        <w:t>《环境影响评价技术导则——生态影响》(HJ/T19-201</w:t>
      </w:r>
      <w:r>
        <w:rPr>
          <w:rFonts w:hint="eastAsia"/>
        </w:rPr>
        <w:t>6</w:t>
      </w:r>
      <w:r>
        <w:t>)；</w:t>
      </w:r>
    </w:p>
    <w:p>
      <w:pPr>
        <w:pStyle w:val="8"/>
        <w:rPr>
          <w:rFonts w:hint="eastAsia" w:eastAsia="宋体"/>
          <w:lang w:eastAsia="zh-CN"/>
        </w:rPr>
      </w:pPr>
      <w:r>
        <w:rPr>
          <w:rFonts w:hint="eastAsia"/>
        </w:rPr>
        <w:t>（</w:t>
      </w:r>
      <w:r>
        <w:rPr>
          <w:rFonts w:hint="eastAsia"/>
          <w:lang w:val="en-US" w:eastAsia="zh-CN"/>
        </w:rPr>
        <w:t>7</w:t>
      </w:r>
      <w:r>
        <w:rPr>
          <w:rFonts w:hint="eastAsia"/>
        </w:rPr>
        <w:t>）</w:t>
      </w:r>
      <w:r>
        <w:t>《环境影响评价技术导则——</w:t>
      </w:r>
      <w:r>
        <w:rPr>
          <w:rFonts w:hint="eastAsia"/>
        </w:rPr>
        <w:t>土壤</w:t>
      </w:r>
      <w:r>
        <w:t>影响》</w:t>
      </w:r>
      <w:r>
        <w:rPr>
          <w:rFonts w:hint="eastAsia"/>
        </w:rPr>
        <w:t>（试行）（H</w:t>
      </w:r>
      <w:r>
        <w:t>J964-2018</w:t>
      </w:r>
      <w:r>
        <w:rPr>
          <w:rFonts w:hint="eastAsia"/>
        </w:rPr>
        <w:t>）</w:t>
      </w:r>
      <w:r>
        <w:rPr>
          <w:rFonts w:hint="eastAsia"/>
          <w:lang w:eastAsia="zh-CN"/>
        </w:rPr>
        <w:t>；</w:t>
      </w:r>
    </w:p>
    <w:p>
      <w:pPr>
        <w:pStyle w:val="8"/>
        <w:rPr>
          <w:rFonts w:hint="eastAsia" w:eastAsia="宋体"/>
          <w:lang w:eastAsia="zh-CN"/>
        </w:rPr>
      </w:pPr>
      <w:r>
        <w:rPr>
          <w:rFonts w:hint="eastAsia"/>
        </w:rPr>
        <w:t>（</w:t>
      </w:r>
      <w:r>
        <w:rPr>
          <w:rFonts w:hint="eastAsia"/>
          <w:lang w:val="en-US" w:eastAsia="zh-CN"/>
        </w:rPr>
        <w:t>8</w:t>
      </w:r>
      <w:r>
        <w:rPr>
          <w:rFonts w:hint="eastAsia"/>
        </w:rPr>
        <w:t>）《建设项目环境风险评价技术导则》（H</w:t>
      </w:r>
      <w:r>
        <w:t>J169-2018</w:t>
      </w:r>
      <w:r>
        <w:rPr>
          <w:rFonts w:hint="eastAsia"/>
        </w:rPr>
        <w:t>）</w:t>
      </w:r>
      <w:r>
        <w:rPr>
          <w:rFonts w:hint="eastAsia"/>
          <w:lang w:eastAsia="zh-CN"/>
        </w:rPr>
        <w:t>；</w:t>
      </w:r>
    </w:p>
    <w:p>
      <w:pPr>
        <w:pStyle w:val="8"/>
        <w:rPr>
          <w:rFonts w:hint="eastAsia"/>
        </w:rPr>
      </w:pPr>
      <w:r>
        <w:rPr>
          <w:rFonts w:hint="eastAsia"/>
        </w:rPr>
        <w:t>（</w:t>
      </w:r>
      <w:r>
        <w:rPr>
          <w:rFonts w:hint="eastAsia"/>
          <w:lang w:val="en-US" w:eastAsia="zh-CN"/>
        </w:rPr>
        <w:t>9</w:t>
      </w:r>
      <w:r>
        <w:rPr>
          <w:rFonts w:hint="eastAsia"/>
        </w:rPr>
        <w:t>）《地表水和污水检测技术规范》（HJ/T 91-2002）；</w:t>
      </w:r>
    </w:p>
    <w:p>
      <w:pPr>
        <w:pStyle w:val="8"/>
        <w:rPr>
          <w:rFonts w:hint="eastAsia"/>
        </w:rPr>
      </w:pPr>
      <w:r>
        <w:rPr>
          <w:rFonts w:hint="eastAsia"/>
          <w:lang w:eastAsia="zh-CN"/>
        </w:rPr>
        <w:t>（</w:t>
      </w:r>
      <w:r>
        <w:rPr>
          <w:rFonts w:hint="eastAsia"/>
          <w:lang w:val="en-US" w:eastAsia="zh-CN"/>
        </w:rPr>
        <w:t>10</w:t>
      </w:r>
      <w:r>
        <w:rPr>
          <w:rFonts w:hint="eastAsia"/>
          <w:lang w:eastAsia="zh-CN"/>
        </w:rPr>
        <w:t>）</w:t>
      </w:r>
      <w:r>
        <w:rPr>
          <w:rFonts w:hint="eastAsia"/>
        </w:rPr>
        <w:t>《畜禽养殖产地环境评价规范》（HJ 568-2010）；</w:t>
      </w:r>
    </w:p>
    <w:p>
      <w:pPr>
        <w:pStyle w:val="8"/>
        <w:rPr>
          <w:rFonts w:hint="eastAsia"/>
        </w:rPr>
      </w:pPr>
      <w:r>
        <w:rPr>
          <w:rFonts w:hint="eastAsia"/>
        </w:rPr>
        <w:t>（11）《畜禽产地检疫规范》（GB16549-1996）；</w:t>
      </w:r>
    </w:p>
    <w:p>
      <w:pPr>
        <w:pStyle w:val="8"/>
        <w:rPr>
          <w:rFonts w:hint="eastAsia"/>
        </w:rPr>
      </w:pPr>
      <w:r>
        <w:rPr>
          <w:rFonts w:hint="eastAsia"/>
          <w:lang w:eastAsia="zh-CN"/>
        </w:rPr>
        <w:t>（</w:t>
      </w:r>
      <w:r>
        <w:rPr>
          <w:rFonts w:hint="eastAsia"/>
          <w:lang w:val="en-US" w:eastAsia="zh-CN"/>
        </w:rPr>
        <w:t>12</w:t>
      </w:r>
      <w:r>
        <w:rPr>
          <w:rFonts w:hint="eastAsia"/>
          <w:lang w:eastAsia="zh-CN"/>
        </w:rPr>
        <w:t>）</w:t>
      </w:r>
      <w:r>
        <w:rPr>
          <w:rFonts w:hint="eastAsia"/>
        </w:rPr>
        <w:t>《畜禽病害肉尸及其产品无害化处理规程》（GB16548-1996）；</w:t>
      </w:r>
    </w:p>
    <w:p>
      <w:pPr>
        <w:pStyle w:val="8"/>
        <w:rPr>
          <w:rFonts w:hint="eastAsia"/>
        </w:rPr>
      </w:pPr>
      <w:r>
        <w:rPr>
          <w:rFonts w:hint="eastAsia"/>
          <w:lang w:eastAsia="zh-CN"/>
        </w:rPr>
        <w:t>（</w:t>
      </w:r>
      <w:r>
        <w:rPr>
          <w:rFonts w:hint="eastAsia"/>
          <w:lang w:val="en-US" w:eastAsia="zh-CN"/>
        </w:rPr>
        <w:t>13</w:t>
      </w:r>
      <w:r>
        <w:rPr>
          <w:rFonts w:hint="eastAsia"/>
          <w:lang w:eastAsia="zh-CN"/>
        </w:rPr>
        <w:t>）</w:t>
      </w:r>
      <w:r>
        <w:rPr>
          <w:rFonts w:hint="eastAsia"/>
        </w:rPr>
        <w:t>《畜禽场环境质量评价标准》（GB/T19525.2-2004）；</w:t>
      </w:r>
    </w:p>
    <w:p>
      <w:pPr>
        <w:pStyle w:val="8"/>
        <w:rPr>
          <w:rFonts w:hint="eastAsia"/>
        </w:rPr>
      </w:pPr>
      <w:r>
        <w:rPr>
          <w:rFonts w:hint="eastAsia"/>
          <w:lang w:eastAsia="zh-CN"/>
        </w:rPr>
        <w:t>（</w:t>
      </w:r>
      <w:r>
        <w:rPr>
          <w:rFonts w:hint="eastAsia"/>
          <w:lang w:val="en-US" w:eastAsia="zh-CN"/>
        </w:rPr>
        <w:t>14</w:t>
      </w:r>
      <w:r>
        <w:rPr>
          <w:rFonts w:hint="eastAsia"/>
          <w:lang w:eastAsia="zh-CN"/>
        </w:rPr>
        <w:t>）</w:t>
      </w:r>
      <w:r>
        <w:rPr>
          <w:rFonts w:hint="eastAsia"/>
        </w:rPr>
        <w:t>《一般工业固体废物贮存、处置场污染控制标准》（GB18599-2001）及其2013年修改单；</w:t>
      </w:r>
    </w:p>
    <w:p>
      <w:pPr>
        <w:pStyle w:val="8"/>
        <w:rPr>
          <w:rFonts w:hint="eastAsia"/>
        </w:rPr>
      </w:pPr>
      <w:r>
        <w:rPr>
          <w:rFonts w:hint="eastAsia"/>
        </w:rPr>
        <w:t>（15）《商品猪场建设标准》（DB37/T303-2002）；</w:t>
      </w:r>
    </w:p>
    <w:p>
      <w:pPr>
        <w:pStyle w:val="8"/>
        <w:rPr>
          <w:rFonts w:hint="eastAsia"/>
        </w:rPr>
      </w:pPr>
      <w:r>
        <w:rPr>
          <w:rFonts w:hint="eastAsia"/>
          <w:lang w:eastAsia="zh-CN"/>
        </w:rPr>
        <w:t>（</w:t>
      </w:r>
      <w:r>
        <w:rPr>
          <w:rFonts w:hint="eastAsia"/>
          <w:lang w:val="en-US" w:eastAsia="zh-CN"/>
        </w:rPr>
        <w:t>16</w:t>
      </w:r>
      <w:r>
        <w:rPr>
          <w:rFonts w:hint="eastAsia"/>
          <w:lang w:eastAsia="zh-CN"/>
        </w:rPr>
        <w:t>）</w:t>
      </w:r>
      <w:r>
        <w:rPr>
          <w:rFonts w:hint="eastAsia"/>
        </w:rPr>
        <w:t>《畜禽养殖业污染防治技术规范》（HJ/T 81-2001）；</w:t>
      </w:r>
    </w:p>
    <w:p>
      <w:pPr>
        <w:pStyle w:val="8"/>
        <w:rPr>
          <w:rFonts w:hint="eastAsia"/>
        </w:rPr>
      </w:pPr>
      <w:r>
        <w:rPr>
          <w:rFonts w:hint="eastAsia"/>
          <w:lang w:eastAsia="zh-CN"/>
        </w:rPr>
        <w:t>（</w:t>
      </w:r>
      <w:r>
        <w:rPr>
          <w:rFonts w:hint="eastAsia"/>
          <w:lang w:val="en-US" w:eastAsia="zh-CN"/>
        </w:rPr>
        <w:t>17</w:t>
      </w:r>
      <w:r>
        <w:rPr>
          <w:rFonts w:hint="eastAsia"/>
          <w:lang w:eastAsia="zh-CN"/>
        </w:rPr>
        <w:t>）</w:t>
      </w:r>
      <w:r>
        <w:rPr>
          <w:rFonts w:hint="eastAsia"/>
        </w:rPr>
        <w:t>《畜禽养殖业污染防治办法》，2001年3月20日施行；</w:t>
      </w:r>
    </w:p>
    <w:p>
      <w:pPr>
        <w:pStyle w:val="8"/>
        <w:rPr>
          <w:rFonts w:hint="eastAsia"/>
        </w:rPr>
      </w:pPr>
      <w:r>
        <w:rPr>
          <w:rFonts w:hint="eastAsia"/>
          <w:lang w:eastAsia="zh-CN"/>
        </w:rPr>
        <w:t>（</w:t>
      </w:r>
      <w:r>
        <w:rPr>
          <w:rFonts w:hint="eastAsia"/>
          <w:lang w:val="en-US" w:eastAsia="zh-CN"/>
        </w:rPr>
        <w:t>18</w:t>
      </w:r>
      <w:r>
        <w:rPr>
          <w:rFonts w:hint="eastAsia"/>
          <w:lang w:eastAsia="zh-CN"/>
        </w:rPr>
        <w:t>）</w:t>
      </w:r>
      <w:r>
        <w:rPr>
          <w:rFonts w:hint="eastAsia"/>
        </w:rPr>
        <w:t>《养殖业污染治理工程技术规范》（HJ 497-2009）；</w:t>
      </w:r>
    </w:p>
    <w:p>
      <w:pPr>
        <w:pStyle w:val="8"/>
        <w:rPr>
          <w:rFonts w:hint="eastAsia" w:eastAsia="宋体"/>
          <w:lang w:eastAsia="zh-CN"/>
        </w:rPr>
      </w:pPr>
      <w:r>
        <w:rPr>
          <w:rFonts w:hint="eastAsia"/>
          <w:lang w:eastAsia="zh-CN"/>
        </w:rPr>
        <w:t>（</w:t>
      </w:r>
      <w:r>
        <w:rPr>
          <w:rFonts w:hint="eastAsia"/>
          <w:lang w:val="en-US" w:eastAsia="zh-CN"/>
        </w:rPr>
        <w:t>19</w:t>
      </w:r>
      <w:r>
        <w:rPr>
          <w:rFonts w:hint="eastAsia"/>
          <w:lang w:eastAsia="zh-CN"/>
        </w:rPr>
        <w:t>）</w:t>
      </w:r>
      <w:r>
        <w:rPr>
          <w:rFonts w:hint="eastAsia"/>
        </w:rPr>
        <w:t>《小型集约化养猪场环境参数及环境管理》（GB/T 17824.4-1999）</w:t>
      </w:r>
      <w:r>
        <w:rPr>
          <w:rFonts w:hint="eastAsia"/>
          <w:lang w:eastAsia="zh-CN"/>
        </w:rPr>
        <w:t>；</w:t>
      </w:r>
    </w:p>
    <w:p>
      <w:pPr>
        <w:pStyle w:val="8"/>
        <w:rPr>
          <w:rFonts w:hint="eastAsia"/>
        </w:rPr>
      </w:pPr>
      <w:r>
        <w:rPr>
          <w:rFonts w:hint="eastAsia"/>
          <w:lang w:eastAsia="zh-CN"/>
        </w:rPr>
        <w:t>（</w:t>
      </w:r>
      <w:r>
        <w:rPr>
          <w:rFonts w:hint="eastAsia"/>
          <w:lang w:val="en-US" w:eastAsia="zh-CN"/>
        </w:rPr>
        <w:t>20</w:t>
      </w:r>
      <w:r>
        <w:rPr>
          <w:rFonts w:hint="eastAsia"/>
          <w:lang w:eastAsia="zh-CN"/>
        </w:rPr>
        <w:t>）</w:t>
      </w:r>
      <w:r>
        <w:rPr>
          <w:rFonts w:hint="eastAsia"/>
        </w:rPr>
        <w:t>《病害动物和病害动物产品生物案例处理规程》（GB 16548-2006）；</w:t>
      </w:r>
    </w:p>
    <w:p>
      <w:pPr>
        <w:pStyle w:val="8"/>
        <w:rPr>
          <w:rFonts w:hint="eastAsia"/>
        </w:rPr>
      </w:pPr>
      <w:r>
        <w:rPr>
          <w:rFonts w:hint="eastAsia"/>
          <w:lang w:eastAsia="zh-CN"/>
        </w:rPr>
        <w:t>（</w:t>
      </w:r>
      <w:r>
        <w:rPr>
          <w:rFonts w:hint="eastAsia"/>
          <w:lang w:val="en-US" w:eastAsia="zh-CN"/>
        </w:rPr>
        <w:t>21</w:t>
      </w:r>
      <w:r>
        <w:rPr>
          <w:rFonts w:hint="eastAsia"/>
          <w:lang w:eastAsia="zh-CN"/>
        </w:rPr>
        <w:t>）</w:t>
      </w:r>
      <w:r>
        <w:rPr>
          <w:rFonts w:hint="eastAsia"/>
        </w:rPr>
        <w:t>《病死动物无害化处理技术规范》（农医发[2013]34号）；</w:t>
      </w:r>
    </w:p>
    <w:p>
      <w:pPr>
        <w:pStyle w:val="8"/>
        <w:rPr>
          <w:rFonts w:hint="eastAsia"/>
        </w:rPr>
      </w:pPr>
      <w:r>
        <w:rPr>
          <w:rFonts w:hint="eastAsia"/>
          <w:lang w:eastAsia="zh-CN"/>
        </w:rPr>
        <w:t>（</w:t>
      </w:r>
      <w:r>
        <w:rPr>
          <w:rFonts w:hint="eastAsia"/>
          <w:lang w:val="en-US" w:eastAsia="zh-CN"/>
        </w:rPr>
        <w:t>22</w:t>
      </w:r>
      <w:r>
        <w:rPr>
          <w:rFonts w:hint="eastAsia"/>
          <w:lang w:eastAsia="zh-CN"/>
        </w:rPr>
        <w:t>）</w:t>
      </w:r>
      <w:r>
        <w:rPr>
          <w:rFonts w:hint="eastAsia"/>
        </w:rPr>
        <w:t>《建设项目危险废物环境影响评价指南》（2017年10月1日起施行）；</w:t>
      </w:r>
    </w:p>
    <w:p>
      <w:pPr>
        <w:pStyle w:val="8"/>
        <w:rPr>
          <w:rFonts w:hint="eastAsia"/>
        </w:rPr>
      </w:pPr>
      <w:r>
        <w:rPr>
          <w:rFonts w:hint="eastAsia"/>
          <w:lang w:eastAsia="zh-CN"/>
        </w:rPr>
        <w:t>（</w:t>
      </w:r>
      <w:r>
        <w:rPr>
          <w:rFonts w:hint="eastAsia"/>
          <w:lang w:val="en-US" w:eastAsia="zh-CN"/>
        </w:rPr>
        <w:t>23</w:t>
      </w:r>
      <w:r>
        <w:rPr>
          <w:rFonts w:hint="eastAsia"/>
          <w:lang w:eastAsia="zh-CN"/>
        </w:rPr>
        <w:t>）</w:t>
      </w:r>
      <w:r>
        <w:rPr>
          <w:rFonts w:hint="eastAsia"/>
        </w:rPr>
        <w:t>《危险废物鉴别标准 通则》（GB 5085.7-2019）；</w:t>
      </w:r>
    </w:p>
    <w:p>
      <w:pPr>
        <w:pStyle w:val="8"/>
        <w:rPr>
          <w:rFonts w:hint="eastAsia"/>
        </w:rPr>
      </w:pPr>
      <w:r>
        <w:rPr>
          <w:rFonts w:hint="eastAsia"/>
          <w:lang w:eastAsia="zh-CN"/>
        </w:rPr>
        <w:t>（</w:t>
      </w:r>
      <w:r>
        <w:rPr>
          <w:rFonts w:hint="eastAsia"/>
          <w:lang w:val="en-US" w:eastAsia="zh-CN"/>
        </w:rPr>
        <w:t>24</w:t>
      </w:r>
      <w:r>
        <w:rPr>
          <w:rFonts w:hint="eastAsia"/>
          <w:lang w:eastAsia="zh-CN"/>
        </w:rPr>
        <w:t>）</w:t>
      </w:r>
      <w:r>
        <w:rPr>
          <w:rFonts w:hint="eastAsia"/>
        </w:rPr>
        <w:t>《危险废物鉴别技术规范》(HJ 298－2019）；</w:t>
      </w:r>
    </w:p>
    <w:p>
      <w:pPr>
        <w:pStyle w:val="8"/>
        <w:rPr>
          <w:rFonts w:hint="eastAsia"/>
        </w:rPr>
      </w:pPr>
      <w:r>
        <w:rPr>
          <w:rFonts w:hint="eastAsia"/>
          <w:lang w:eastAsia="zh-CN"/>
        </w:rPr>
        <w:t>（</w:t>
      </w:r>
      <w:r>
        <w:rPr>
          <w:rFonts w:hint="eastAsia"/>
          <w:lang w:val="en-US" w:eastAsia="zh-CN"/>
        </w:rPr>
        <w:t>25</w:t>
      </w:r>
      <w:r>
        <w:rPr>
          <w:rFonts w:hint="eastAsia"/>
          <w:lang w:eastAsia="zh-CN"/>
        </w:rPr>
        <w:t>）</w:t>
      </w:r>
      <w:r>
        <w:rPr>
          <w:rFonts w:hint="eastAsia"/>
        </w:rPr>
        <w:t>《畜禽规模养殖场粪污资源化利用设施建设规范（试行）》（农办牧〔2018〕2号）。</w:t>
      </w:r>
    </w:p>
    <w:p>
      <w:pPr>
        <w:pStyle w:val="5"/>
        <w:ind w:firstLine="562"/>
      </w:pPr>
      <w:r>
        <w:t>建设单位提供的其他文件</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1</w:t>
      </w:r>
      <w:r>
        <w:rPr>
          <w:rFonts w:hint="eastAsia"/>
          <w:lang w:eastAsia="zh-CN"/>
        </w:rPr>
        <w:t>）环境影响评价委托书；</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2</w:t>
      </w:r>
      <w:r>
        <w:rPr>
          <w:rFonts w:hint="eastAsia"/>
          <w:lang w:eastAsia="zh-CN"/>
        </w:rPr>
        <w:t>）建设单位提供的其他相关基础资料。</w:t>
      </w:r>
    </w:p>
    <w:p>
      <w:pPr>
        <w:pStyle w:val="4"/>
      </w:pPr>
      <w:bookmarkStart w:id="18" w:name="_Toc26254"/>
      <w:bookmarkStart w:id="19" w:name="_Toc346282442"/>
      <w:r>
        <w:t>相关规划及环境功能区划</w:t>
      </w:r>
      <w:bookmarkEnd w:id="18"/>
    </w:p>
    <w:p>
      <w:pPr>
        <w:pStyle w:val="5"/>
        <w:ind w:firstLine="562"/>
      </w:pPr>
      <w:r>
        <w:t>地表水环境功能区划</w:t>
      </w:r>
    </w:p>
    <w:p>
      <w:pPr>
        <w:pStyle w:val="9"/>
        <w:rPr>
          <w:rFonts w:hint="eastAsia"/>
          <w:highlight w:val="none"/>
        </w:rPr>
      </w:pPr>
      <w:r>
        <w:rPr>
          <w:rFonts w:hint="eastAsia"/>
        </w:rPr>
        <w:t>本项目位于韶关市</w:t>
      </w:r>
      <w:r>
        <w:rPr>
          <w:rFonts w:hint="eastAsia"/>
          <w:lang w:val="en-US" w:eastAsia="zh-CN"/>
        </w:rPr>
        <w:t>仁化县丹霞街道高联村寨下组</w:t>
      </w:r>
      <w:r>
        <w:rPr>
          <w:rFonts w:hint="eastAsia"/>
        </w:rPr>
        <w:t>，所在地</w:t>
      </w:r>
      <w:r>
        <w:rPr>
          <w:rFonts w:hint="eastAsia"/>
          <w:lang w:eastAsia="zh-CN"/>
        </w:rPr>
        <w:t>水系属北江水系，</w:t>
      </w:r>
      <w:r>
        <w:rPr>
          <w:rFonts w:hint="eastAsia"/>
        </w:rPr>
        <w:t>所在地附近地表水体为</w:t>
      </w:r>
      <w:r>
        <w:rPr>
          <w:rFonts w:hint="eastAsia"/>
          <w:lang w:eastAsia="zh-CN"/>
        </w:rPr>
        <w:t>锦江</w:t>
      </w:r>
      <w:r>
        <w:rPr>
          <w:rFonts w:hint="eastAsia"/>
        </w:rPr>
        <w:t>，根据《广东省地表水环境功能区划》（粤府函</w:t>
      </w:r>
      <w:r>
        <w:rPr>
          <w:rFonts w:hint="eastAsia" w:ascii="宋体" w:hAnsi="宋体" w:eastAsia="宋体" w:cs="宋体"/>
        </w:rPr>
        <w:t>〔</w:t>
      </w:r>
      <w:r>
        <w:rPr>
          <w:rFonts w:hint="eastAsia"/>
        </w:rPr>
        <w:t>2011</w:t>
      </w:r>
      <w:r>
        <w:rPr>
          <w:rFonts w:hint="eastAsia" w:ascii="宋体" w:hAnsi="宋体" w:eastAsia="宋体" w:cs="宋体"/>
        </w:rPr>
        <w:t>〕</w:t>
      </w:r>
      <w:r>
        <w:rPr>
          <w:rFonts w:hint="eastAsia"/>
        </w:rPr>
        <w:t>14号文件），</w:t>
      </w:r>
      <w:r>
        <w:rPr>
          <w:rFonts w:hint="eastAsia"/>
          <w:lang w:eastAsia="zh-CN"/>
        </w:rPr>
        <w:t>锦江</w:t>
      </w:r>
      <w:r>
        <w:rPr>
          <w:rFonts w:hint="eastAsia"/>
        </w:rPr>
        <w:t>水质目标为</w:t>
      </w:r>
      <w:r>
        <w:rPr>
          <w:rFonts w:hint="eastAsia"/>
          <w:lang w:eastAsia="zh-CN"/>
        </w:rPr>
        <w:t>Ⅲ</w:t>
      </w:r>
      <w:r>
        <w:rPr>
          <w:rFonts w:hint="eastAsia"/>
        </w:rPr>
        <w:t>类水，功能现状为综合用水，水环境质量执行《地表水环境质量标准》（GB3838-2002）中的</w:t>
      </w:r>
      <w:r>
        <w:rPr>
          <w:rFonts w:hint="eastAsia"/>
          <w:lang w:eastAsia="zh-CN"/>
        </w:rPr>
        <w:t>Ⅲ</w:t>
      </w:r>
      <w:r>
        <w:rPr>
          <w:rFonts w:hint="eastAsia"/>
        </w:rPr>
        <w:t>类标</w:t>
      </w:r>
      <w:r>
        <w:rPr>
          <w:rFonts w:hint="eastAsia"/>
          <w:highlight w:val="none"/>
        </w:rPr>
        <w:t>准，水系图见图2.3-1。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153025" cy="3401060"/>
            <wp:effectExtent l="19050" t="19050" r="28575" b="2794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17"/>
                    <a:stretch>
                      <a:fillRect/>
                    </a:stretch>
                  </pic:blipFill>
                  <pic:spPr>
                    <a:xfrm>
                      <a:off x="0" y="0"/>
                      <a:ext cx="5153025" cy="34010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eastAsia="zh-CN"/>
        </w:rPr>
        <w:t>图</w:t>
      </w:r>
      <w:r>
        <w:rPr>
          <w:rFonts w:hint="default" w:ascii="Times New Roman" w:hAnsi="Times New Roman" w:eastAsia="宋体" w:cs="Times New Roman"/>
          <w:b/>
          <w:bCs/>
          <w:sz w:val="21"/>
          <w:szCs w:val="21"/>
          <w:highlight w:val="none"/>
          <w:lang w:val="en-US" w:eastAsia="zh-CN"/>
        </w:rPr>
        <w:t>2.3-1   项目所在地水系示意图</w:t>
      </w:r>
    </w:p>
    <w:p>
      <w:pPr>
        <w:pStyle w:val="9"/>
        <w:rPr>
          <w:rFonts w:hint="eastAsia"/>
          <w:highlight w:val="yellow"/>
        </w:rPr>
      </w:pPr>
      <w:r>
        <w:rPr>
          <w:rFonts w:hint="eastAsia"/>
        </w:rPr>
        <w:t>根据《韶关市部分饮用水水源保护区调整方案》，项目所在地附近饮用水水源保护区主</w:t>
      </w:r>
      <w:r>
        <w:rPr>
          <w:rFonts w:hint="eastAsia"/>
          <w:color w:val="auto"/>
          <w:highlight w:val="none"/>
        </w:rPr>
        <w:t>要为</w:t>
      </w:r>
      <w:r>
        <w:rPr>
          <w:rFonts w:hint="eastAsia"/>
          <w:color w:val="auto"/>
          <w:highlight w:val="none"/>
          <w:lang w:eastAsia="zh-CN"/>
        </w:rPr>
        <w:t>仁化县高坪水库水源保护区</w:t>
      </w:r>
      <w:r>
        <w:rPr>
          <w:rFonts w:hint="eastAsia"/>
          <w:color w:val="auto"/>
          <w:highlight w:val="none"/>
        </w:rPr>
        <w:t>，距项目约</w:t>
      </w:r>
      <w:r>
        <w:rPr>
          <w:rFonts w:hint="eastAsia"/>
          <w:color w:val="auto"/>
          <w:highlight w:val="none"/>
          <w:lang w:val="en-US" w:eastAsia="zh-CN"/>
        </w:rPr>
        <w:t>4.9</w:t>
      </w:r>
      <w:r>
        <w:rPr>
          <w:rFonts w:hint="eastAsia"/>
          <w:color w:val="auto"/>
          <w:highlight w:val="none"/>
        </w:rPr>
        <w:t>km，项目所在区域不属于饮用水源保护区划分范围内，项目与饮用水源保护区位置关系见图2.3-2。</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229225" cy="3477260"/>
            <wp:effectExtent l="19050" t="19050" r="28575" b="27940"/>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8"/>
                    <a:stretch>
                      <a:fillRect/>
                    </a:stretch>
                  </pic:blipFill>
                  <pic:spPr>
                    <a:xfrm>
                      <a:off x="0" y="0"/>
                      <a:ext cx="5229225" cy="34772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yellow"/>
        </w:rPr>
      </w:pPr>
      <w:r>
        <w:rPr>
          <w:rFonts w:hint="default" w:ascii="Times New Roman" w:hAnsi="Times New Roman" w:eastAsia="宋体" w:cs="Times New Roman"/>
          <w:b/>
          <w:bCs/>
          <w:color w:val="000000"/>
          <w:sz w:val="21"/>
          <w:szCs w:val="21"/>
        </w:rPr>
        <w:t xml:space="preserve">图2.3-2 </w:t>
      </w:r>
      <w:r>
        <w:rPr>
          <w:rFonts w:hint="eastAsia" w:ascii="Times New Roman" w:hAnsi="Times New Roman"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项目所在地饮用水源保护区划图</w:t>
      </w:r>
    </w:p>
    <w:p>
      <w:pPr>
        <w:pStyle w:val="5"/>
        <w:ind w:firstLine="562"/>
      </w:pPr>
      <w:r>
        <w:t>地</w:t>
      </w:r>
      <w:r>
        <w:rPr>
          <w:rFonts w:hint="eastAsia"/>
          <w:lang w:eastAsia="zh-CN"/>
        </w:rPr>
        <w:t>下</w:t>
      </w:r>
      <w:r>
        <w:t>水环境功能区划</w:t>
      </w:r>
    </w:p>
    <w:p>
      <w:pPr>
        <w:pStyle w:val="9"/>
        <w:rPr>
          <w:rFonts w:hint="eastAsia"/>
          <w:highlight w:val="none"/>
        </w:rPr>
      </w:pPr>
      <w:r>
        <w:rPr>
          <w:rFonts w:hint="eastAsia"/>
        </w:rPr>
        <w:t>根据《广东省地下水功能区划》，粤办函</w:t>
      </w:r>
      <w:r>
        <w:rPr>
          <w:rFonts w:hint="eastAsia" w:ascii="宋体" w:hAnsi="宋体" w:eastAsia="宋体" w:cs="宋体"/>
        </w:rPr>
        <w:t>〔</w:t>
      </w:r>
      <w:r>
        <w:rPr>
          <w:rFonts w:hint="eastAsia"/>
        </w:rPr>
        <w:t>2009</w:t>
      </w:r>
      <w:r>
        <w:rPr>
          <w:rFonts w:hint="eastAsia" w:ascii="宋体" w:hAnsi="宋体" w:eastAsia="宋体" w:cs="宋体"/>
        </w:rPr>
        <w:t>〕</w:t>
      </w:r>
      <w:r>
        <w:rPr>
          <w:rFonts w:hint="eastAsia"/>
        </w:rPr>
        <w:t>459号（2009年8月），项目位于韶关市</w:t>
      </w:r>
      <w:r>
        <w:rPr>
          <w:rFonts w:hint="eastAsia"/>
          <w:lang w:val="en-US" w:eastAsia="zh-CN"/>
        </w:rPr>
        <w:t>仁化县</w:t>
      </w:r>
      <w:r>
        <w:rPr>
          <w:rFonts w:hint="eastAsia"/>
        </w:rPr>
        <w:t>，</w:t>
      </w:r>
      <w:r>
        <w:rPr>
          <w:rFonts w:hint="eastAsia"/>
          <w:highlight w:val="none"/>
        </w:rPr>
        <w:t>为“北江韶关</w:t>
      </w:r>
      <w:r>
        <w:rPr>
          <w:rFonts w:hint="eastAsia"/>
          <w:highlight w:val="none"/>
          <w:lang w:eastAsia="zh-CN"/>
        </w:rPr>
        <w:t>仁化地下水水源涵养</w:t>
      </w:r>
      <w:r>
        <w:rPr>
          <w:rFonts w:hint="eastAsia"/>
          <w:highlight w:val="none"/>
        </w:rPr>
        <w:t>区”（H05440200</w:t>
      </w:r>
      <w:r>
        <w:rPr>
          <w:rFonts w:hint="eastAsia"/>
          <w:highlight w:val="none"/>
          <w:lang w:val="en-US" w:eastAsia="zh-CN"/>
        </w:rPr>
        <w:t>2T</w:t>
      </w:r>
      <w:r>
        <w:rPr>
          <w:rFonts w:hint="eastAsia"/>
          <w:highlight w:val="none"/>
        </w:rPr>
        <w:t>0</w:t>
      </w:r>
      <w:r>
        <w:rPr>
          <w:rFonts w:hint="eastAsia"/>
          <w:highlight w:val="none"/>
          <w:lang w:val="en-US" w:eastAsia="zh-CN"/>
        </w:rPr>
        <w:t>3</w:t>
      </w:r>
      <w:r>
        <w:rPr>
          <w:rFonts w:hint="eastAsia"/>
          <w:highlight w:val="none"/>
        </w:rPr>
        <w:t>），</w:t>
      </w:r>
      <w:r>
        <w:rPr>
          <w:rFonts w:hint="eastAsia"/>
        </w:rPr>
        <w:t>地下</w:t>
      </w:r>
      <w:r>
        <w:rPr>
          <w:rFonts w:hint="eastAsia"/>
          <w:highlight w:val="none"/>
        </w:rPr>
        <w:t>水类型为</w:t>
      </w:r>
      <w:r>
        <w:rPr>
          <w:rFonts w:hint="eastAsia"/>
          <w:highlight w:val="none"/>
          <w:lang w:eastAsia="zh-CN"/>
        </w:rPr>
        <w:t>裂隙水</w:t>
      </w:r>
      <w:r>
        <w:rPr>
          <w:rFonts w:hint="eastAsia"/>
          <w:highlight w:val="none"/>
        </w:rPr>
        <w:t>，开采水位</w:t>
      </w:r>
      <w:r>
        <w:rPr>
          <w:rFonts w:hint="eastAsia"/>
          <w:highlight w:val="none"/>
          <w:lang w:eastAsia="zh-CN"/>
        </w:rPr>
        <w:t>维持着较高的地下水水位</w:t>
      </w:r>
      <w:r>
        <w:rPr>
          <w:rFonts w:hint="eastAsia"/>
          <w:highlight w:val="none"/>
        </w:rPr>
        <w:t>。地下水质类别为Ⅲ类。地下水环境功能区划见图2.3-3。</w:t>
      </w:r>
    </w:p>
    <w:p>
      <w:pPr>
        <w:pStyle w:val="9"/>
        <w:ind w:left="0" w:leftChars="0" w:firstLine="0" w:firstLineChars="0"/>
        <w:rPr>
          <w:rFonts w:hint="eastAsia"/>
          <w:highlight w:val="yellow"/>
        </w:rPr>
      </w:pPr>
      <w:r>
        <w:drawing>
          <wp:inline distT="0" distB="0" distL="114300" distR="114300">
            <wp:extent cx="5219700" cy="3077845"/>
            <wp:effectExtent l="19050" t="19050" r="19050" b="27305"/>
            <wp:docPr id="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pic:cNvPicPr>
                      <a:picLocks noChangeAspect="1"/>
                    </pic:cNvPicPr>
                  </pic:nvPicPr>
                  <pic:blipFill>
                    <a:blip r:embed="rId19"/>
                    <a:stretch>
                      <a:fillRect/>
                    </a:stretch>
                  </pic:blipFill>
                  <pic:spPr>
                    <a:xfrm>
                      <a:off x="0" y="0"/>
                      <a:ext cx="5219700" cy="307784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 xml:space="preserve">图2.3-3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项目所在地地下水环境功能区划图</w:t>
      </w:r>
    </w:p>
    <w:p>
      <w:pPr>
        <w:pStyle w:val="5"/>
        <w:ind w:firstLine="562"/>
      </w:pPr>
      <w:r>
        <w:t>环境</w:t>
      </w:r>
      <w:r>
        <w:rPr>
          <w:rFonts w:hint="eastAsia"/>
          <w:lang w:eastAsia="zh-CN"/>
        </w:rPr>
        <w:t>空气</w:t>
      </w:r>
      <w:r>
        <w:t>功能区划</w:t>
      </w:r>
    </w:p>
    <w:p>
      <w:pPr>
        <w:pStyle w:val="9"/>
        <w:rPr>
          <w:rFonts w:hint="eastAsia"/>
        </w:rPr>
      </w:pPr>
      <w:r>
        <w:rPr>
          <w:rFonts w:hint="eastAsia"/>
        </w:rPr>
        <w:t>根据《韶关市环境保护规划纲要》（2006~2020年）指出，按照《环境空气质量标准》（GB3095-2012及2018年修改单）的有关规定，本项目位于</w:t>
      </w:r>
      <w:r>
        <w:rPr>
          <w:rFonts w:hint="eastAsia"/>
          <w:lang w:val="en-US" w:eastAsia="zh-CN"/>
        </w:rPr>
        <w:t>韶关市仁化县丹霞街道高联村</w:t>
      </w:r>
      <w:r>
        <w:rPr>
          <w:rFonts w:hint="eastAsia"/>
          <w:lang w:eastAsia="zh-CN"/>
        </w:rPr>
        <w:t>。</w:t>
      </w:r>
      <w:r>
        <w:rPr>
          <w:rFonts w:hint="eastAsia"/>
        </w:rPr>
        <w:t>根据《韶关市环境保护规划纲要》（2006~2020年）（韶府办</w:t>
      </w:r>
      <w:r>
        <w:rPr>
          <w:rFonts w:hint="eastAsia" w:ascii="宋体" w:hAnsi="宋体" w:eastAsia="宋体" w:cs="宋体"/>
        </w:rPr>
        <w:t>〔</w:t>
      </w:r>
      <w:r>
        <w:rPr>
          <w:rFonts w:hint="eastAsia"/>
        </w:rPr>
        <w:t>2008</w:t>
      </w:r>
      <w:r>
        <w:rPr>
          <w:rFonts w:hint="eastAsia" w:ascii="宋体" w:hAnsi="宋体" w:eastAsia="宋体" w:cs="宋体"/>
        </w:rPr>
        <w:t>〕</w:t>
      </w:r>
      <w:r>
        <w:rPr>
          <w:rFonts w:hint="eastAsia"/>
        </w:rPr>
        <w:t>210号），项目区域大气环境质量功能区划属二类区， 执行《环境空气质量标准》（GB3095-2012）及2018年修改单二级标准。</w:t>
      </w:r>
    </w:p>
    <w:p>
      <w:pPr>
        <w:pStyle w:val="9"/>
        <w:ind w:left="0" w:leftChars="0" w:firstLine="0" w:firstLineChars="0"/>
      </w:pPr>
      <w:r>
        <w:drawing>
          <wp:inline distT="0" distB="0" distL="114300" distR="114300">
            <wp:extent cx="5269865" cy="4403090"/>
            <wp:effectExtent l="0" t="0" r="6985" b="16510"/>
            <wp:docPr id="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6"/>
                    <pic:cNvPicPr>
                      <a:picLocks noChangeAspect="1"/>
                    </pic:cNvPicPr>
                  </pic:nvPicPr>
                  <pic:blipFill>
                    <a:blip r:embed="rId20"/>
                    <a:stretch>
                      <a:fillRect/>
                    </a:stretch>
                  </pic:blipFill>
                  <pic:spPr>
                    <a:xfrm>
                      <a:off x="0" y="0"/>
                      <a:ext cx="5269865" cy="4403090"/>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图2.3-</w:t>
      </w:r>
      <w:r>
        <w:rPr>
          <w:rFonts w:hint="eastAsia" w:cs="Times New Roman"/>
          <w:b/>
          <w:bCs/>
          <w:sz w:val="21"/>
          <w:szCs w:val="21"/>
          <w:highlight w:val="none"/>
          <w:lang w:val="en-US" w:eastAsia="zh-CN"/>
        </w:rPr>
        <w:t>4</w:t>
      </w:r>
      <w:r>
        <w:rPr>
          <w:rFonts w:hint="default" w:ascii="Times New Roman" w:hAnsi="Times New Roman" w:eastAsia="宋体" w:cs="Times New Roman"/>
          <w:b/>
          <w:bCs/>
          <w:sz w:val="21"/>
          <w:szCs w:val="21"/>
          <w:highlight w:val="none"/>
        </w:rPr>
        <w:t xml:space="preserve">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w:t>
      </w:r>
      <w:r>
        <w:rPr>
          <w:rFonts w:hint="eastAsia" w:cs="Times New Roman"/>
          <w:b/>
          <w:bCs/>
          <w:sz w:val="21"/>
          <w:szCs w:val="21"/>
          <w:highlight w:val="none"/>
          <w:lang w:eastAsia="zh-CN"/>
        </w:rPr>
        <w:t>环境空气</w:t>
      </w:r>
      <w:r>
        <w:rPr>
          <w:rFonts w:hint="default" w:ascii="Times New Roman" w:hAnsi="Times New Roman" w:eastAsia="宋体" w:cs="Times New Roman"/>
          <w:b/>
          <w:bCs/>
          <w:sz w:val="21"/>
          <w:szCs w:val="21"/>
          <w:highlight w:val="none"/>
        </w:rPr>
        <w:t>功能区划图</w:t>
      </w:r>
    </w:p>
    <w:p>
      <w:pPr>
        <w:pStyle w:val="5"/>
        <w:ind w:firstLine="562"/>
      </w:pPr>
      <w:r>
        <w:t>声环境功能区划</w:t>
      </w:r>
    </w:p>
    <w:p>
      <w:pPr>
        <w:pStyle w:val="9"/>
        <w:rPr>
          <w:rFonts w:hint="eastAsia"/>
        </w:rPr>
      </w:pPr>
      <w:r>
        <w:rPr>
          <w:rFonts w:hint="eastAsia"/>
        </w:rPr>
        <w:t>本项目位于韶关市</w:t>
      </w:r>
      <w:r>
        <w:rPr>
          <w:rFonts w:hint="eastAsia"/>
          <w:lang w:val="en-US" w:eastAsia="zh-CN"/>
        </w:rPr>
        <w:t>仁化县丹霞街道高联村寨下组</w:t>
      </w:r>
      <w:r>
        <w:rPr>
          <w:rFonts w:hint="eastAsia"/>
        </w:rPr>
        <w:t>，周边没有工业企业，属于典型的农村地区， 声环境执行《声环境质量标准》（GB 3096-2008）所规定的1类区标准，即昼间≤55dB（A），夜间≤45dB（A）。</w:t>
      </w:r>
    </w:p>
    <w:p>
      <w:pPr>
        <w:pStyle w:val="5"/>
        <w:ind w:firstLine="562"/>
      </w:pPr>
      <w:r>
        <w:rPr>
          <w:rFonts w:hint="eastAsia"/>
          <w:lang w:eastAsia="zh-CN"/>
        </w:rPr>
        <w:t>生态</w:t>
      </w:r>
      <w:r>
        <w:t>环境功能区划</w:t>
      </w:r>
    </w:p>
    <w:p>
      <w:pPr>
        <w:pStyle w:val="9"/>
        <w:rPr>
          <w:rFonts w:hint="eastAsia"/>
          <w:highlight w:val="none"/>
        </w:rPr>
      </w:pPr>
      <w:r>
        <w:rPr>
          <w:rFonts w:hint="eastAsia"/>
        </w:rPr>
        <w:t>根据《广东省环境保护规划纲要（2006-2020）》中的广东省生态功能区划，</w:t>
      </w:r>
      <w:r>
        <w:rPr>
          <w:rFonts w:hint="eastAsia"/>
          <w:highlight w:val="none"/>
        </w:rPr>
        <w:t>本项目所在地属于集约利用区，如图2.3-</w:t>
      </w:r>
      <w:r>
        <w:rPr>
          <w:rFonts w:hint="eastAsia"/>
          <w:highlight w:val="none"/>
          <w:lang w:val="en-US" w:eastAsia="zh-CN"/>
        </w:rPr>
        <w:t>5</w:t>
      </w:r>
      <w:r>
        <w:rPr>
          <w:rFonts w:hint="eastAsia"/>
          <w:highlight w:val="none"/>
        </w:rPr>
        <w:t>所示。</w:t>
      </w:r>
    </w:p>
    <w:p>
      <w:pPr>
        <w:pStyle w:val="9"/>
        <w:ind w:left="0" w:leftChars="0" w:firstLine="0" w:firstLineChars="0"/>
        <w:rPr>
          <w:rFonts w:hint="eastAsia"/>
        </w:rPr>
      </w:pPr>
      <w:r>
        <w:drawing>
          <wp:inline distT="0" distB="0" distL="114300" distR="114300">
            <wp:extent cx="5210175" cy="3029585"/>
            <wp:effectExtent l="19050" t="19050" r="28575" b="37465"/>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21"/>
                    <a:stretch>
                      <a:fillRect/>
                    </a:stretch>
                  </pic:blipFill>
                  <pic:spPr>
                    <a:xfrm>
                      <a:off x="0" y="0"/>
                      <a:ext cx="5210175" cy="302958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ascii="宋体" w:hAnsi="宋体" w:eastAsia="宋体"/>
          <w:b/>
          <w:bCs/>
          <w:color w:val="000000"/>
          <w:sz w:val="21"/>
          <w:szCs w:val="21"/>
        </w:rPr>
        <w:t>图</w:t>
      </w:r>
      <w:r>
        <w:rPr>
          <w:rFonts w:hint="eastAsia" w:ascii="Times New Roman" w:hAnsi="Times New Roman" w:eastAsia="Times New Roman"/>
          <w:b/>
          <w:bCs/>
          <w:color w:val="000000"/>
          <w:sz w:val="21"/>
          <w:szCs w:val="21"/>
        </w:rPr>
        <w:t>2.3-</w:t>
      </w:r>
      <w:r>
        <w:rPr>
          <w:rFonts w:hint="eastAsia" w:eastAsia="宋体"/>
          <w:b/>
          <w:bCs/>
          <w:color w:val="000000"/>
          <w:sz w:val="21"/>
          <w:szCs w:val="21"/>
          <w:lang w:val="en-US" w:eastAsia="zh-CN"/>
        </w:rPr>
        <w:t>5</w:t>
      </w:r>
      <w:r>
        <w:rPr>
          <w:rFonts w:hint="eastAsia" w:ascii="Times New Roman" w:hAnsi="Times New Roman" w:eastAsia="Times New Roman"/>
          <w:b/>
          <w:bCs/>
          <w:color w:val="000000"/>
          <w:sz w:val="21"/>
          <w:szCs w:val="21"/>
        </w:rPr>
        <w:t xml:space="preserve"> </w:t>
      </w:r>
      <w:r>
        <w:rPr>
          <w:rFonts w:hint="eastAsia"/>
          <w:b/>
          <w:bCs/>
          <w:color w:val="000000"/>
          <w:sz w:val="21"/>
          <w:szCs w:val="21"/>
          <w:lang w:val="en-US" w:eastAsia="zh-CN"/>
        </w:rPr>
        <w:t xml:space="preserve"> </w:t>
      </w:r>
      <w:r>
        <w:rPr>
          <w:rFonts w:hint="eastAsia" w:ascii="宋体" w:hAnsi="宋体" w:eastAsia="宋体"/>
          <w:b/>
          <w:bCs/>
          <w:color w:val="000000"/>
          <w:sz w:val="21"/>
          <w:szCs w:val="21"/>
        </w:rPr>
        <w:t>项目所在地生态环境功能区划图</w:t>
      </w:r>
    </w:p>
    <w:p>
      <w:pPr>
        <w:pStyle w:val="4"/>
      </w:pPr>
      <w:bookmarkStart w:id="20" w:name="_Toc642"/>
      <w:r>
        <w:t>环境影响识别与评价因子筛选</w:t>
      </w:r>
      <w:bookmarkEnd w:id="20"/>
    </w:p>
    <w:p>
      <w:pPr>
        <w:pStyle w:val="5"/>
        <w:ind w:firstLine="562"/>
      </w:pPr>
      <w:r>
        <w:t>主要环境影响识别</w:t>
      </w:r>
    </w:p>
    <w:p>
      <w:pPr>
        <w:pStyle w:val="8"/>
        <w:rPr>
          <w:rFonts w:hint="eastAsia"/>
          <w:szCs w:val="21"/>
        </w:rPr>
      </w:pPr>
      <w:r>
        <w:rPr>
          <w:rFonts w:hint="eastAsia"/>
          <w:szCs w:val="21"/>
        </w:rPr>
        <w:t>根据本项目的工程特点，通过分析识别环境因素，见表2.4-1，并依据污染物排放量的大小等，筛选本次评价的各项评价因子。</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表2.4-1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 xml:space="preserve"> 环境影响因子识别表</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autofit"/>
        <w:tblCellMar>
          <w:top w:w="0" w:type="dxa"/>
          <w:left w:w="0" w:type="dxa"/>
          <w:bottom w:w="0" w:type="dxa"/>
          <w:right w:w="0" w:type="dxa"/>
        </w:tblCellMar>
      </w:tblPr>
      <w:tblGrid>
        <w:gridCol w:w="1137"/>
        <w:gridCol w:w="673"/>
        <w:gridCol w:w="492"/>
        <w:gridCol w:w="553"/>
        <w:gridCol w:w="518"/>
        <w:gridCol w:w="492"/>
        <w:gridCol w:w="570"/>
        <w:gridCol w:w="537"/>
        <w:gridCol w:w="583"/>
        <w:gridCol w:w="603"/>
        <w:gridCol w:w="522"/>
        <w:gridCol w:w="522"/>
        <w:gridCol w:w="568"/>
        <w:gridCol w:w="53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1" w:hRule="atLeast"/>
          <w:jc w:val="center"/>
        </w:trPr>
        <w:tc>
          <w:tcPr>
            <w:tcW w:w="684"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工程行为</w:t>
            </w:r>
          </w:p>
        </w:tc>
        <w:tc>
          <w:tcPr>
            <w:tcW w:w="1346"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自然环境</w:t>
            </w:r>
          </w:p>
        </w:tc>
        <w:tc>
          <w:tcPr>
            <w:tcW w:w="296"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农作物</w:t>
            </w:r>
          </w:p>
        </w:tc>
        <w:tc>
          <w:tcPr>
            <w:tcW w:w="1380"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社会经济</w:t>
            </w:r>
          </w:p>
        </w:tc>
        <w:tc>
          <w:tcPr>
            <w:tcW w:w="1291"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人文资源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590" w:hRule="atLeast"/>
          <w:jc w:val="center"/>
        </w:trPr>
        <w:tc>
          <w:tcPr>
            <w:tcW w:w="684"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405"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大气</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w:t>
            </w:r>
          </w:p>
        </w:tc>
        <w:tc>
          <w:tcPr>
            <w:tcW w:w="296"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水环</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w w:val="100"/>
                <w:sz w:val="18"/>
                <w:szCs w:val="18"/>
              </w:rPr>
              <w:t>境</w:t>
            </w:r>
          </w:p>
        </w:tc>
        <w:tc>
          <w:tcPr>
            <w:tcW w:w="33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土壤环境</w:t>
            </w:r>
          </w:p>
        </w:tc>
        <w:tc>
          <w:tcPr>
            <w:tcW w:w="31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声环境</w:t>
            </w:r>
          </w:p>
        </w:tc>
        <w:tc>
          <w:tcPr>
            <w:tcW w:w="296"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34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土地</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利用</w:t>
            </w:r>
          </w:p>
        </w:tc>
        <w:tc>
          <w:tcPr>
            <w:tcW w:w="32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工业发展</w:t>
            </w:r>
          </w:p>
        </w:tc>
        <w:tc>
          <w:tcPr>
            <w:tcW w:w="35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发展</w:t>
            </w:r>
          </w:p>
        </w:tc>
        <w:tc>
          <w:tcPr>
            <w:tcW w:w="36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基础</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设施</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自然风景</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环境美学</w:t>
            </w:r>
          </w:p>
        </w:tc>
        <w:tc>
          <w:tcPr>
            <w:tcW w:w="34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公众</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健康</w:t>
            </w:r>
          </w:p>
        </w:tc>
        <w:tc>
          <w:tcPr>
            <w:tcW w:w="320"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生活水平</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7" w:hRule="atLeast"/>
          <w:jc w:val="center"/>
        </w:trPr>
        <w:tc>
          <w:tcPr>
            <w:tcW w:w="68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大气污染物</w:t>
            </w:r>
          </w:p>
        </w:tc>
        <w:tc>
          <w:tcPr>
            <w:tcW w:w="405"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5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8"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水污染</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固体废</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4"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w w:val="100"/>
                <w:sz w:val="18"/>
                <w:szCs w:val="18"/>
              </w:rPr>
              <w:t>噪声</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资源利</w:t>
            </w:r>
            <w:r>
              <w:rPr>
                <w:rFonts w:hint="default" w:ascii="Times New Roman" w:hAnsi="Times New Roman" w:eastAsia="宋体" w:cs="Times New Roman"/>
                <w:w w:val="100"/>
                <w:sz w:val="18"/>
                <w:szCs w:val="18"/>
              </w:rPr>
              <w:t>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产品销</w:t>
            </w:r>
            <w:r>
              <w:rPr>
                <w:rFonts w:hint="default" w:ascii="Times New Roman" w:hAnsi="Times New Roman" w:eastAsia="宋体" w:cs="Times New Roman"/>
                <w:w w:val="100"/>
                <w:sz w:val="18"/>
                <w:szCs w:val="18"/>
              </w:rPr>
              <w:t>售</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1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施工活</w:t>
            </w:r>
            <w:r>
              <w:rPr>
                <w:rFonts w:hint="default" w:ascii="Times New Roman" w:hAnsi="Times New Roman" w:eastAsia="宋体" w:cs="Times New Roman"/>
                <w:w w:val="100"/>
                <w:sz w:val="18"/>
                <w:szCs w:val="18"/>
              </w:rPr>
              <w:t>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注：“+”有利影响，“-”不利影响；“L”长期影响，“S”短期影响；“↑”可逆影响，“↓”不可逆影响；“1” 轻微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542" w:firstLineChars="30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影响，“2”中度影响，“3”严重影响。</w:t>
      </w:r>
    </w:p>
    <w:p>
      <w:pPr>
        <w:pStyle w:val="5"/>
        <w:ind w:firstLine="562"/>
      </w:pPr>
      <w:r>
        <w:t>主要评价因子</w:t>
      </w:r>
    </w:p>
    <w:p>
      <w:pPr>
        <w:pStyle w:val="8"/>
        <w:rPr>
          <w:rFonts w:hint="eastAsia"/>
          <w:szCs w:val="21"/>
        </w:rPr>
      </w:pPr>
      <w:r>
        <w:rPr>
          <w:rFonts w:hint="eastAsia"/>
          <w:szCs w:val="21"/>
        </w:rPr>
        <w:t>本项目评价因子见下表。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rPr>
        <w:t>表2.4-2  环境评价因子</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610"/>
        <w:gridCol w:w="809"/>
        <w:gridCol w:w="3419"/>
        <w:gridCol w:w="2533"/>
        <w:gridCol w:w="93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81" w:hRule="atLeast"/>
          <w:jc w:val="center"/>
        </w:trPr>
        <w:tc>
          <w:tcPr>
            <w:tcW w:w="36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时段</w:t>
            </w:r>
          </w:p>
        </w:tc>
        <w:tc>
          <w:tcPr>
            <w:tcW w:w="48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2058"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现状评价因子</w:t>
            </w:r>
          </w:p>
        </w:tc>
        <w:tc>
          <w:tcPr>
            <w:tcW w:w="152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影响评价（分析）因子</w:t>
            </w:r>
          </w:p>
        </w:tc>
        <w:tc>
          <w:tcPr>
            <w:tcW w:w="56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总量控制因子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27" w:hRule="atLeast"/>
          <w:jc w:val="center"/>
        </w:trPr>
        <w:tc>
          <w:tcPr>
            <w:tcW w:w="367" w:type="pct"/>
            <w:vMerge w:val="restar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施工期</w:t>
            </w:r>
          </w:p>
        </w:tc>
        <w:tc>
          <w:tcPr>
            <w:tcW w:w="48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废气</w:t>
            </w:r>
          </w:p>
        </w:tc>
        <w:tc>
          <w:tcPr>
            <w:tcW w:w="2058"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CO、NO</w:t>
            </w:r>
            <w:r>
              <w:rPr>
                <w:rFonts w:hint="default" w:ascii="Times New Roman" w:hAnsi="Times New Roman" w:eastAsia="宋体" w:cs="Times New Roman"/>
                <w:b w:val="0"/>
                <w:bCs/>
                <w:sz w:val="21"/>
                <w:szCs w:val="21"/>
              </w:rPr>
              <w:t>x</w:t>
            </w:r>
            <w:r>
              <w:rPr>
                <w:rFonts w:hint="default" w:ascii="Times New Roman" w:hAnsi="Times New Roman" w:eastAsia="宋体" w:cs="Times New Roman"/>
                <w:b w:val="0"/>
                <w:bCs/>
                <w:position w:val="2"/>
                <w:sz w:val="21"/>
                <w:szCs w:val="21"/>
              </w:rPr>
              <w:t>、TSP</w:t>
            </w:r>
          </w:p>
        </w:tc>
        <w:tc>
          <w:tcPr>
            <w:tcW w:w="56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COD、BOD</w:t>
            </w:r>
            <w:r>
              <w:rPr>
                <w:rFonts w:hint="default" w:ascii="Times New Roman" w:hAnsi="Times New Roman" w:eastAsia="宋体" w:cs="Times New Roman"/>
                <w:b w:val="0"/>
                <w:bCs/>
                <w:sz w:val="21"/>
                <w:szCs w:val="21"/>
                <w:vertAlign w:val="subscript"/>
              </w:rPr>
              <w:t>5</w:t>
            </w:r>
            <w:r>
              <w:rPr>
                <w:rFonts w:hint="default" w:ascii="Times New Roman" w:hAnsi="Times New Roman" w:eastAsia="宋体" w:cs="Times New Roman"/>
                <w:b w:val="0"/>
                <w:bCs/>
                <w:position w:val="2"/>
                <w:sz w:val="21"/>
                <w:szCs w:val="21"/>
              </w:rPr>
              <w:t>、NH</w:t>
            </w:r>
            <w:r>
              <w:rPr>
                <w:rFonts w:hint="default" w:ascii="Times New Roman" w:hAnsi="Times New Roman" w:eastAsia="宋体" w:cs="Times New Roman"/>
                <w:b w:val="0"/>
                <w:bCs/>
                <w:sz w:val="21"/>
                <w:szCs w:val="21"/>
                <w:vertAlign w:val="subscript"/>
              </w:rPr>
              <w:t>3</w:t>
            </w:r>
            <w:r>
              <w:rPr>
                <w:rFonts w:hint="default" w:ascii="Times New Roman" w:hAnsi="Times New Roman" w:eastAsia="宋体" w:cs="Times New Roman"/>
                <w:b w:val="0"/>
                <w:bCs/>
                <w:position w:val="2"/>
                <w:sz w:val="21"/>
                <w:szCs w:val="21"/>
              </w:rPr>
              <w:t>-N、</w:t>
            </w:r>
            <w:r>
              <w:rPr>
                <w:rFonts w:hint="default" w:ascii="Times New Roman" w:hAnsi="Times New Roman" w:eastAsia="宋体" w:cs="Times New Roman"/>
                <w:b w:val="0"/>
                <w:bCs/>
                <w:sz w:val="21"/>
                <w:szCs w:val="21"/>
              </w:rPr>
              <w:t>SS</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4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噪声</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7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固废</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建筑垃圾、生活垃圾</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植被</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09" w:hRule="atLeast"/>
          <w:jc w:val="center"/>
        </w:trPr>
        <w:tc>
          <w:tcPr>
            <w:tcW w:w="367" w:type="pct"/>
            <w:vMerge w:val="restar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运营期</w:t>
            </w: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大气</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O</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SO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NO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CO</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10</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2.5</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S、NH</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position w:val="2"/>
                <w:sz w:val="21"/>
                <w:szCs w:val="21"/>
              </w:rPr>
              <w:t>、臭气浓度</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氨气、硫化氢</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position w:val="2"/>
                <w:sz w:val="21"/>
                <w:szCs w:val="21"/>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478"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地表水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pH</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DO</w:t>
            </w:r>
            <w:r>
              <w:rPr>
                <w:rFonts w:hint="default" w:ascii="Times New Roman" w:hAnsi="Times New Roman" w:eastAsia="宋体" w:cs="Times New Roman"/>
                <w:b w:val="0"/>
                <w:bCs/>
                <w:spacing w:val="-3"/>
                <w:position w:val="2"/>
                <w:sz w:val="21"/>
                <w:szCs w:val="21"/>
              </w:rPr>
              <w:t>、高锰酸盐指数、</w:t>
            </w:r>
            <w:r>
              <w:rPr>
                <w:rFonts w:hint="default" w:ascii="Times New Roman" w:hAnsi="Times New Roman" w:eastAsia="宋体" w:cs="Times New Roman"/>
                <w:b w:val="0"/>
                <w:bCs/>
                <w:position w:val="2"/>
                <w:sz w:val="21"/>
                <w:szCs w:val="21"/>
              </w:rPr>
              <w:t>COD</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sz w:val="21"/>
                <w:szCs w:val="21"/>
              </w:rPr>
              <w:t>5</w:t>
            </w:r>
            <w:r>
              <w:rPr>
                <w:rFonts w:hint="default" w:ascii="Times New Roman" w:hAnsi="Times New Roman" w:eastAsia="宋体" w:cs="Times New Roman"/>
                <w:b w:val="0"/>
                <w:bCs/>
                <w:position w:val="2"/>
                <w:sz w:val="21"/>
                <w:szCs w:val="21"/>
              </w:rPr>
              <w:t>、</w:t>
            </w:r>
            <w:r>
              <w:rPr>
                <w:rFonts w:hint="default" w:ascii="Times New Roman" w:hAnsi="Times New Roman" w:eastAsia="宋体" w:cs="Times New Roman"/>
                <w:b w:val="0"/>
                <w:bCs/>
                <w:spacing w:val="-7"/>
                <w:sz w:val="21"/>
                <w:szCs w:val="21"/>
              </w:rPr>
              <w:t>氨氮、总磷、</w:t>
            </w:r>
            <w:r>
              <w:rPr>
                <w:rFonts w:hint="default" w:ascii="Times New Roman" w:hAnsi="Times New Roman" w:eastAsia="宋体" w:cs="Times New Roman"/>
                <w:b w:val="0"/>
                <w:bCs/>
                <w:sz w:val="21"/>
                <w:szCs w:val="21"/>
              </w:rPr>
              <w:t>SS</w:t>
            </w:r>
            <w:r>
              <w:rPr>
                <w:rFonts w:hint="default" w:ascii="Times New Roman" w:hAnsi="Times New Roman" w:eastAsia="宋体" w:cs="Times New Roman"/>
                <w:b w:val="0"/>
                <w:bCs/>
                <w:spacing w:val="-8"/>
                <w:sz w:val="21"/>
                <w:szCs w:val="21"/>
              </w:rPr>
              <w:t>、石油类、</w:t>
            </w:r>
            <w:r>
              <w:rPr>
                <w:rFonts w:hint="default" w:ascii="Times New Roman" w:hAnsi="Times New Roman" w:eastAsia="宋体" w:cs="Times New Roman"/>
                <w:b w:val="0"/>
                <w:bCs/>
                <w:sz w:val="21"/>
                <w:szCs w:val="21"/>
              </w:rPr>
              <w:t>LAS</w:t>
            </w:r>
            <w:r>
              <w:rPr>
                <w:rFonts w:hint="default" w:ascii="Times New Roman" w:hAnsi="Times New Roman" w:eastAsia="宋体" w:cs="Times New Roman"/>
                <w:b w:val="0"/>
                <w:bCs/>
                <w:spacing w:val="-5"/>
                <w:sz w:val="21"/>
                <w:szCs w:val="21"/>
              </w:rPr>
              <w:t>、粪大肠</w:t>
            </w:r>
            <w:r>
              <w:rPr>
                <w:rFonts w:hint="default" w:ascii="Times New Roman" w:hAnsi="Times New Roman" w:eastAsia="宋体" w:cs="Times New Roman"/>
                <w:b w:val="0"/>
                <w:bCs/>
                <w:sz w:val="21"/>
                <w:szCs w:val="21"/>
              </w:rPr>
              <w:t>菌群数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COD、NH</w:t>
            </w:r>
            <w:r>
              <w:rPr>
                <w:rFonts w:hint="default" w:ascii="Times New Roman" w:hAnsi="Times New Roman" w:eastAsia="宋体" w:cs="Times New Roman"/>
                <w:b w:val="0"/>
                <w:bCs/>
                <w:sz w:val="21"/>
                <w:szCs w:val="21"/>
              </w:rPr>
              <w:t>3</w:t>
            </w:r>
            <w:r>
              <w:rPr>
                <w:rFonts w:hint="default" w:ascii="Times New Roman" w:hAnsi="Times New Roman" w:eastAsia="宋体" w:cs="Times New Roman"/>
                <w:b w:val="0"/>
                <w:bCs/>
                <w:position w:val="2"/>
                <w:sz w:val="21"/>
                <w:szCs w:val="21"/>
              </w:rPr>
              <w:t>-N</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16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土壤</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pH、铜、锌、铅、镉、砷、汞、铬、镍</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12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地下水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1"/>
                <w:sz w:val="21"/>
                <w:szCs w:val="21"/>
              </w:rPr>
              <w:t>pH</w:t>
            </w:r>
            <w:r>
              <w:rPr>
                <w:rFonts w:hint="default" w:ascii="Times New Roman" w:hAnsi="Times New Roman" w:eastAsia="宋体" w:cs="Times New Roman"/>
                <w:b w:val="0"/>
                <w:bCs/>
                <w:spacing w:val="-3"/>
                <w:sz w:val="21"/>
                <w:szCs w:val="21"/>
              </w:rPr>
              <w:t>、总硬度、溶解性总固体、氨氮、耗</w:t>
            </w:r>
            <w:r>
              <w:rPr>
                <w:rFonts w:hint="default" w:ascii="Times New Roman" w:hAnsi="Times New Roman" w:eastAsia="宋体" w:cs="Times New Roman"/>
                <w:b w:val="0"/>
                <w:bCs/>
                <w:spacing w:val="-9"/>
                <w:sz w:val="21"/>
                <w:szCs w:val="21"/>
              </w:rPr>
              <w:t>氧量、硝酸盐、亚硝酸盐、硫酸盐、氟化</w:t>
            </w:r>
            <w:r>
              <w:rPr>
                <w:rFonts w:hint="default" w:ascii="Times New Roman" w:hAnsi="Times New Roman" w:eastAsia="宋体" w:cs="Times New Roman"/>
                <w:b w:val="0"/>
                <w:bCs/>
                <w:spacing w:val="-6"/>
                <w:sz w:val="21"/>
                <w:szCs w:val="21"/>
              </w:rPr>
              <w:t>物、氯化物、铁、锰、硫化物、氰化物、</w:t>
            </w:r>
            <w:r>
              <w:rPr>
                <w:rFonts w:hint="default" w:ascii="Times New Roman" w:hAnsi="Times New Roman" w:eastAsia="宋体" w:cs="Times New Roman"/>
                <w:b w:val="0"/>
                <w:bCs/>
                <w:sz w:val="21"/>
                <w:szCs w:val="21"/>
              </w:rPr>
              <w:t>As</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Pb</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Hg、Cd</w:t>
            </w:r>
            <w:r>
              <w:rPr>
                <w:rFonts w:hint="default" w:ascii="Times New Roman" w:hAnsi="Times New Roman" w:eastAsia="宋体" w:cs="Times New Roman"/>
                <w:b w:val="0"/>
                <w:bCs/>
                <w:spacing w:val="-3"/>
                <w:sz w:val="21"/>
                <w:szCs w:val="21"/>
              </w:rPr>
              <w:t>、六价铬、挥发酚、总</w:t>
            </w:r>
            <w:r>
              <w:rPr>
                <w:rFonts w:hint="default" w:ascii="Times New Roman" w:hAnsi="Times New Roman" w:eastAsia="宋体" w:cs="Times New Roman"/>
                <w:b w:val="0"/>
                <w:bCs/>
                <w:sz w:val="21"/>
                <w:szCs w:val="21"/>
              </w:rPr>
              <w:t>大肠菌群、细菌总数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预测分析</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3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声环</w:t>
            </w:r>
            <w:r>
              <w:rPr>
                <w:rFonts w:hint="default" w:ascii="Times New Roman" w:hAnsi="Times New Roman" w:eastAsia="宋体" w:cs="Times New Roman"/>
                <w:b w:val="0"/>
                <w:bCs/>
                <w:w w:val="100"/>
                <w:sz w:val="21"/>
                <w:szCs w:val="21"/>
              </w:rPr>
              <w:t>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1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废物</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固体废物的产生量、利用量、处置量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生物量、生长量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531"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sz w:val="21"/>
                <w:szCs w:val="21"/>
                <w:lang w:val="en-US" w:eastAsia="zh-CN"/>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bl>
    <w:p>
      <w:pPr>
        <w:pStyle w:val="4"/>
      </w:pPr>
      <w:bookmarkStart w:id="21" w:name="_Toc7360"/>
      <w:r>
        <w:t>环境影响评价工作等级</w:t>
      </w:r>
      <w:bookmarkEnd w:id="21"/>
    </w:p>
    <w:p>
      <w:pPr>
        <w:pStyle w:val="5"/>
        <w:ind w:firstLine="562"/>
      </w:pPr>
      <w:r>
        <w:t>地表水环境影响评价工作等级</w:t>
      </w:r>
    </w:p>
    <w:p>
      <w:pPr>
        <w:pStyle w:val="8"/>
        <w:rPr>
          <w:rFonts w:hint="eastAsia"/>
          <w:color w:val="auto"/>
          <w:szCs w:val="21"/>
        </w:rPr>
      </w:pPr>
      <w:r>
        <w:rPr>
          <w:rFonts w:hint="eastAsia"/>
          <w:color w:val="auto"/>
          <w:szCs w:val="21"/>
        </w:rPr>
        <w:t>根据工程分析，本项目运营期主要废水为猪粪尿污水、猪舍冲洗废水</w:t>
      </w:r>
      <w:r>
        <w:rPr>
          <w:rFonts w:hint="eastAsia"/>
          <w:color w:val="auto"/>
          <w:szCs w:val="21"/>
          <w:lang w:eastAsia="zh-CN"/>
        </w:rPr>
        <w:t>等进入异位发酵床制成有机肥外售；</w:t>
      </w:r>
      <w:r>
        <w:rPr>
          <w:rFonts w:hint="eastAsia"/>
          <w:color w:val="auto"/>
          <w:szCs w:val="21"/>
        </w:rPr>
        <w:t>员工生活污水</w:t>
      </w:r>
      <w:r>
        <w:rPr>
          <w:rFonts w:hint="eastAsia"/>
          <w:color w:val="auto"/>
          <w:szCs w:val="21"/>
          <w:lang w:eastAsia="zh-CN"/>
        </w:rPr>
        <w:t>经地埋式一体化污水处理设施处理</w:t>
      </w:r>
      <w:r>
        <w:rPr>
          <w:rFonts w:hint="eastAsia"/>
          <w:color w:val="auto"/>
          <w:szCs w:val="21"/>
        </w:rPr>
        <w:t>达到</w:t>
      </w:r>
      <w:r>
        <w:rPr>
          <w:rFonts w:hint="eastAsia"/>
          <w:color w:val="auto"/>
          <w:szCs w:val="21"/>
          <w:lang w:val="en-US" w:eastAsia="zh-CN"/>
        </w:rPr>
        <w:t>《畜禽养殖业污染物排放标准》（DB44/613-2009）中集约化畜禽养殖业水污染物最高允许日排放浓度和《农田灌溉水质标准》（GB5084-2005）旱作水质标准严者后全部回用附近农田及林场等，不外排</w:t>
      </w:r>
      <w:r>
        <w:rPr>
          <w:rFonts w:hint="eastAsia"/>
          <w:color w:val="auto"/>
          <w:szCs w:val="21"/>
        </w:rPr>
        <w:t>。评价等级原则见下表所示。</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表2.5-1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水污染影响型建设项目评价等级判定表</w:t>
      </w:r>
    </w:p>
    <w:tbl>
      <w:tblPr>
        <w:tblStyle w:val="63"/>
        <w:tblW w:w="4998" w:type="pct"/>
        <w:jc w:val="center"/>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Layout w:type="autofit"/>
        <w:tblCellMar>
          <w:top w:w="0" w:type="dxa"/>
          <w:left w:w="0" w:type="dxa"/>
          <w:bottom w:w="0" w:type="dxa"/>
          <w:right w:w="0" w:type="dxa"/>
        </w:tblCellMar>
      </w:tblPr>
      <w:tblGrid>
        <w:gridCol w:w="1283"/>
        <w:gridCol w:w="1606"/>
        <w:gridCol w:w="5414"/>
      </w:tblGrid>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247" w:hRule="atLeast"/>
          <w:jc w:val="center"/>
        </w:trPr>
        <w:tc>
          <w:tcPr>
            <w:tcW w:w="773"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评价等级</w:t>
            </w:r>
          </w:p>
        </w:tc>
        <w:tc>
          <w:tcPr>
            <w:tcW w:w="4226" w:type="pct"/>
            <w:gridSpan w:val="2"/>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判定依据</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41" w:hRule="atLeast"/>
          <w:jc w:val="center"/>
        </w:trPr>
        <w:tc>
          <w:tcPr>
            <w:tcW w:w="773"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p>
        </w:tc>
        <w:tc>
          <w:tcPr>
            <w:tcW w:w="967"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排放方式</w:t>
            </w:r>
          </w:p>
        </w:tc>
        <w:tc>
          <w:tcPr>
            <w:tcW w:w="3259"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 xml:space="preserve">废水排放量 </w:t>
            </w:r>
            <w:r>
              <w:rPr>
                <w:rFonts w:hint="default" w:ascii="Times New Roman" w:hAnsi="Times New Roman" w:eastAsia="宋体" w:cs="Times New Roman"/>
                <w:b w:val="0"/>
                <w:bCs/>
                <w:sz w:val="21"/>
                <w:szCs w:val="21"/>
              </w:rPr>
              <w:t>Q/（m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 xml:space="preserve">/d）； </w:t>
            </w:r>
            <w:r>
              <w:rPr>
                <w:rFonts w:hint="default" w:ascii="Times New Roman" w:hAnsi="Times New Roman" w:eastAsia="宋体" w:cs="Times New Roman"/>
                <w:b w:val="0"/>
                <w:bCs/>
                <w:spacing w:val="-7"/>
                <w:sz w:val="21"/>
                <w:szCs w:val="21"/>
              </w:rPr>
              <w:t xml:space="preserve">水污染物当量数 </w:t>
            </w:r>
            <w:r>
              <w:rPr>
                <w:rFonts w:hint="default" w:ascii="Times New Roman" w:hAnsi="Times New Roman" w:eastAsia="宋体" w:cs="Times New Roman"/>
                <w:b w:val="0"/>
                <w:bCs/>
                <w:sz w:val="21"/>
                <w:szCs w:val="21"/>
              </w:rPr>
              <w:t>W/（</w:t>
            </w:r>
            <w:r>
              <w:rPr>
                <w:rFonts w:hint="default" w:ascii="Times New Roman" w:hAnsi="Times New Roman" w:eastAsia="宋体" w:cs="Times New Roman"/>
                <w:b w:val="0"/>
                <w:bCs/>
                <w:spacing w:val="-2"/>
                <w:sz w:val="21"/>
                <w:szCs w:val="21"/>
              </w:rPr>
              <w:t>无量纲</w:t>
            </w:r>
            <w:r>
              <w:rPr>
                <w:rFonts w:hint="default" w:ascii="Times New Roman" w:hAnsi="Times New Roman" w:eastAsia="宋体" w:cs="Times New Roman"/>
                <w:b w:val="0"/>
                <w:bCs/>
                <w:spacing w:val="-16"/>
                <w:sz w:val="21"/>
                <w:szCs w:val="21"/>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229" w:hRule="atLeast"/>
          <w:jc w:val="center"/>
        </w:trPr>
        <w:tc>
          <w:tcPr>
            <w:tcW w:w="773"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96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Q≥20000 或 W≥600000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02"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其他</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188"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三级A</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 且 W＜6000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229" w:hRule="atLeast"/>
          <w:jc w:val="center"/>
        </w:trPr>
        <w:tc>
          <w:tcPr>
            <w:tcW w:w="773" w:type="pct"/>
            <w:tcBorders>
              <w:top w:val="single" w:color="000000" w:sz="6" w:space="0"/>
              <w:left w:val="nil"/>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三级B</w:t>
            </w:r>
          </w:p>
        </w:tc>
        <w:tc>
          <w:tcPr>
            <w:tcW w:w="967"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间接排放</w:t>
            </w:r>
          </w:p>
        </w:tc>
        <w:tc>
          <w:tcPr>
            <w:tcW w:w="3259" w:type="pct"/>
            <w:tcBorders>
              <w:top w:val="single" w:color="000000" w:sz="6" w:space="0"/>
              <w:left w:val="single" w:color="000000" w:sz="6" w:space="0"/>
              <w:bottom w:val="single" w:color="000000" w:sz="6"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000" w:type="pct"/>
            <w:gridSpan w:val="3"/>
            <w:tcBorders>
              <w:top w:val="single" w:color="000000" w:sz="6" w:space="0"/>
              <w:left w:val="nil"/>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注1：</w:t>
            </w:r>
            <w:r>
              <w:rPr>
                <w:rFonts w:hint="default" w:ascii="Times New Roman" w:hAnsi="Times New Roman" w:eastAsia="宋体" w:cs="Times New Roman"/>
                <w:sz w:val="18"/>
                <w:szCs w:val="18"/>
              </w:rPr>
              <w:t>水污染物当量数等于该污染物的年排放量除以该污染物的污染当量值（见附录A），计算排放污染</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物的污染物当量数，应区分第一类水污染物和其他类水污染物，统计第一类污染物当量数总和，然后与其他类污染物按照污染物当量数从大到小排序，取最大当量数作为建设项目评价等级确定的依据。</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注2：</w:t>
            </w:r>
            <w:r>
              <w:rPr>
                <w:rFonts w:hint="default" w:ascii="Times New Roman" w:hAnsi="Times New Roman" w:eastAsia="宋体" w:cs="Times New Roman"/>
                <w:sz w:val="18"/>
                <w:szCs w:val="18"/>
              </w:rPr>
              <w:t>废水排放量按行业排放标准中规定的废水种类统计，没有相关行业排放标准要求的通过工程分析合理确定，可不统计间接冷却水、循环水以及其他含污染物极少的清净下水的排放量。</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注3</w:t>
            </w:r>
            <w:r>
              <w:rPr>
                <w:rFonts w:hint="default" w:ascii="Times New Roman" w:hAnsi="Times New Roman" w:eastAsia="宋体" w:cs="Times New Roman"/>
                <w:sz w:val="18"/>
                <w:szCs w:val="18"/>
              </w:rPr>
              <w:t>：厂区存在堆积物（露天堆放的原料、燃料、废渣等以及垃圾堆放场）、降尘污染的，应将初期雨污水纳入废水排放量，相应的主要污染物纳入水污染当量计算。</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注4：</w:t>
            </w:r>
            <w:r>
              <w:rPr>
                <w:rFonts w:hint="default" w:ascii="Times New Roman" w:hAnsi="Times New Roman" w:eastAsia="宋体" w:cs="Times New Roman"/>
                <w:sz w:val="18"/>
                <w:szCs w:val="18"/>
              </w:rPr>
              <w:t>建设项目直接排放第一类污染物的，其评价等级为一级；建设项目直接排放的污染物为受纳水体超标因子的，评价等级不低于二级。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注5：</w:t>
            </w:r>
            <w:r>
              <w:rPr>
                <w:rFonts w:hint="default" w:ascii="Times New Roman" w:hAnsi="Times New Roman" w:eastAsia="宋体" w:cs="Times New Roman"/>
                <w:sz w:val="18"/>
                <w:szCs w:val="18"/>
              </w:rPr>
              <w:t>直接排放受纳水体影响范围涉及饮用水水源保护区、饮用水取水口、重点保护与珍稀水生生物的栖息地、重要水生生物的自然产卵场等保护目标时，评价等级不低于二级。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注6：</w:t>
            </w:r>
            <w:r>
              <w:rPr>
                <w:rFonts w:hint="default" w:ascii="Times New Roman" w:hAnsi="Times New Roman" w:eastAsia="宋体" w:cs="Times New Roman"/>
                <w:sz w:val="18"/>
                <w:szCs w:val="18"/>
              </w:rPr>
              <w:t>建设项目向河流、湖库排放温排水引起受纳水体水温变化超过水环境质量标准要求，且评价范围有水温敏感目标时，评价等级为一级。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注7：</w:t>
            </w:r>
            <w:r>
              <w:rPr>
                <w:rFonts w:hint="default" w:ascii="Times New Roman" w:hAnsi="Times New Roman" w:eastAsia="宋体" w:cs="Times New Roman"/>
                <w:sz w:val="18"/>
                <w:szCs w:val="18"/>
              </w:rPr>
              <w:t>建设项目利用海水作为调节温度介质，排水量≥500万m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/d，评价等级为一级；排水量＜500万m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/d，评价等级为二级。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注8：</w:t>
            </w:r>
            <w:r>
              <w:rPr>
                <w:rFonts w:hint="default" w:ascii="Times New Roman" w:hAnsi="Times New Roman" w:eastAsia="宋体" w:cs="Times New Roman"/>
                <w:sz w:val="18"/>
                <w:szCs w:val="18"/>
              </w:rPr>
              <w:t>仅涉及清净下水排放的，如其排放水质满足受纳水体水环境质量标准要求的，评价等级为三级 A。</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注9：</w:t>
            </w:r>
            <w:r>
              <w:rPr>
                <w:rFonts w:hint="default" w:ascii="Times New Roman" w:hAnsi="Times New Roman" w:eastAsia="宋体" w:cs="Times New Roman"/>
                <w:sz w:val="18"/>
                <w:szCs w:val="18"/>
              </w:rPr>
              <w:t>依托现有排放口，且对外环境未新增排放污染物的直接排放建设项目，评价等级参照间接排放，定为三级B。</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b/>
                <w:bCs/>
                <w:sz w:val="18"/>
                <w:szCs w:val="18"/>
              </w:rPr>
              <w:t>注10：</w:t>
            </w:r>
            <w:r>
              <w:rPr>
                <w:rFonts w:hint="default" w:ascii="Times New Roman" w:hAnsi="Times New Roman" w:eastAsia="宋体" w:cs="Times New Roman"/>
                <w:sz w:val="18"/>
                <w:szCs w:val="18"/>
              </w:rPr>
              <w:t>建设项目生产工艺中有废水产生，但作为回水利用，不排放到外环境的，按三级B评价</w:t>
            </w:r>
            <w:r>
              <w:rPr>
                <w:rFonts w:hint="eastAsia" w:ascii="Times New Roman" w:hAnsi="Times New Roman" w:cs="Times New Roman"/>
                <w:sz w:val="18"/>
                <w:szCs w:val="18"/>
                <w:lang w:eastAsia="zh-CN"/>
              </w:rPr>
              <w:t>。</w:t>
            </w:r>
          </w:p>
        </w:tc>
      </w:tr>
    </w:tbl>
    <w:p>
      <w:pPr>
        <w:pStyle w:val="5"/>
        <w:ind w:firstLine="562"/>
      </w:pPr>
      <w:r>
        <w:t>地</w:t>
      </w:r>
      <w:r>
        <w:rPr>
          <w:rFonts w:hint="eastAsia"/>
          <w:lang w:eastAsia="zh-CN"/>
        </w:rPr>
        <w:t>下</w:t>
      </w:r>
      <w:r>
        <w:t>水环境影响评价工作等级</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2.5-2</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74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2.5-3</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1666432" behindDoc="0" locked="0" layoutInCell="1" allowOverlap="1">
                      <wp:simplePos x="0" y="0"/>
                      <wp:positionH relativeFrom="column">
                        <wp:posOffset>-39370</wp:posOffset>
                      </wp:positionH>
                      <wp:positionV relativeFrom="paragraph">
                        <wp:posOffset>-174625</wp:posOffset>
                      </wp:positionV>
                      <wp:extent cx="1352550" cy="350520"/>
                      <wp:effectExtent l="1270" t="4445" r="17780" b="6985"/>
                      <wp:wrapNone/>
                      <wp:docPr id="55" name="直接连接符 55"/>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1666432;mso-width-relative:page;mso-height-relative:page;" filled="f" stroked="t" coordsize="21600,21600" o:gfxdata="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RKv0y1wAAAAkBAAAPAAAAAAAAAAEAIAAAACIAAABkcnMvZG93bnJldi54bWxQSwEC&#10;FAAUAAAACACHTuJAWSicrfUBAADEAwAADgAAAAAAAAABACAAAAAmAQAAZHJzL2Uyb0RvYy54bWxQ&#10;SwUGAAAAAAYABgBZAQAAjQU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2130"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2131"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2131" w:type="dxa"/>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2130"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2131"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2130"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2131" w:type="dxa"/>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2130"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2131"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2131" w:type="dxa"/>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2.5-3</w:t>
      </w:r>
      <w:r>
        <w:rPr>
          <w:rFonts w:hint="eastAsia"/>
          <w:szCs w:val="21"/>
        </w:rPr>
        <w:t>判别，项目的地下水环境敏感程度为不敏感，因此确定本项目地下水环境影响评价等级为三级。</w:t>
      </w:r>
    </w:p>
    <w:p>
      <w:pPr>
        <w:pStyle w:val="5"/>
        <w:ind w:firstLine="562"/>
      </w:pPr>
      <w:r>
        <w:t>环境</w:t>
      </w:r>
      <w:r>
        <w:rPr>
          <w:rFonts w:hint="eastAsia"/>
          <w:lang w:eastAsia="zh-CN"/>
        </w:rPr>
        <w:t>空气</w:t>
      </w:r>
      <w:r>
        <w:t>影响评价工作等级</w:t>
      </w:r>
    </w:p>
    <w:p>
      <w:pPr>
        <w:pStyle w:val="26"/>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sz w:val="24"/>
          <w:szCs w:val="24"/>
        </w:rPr>
      </w:pPr>
      <w:r>
        <w:rPr>
          <w:sz w:val="24"/>
          <w:szCs w:val="24"/>
        </w:rPr>
        <w:t>根据《环境影响评价技术导则 大气环境》（</w:t>
      </w:r>
      <w:r>
        <w:rPr>
          <w:rFonts w:ascii="Times New Roman" w:eastAsia="Times New Roman"/>
          <w:sz w:val="24"/>
          <w:szCs w:val="24"/>
        </w:rPr>
        <w:t>HJ2.2-2018</w:t>
      </w:r>
      <w:r>
        <w:rPr>
          <w:sz w:val="24"/>
          <w:szCs w:val="24"/>
        </w:rPr>
        <w:t>）中评价等级判定确定方</w:t>
      </w:r>
      <w:r>
        <w:rPr>
          <w:spacing w:val="-7"/>
          <w:sz w:val="24"/>
          <w:szCs w:val="24"/>
        </w:rPr>
        <w:t>法，结合项目工程分析结果，选择正常排放的主要污染物及排放参数，采用《环境影响</w:t>
      </w:r>
      <w:r>
        <w:rPr>
          <w:spacing w:val="-6"/>
          <w:sz w:val="24"/>
          <w:szCs w:val="24"/>
        </w:rPr>
        <w:t xml:space="preserve">评价技术导则 </w:t>
      </w:r>
      <w:r>
        <w:rPr>
          <w:rFonts w:hint="eastAsia"/>
          <w:spacing w:val="-6"/>
          <w:sz w:val="24"/>
          <w:szCs w:val="24"/>
          <w:lang w:val="en-US" w:eastAsia="zh-CN"/>
        </w:rPr>
        <w:t xml:space="preserve"> </w:t>
      </w:r>
      <w:r>
        <w:rPr>
          <w:spacing w:val="-6"/>
          <w:sz w:val="24"/>
          <w:szCs w:val="24"/>
        </w:rPr>
        <w:t>大气环境》</w:t>
      </w:r>
      <w:r>
        <w:rPr>
          <w:spacing w:val="-4"/>
          <w:sz w:val="24"/>
          <w:szCs w:val="24"/>
        </w:rPr>
        <w:t>（</w:t>
      </w:r>
      <w:r>
        <w:rPr>
          <w:rFonts w:ascii="Times New Roman" w:eastAsia="Times New Roman"/>
          <w:spacing w:val="-4"/>
          <w:sz w:val="24"/>
          <w:szCs w:val="24"/>
        </w:rPr>
        <w:t>HJ2.2-2018</w:t>
      </w:r>
      <w:r>
        <w:rPr>
          <w:spacing w:val="-4"/>
          <w:sz w:val="24"/>
          <w:szCs w:val="24"/>
        </w:rPr>
        <w:t>）</w:t>
      </w:r>
      <w:r>
        <w:rPr>
          <w:spacing w:val="-20"/>
          <w:sz w:val="24"/>
          <w:szCs w:val="24"/>
        </w:rPr>
        <w:t xml:space="preserve">附录 </w:t>
      </w:r>
      <w:r>
        <w:rPr>
          <w:rFonts w:ascii="Times New Roman" w:eastAsia="Times New Roman"/>
          <w:sz w:val="24"/>
          <w:szCs w:val="24"/>
        </w:rPr>
        <w:t>A</w:t>
      </w:r>
      <w:r>
        <w:rPr>
          <w:spacing w:val="-9"/>
          <w:sz w:val="24"/>
          <w:szCs w:val="24"/>
        </w:rPr>
        <w:t>推荐模型中的</w:t>
      </w:r>
      <w:r>
        <w:rPr>
          <w:rFonts w:ascii="Times New Roman" w:eastAsia="Times New Roman"/>
          <w:sz w:val="24"/>
          <w:szCs w:val="24"/>
        </w:rPr>
        <w:t xml:space="preserve">AERSCREEN </w:t>
      </w:r>
      <w:r>
        <w:rPr>
          <w:sz w:val="24"/>
          <w:szCs w:val="24"/>
        </w:rPr>
        <w:t>模式分别</w:t>
      </w:r>
      <w:r>
        <w:rPr>
          <w:spacing w:val="1"/>
          <w:sz w:val="24"/>
          <w:szCs w:val="24"/>
        </w:rPr>
        <w:t>计算项目排放主要污染物的最大地面空气质量浓度占标率</w:t>
      </w:r>
      <w:r>
        <w:rPr>
          <w:rFonts w:ascii="Times New Roman" w:eastAsia="Times New Roman"/>
          <w:sz w:val="24"/>
          <w:szCs w:val="24"/>
        </w:rPr>
        <w:t>P</w:t>
      </w:r>
      <w:r>
        <w:rPr>
          <w:rFonts w:ascii="Times New Roman" w:eastAsia="Times New Roman"/>
          <w:sz w:val="24"/>
          <w:szCs w:val="24"/>
          <w:vertAlign w:val="subscript"/>
        </w:rPr>
        <w:t>i</w:t>
      </w:r>
      <w:r>
        <w:rPr>
          <w:spacing w:val="20"/>
          <w:sz w:val="24"/>
          <w:szCs w:val="24"/>
        </w:rPr>
        <w:t>和第</w:t>
      </w:r>
      <w:r>
        <w:rPr>
          <w:rFonts w:ascii="Times New Roman" w:eastAsia="Times New Roman"/>
          <w:sz w:val="24"/>
          <w:szCs w:val="24"/>
        </w:rPr>
        <w:t>i</w:t>
      </w:r>
      <w:r>
        <w:rPr>
          <w:sz w:val="24"/>
          <w:szCs w:val="24"/>
        </w:rPr>
        <w:t>个污染物的地面空气</w:t>
      </w:r>
      <w:r>
        <w:rPr>
          <w:spacing w:val="-6"/>
          <w:sz w:val="24"/>
          <w:szCs w:val="24"/>
        </w:rPr>
        <w:t>质量浓度达到标准值的</w:t>
      </w:r>
      <w:r>
        <w:rPr>
          <w:rFonts w:ascii="Times New Roman" w:eastAsia="Times New Roman"/>
          <w:sz w:val="24"/>
          <w:szCs w:val="24"/>
        </w:rPr>
        <w:t>10%</w:t>
      </w:r>
      <w:r>
        <w:rPr>
          <w:spacing w:val="-6"/>
          <w:sz w:val="24"/>
          <w:szCs w:val="24"/>
        </w:rPr>
        <w:t>时所对应的最远距离</w:t>
      </w:r>
      <w:r>
        <w:rPr>
          <w:rFonts w:ascii="Times New Roman" w:eastAsia="Times New Roman"/>
          <w:sz w:val="24"/>
          <w:szCs w:val="24"/>
        </w:rPr>
        <w:t>D10%</w:t>
      </w:r>
      <w:r>
        <w:rPr>
          <w:sz w:val="24"/>
          <w:szCs w:val="24"/>
        </w:rPr>
        <w:t>。其中，</w:t>
      </w:r>
      <w:r>
        <w:rPr>
          <w:rFonts w:ascii="Times New Roman" w:eastAsia="Times New Roman"/>
          <w:sz w:val="24"/>
          <w:szCs w:val="24"/>
        </w:rPr>
        <w:t>P</w:t>
      </w:r>
      <w:r>
        <w:rPr>
          <w:rFonts w:ascii="Times New Roman" w:eastAsia="Times New Roman"/>
          <w:sz w:val="24"/>
          <w:szCs w:val="24"/>
          <w:vertAlign w:val="subscript"/>
        </w:rPr>
        <w:t>i</w:t>
      </w:r>
      <w:r>
        <w:rPr>
          <w:sz w:val="24"/>
          <w:szCs w:val="24"/>
        </w:rPr>
        <w:t>定义如下：</w:t>
      </w:r>
    </w:p>
    <w:p>
      <w:pPr>
        <w:pStyle w:val="8"/>
        <w:ind w:left="0" w:leftChars="0" w:firstLine="0" w:firstLineChars="0"/>
        <w:jc w:val="center"/>
        <w:rPr>
          <w:rFonts w:hint="eastAsia" w:eastAsia="宋体"/>
          <w:szCs w:val="21"/>
          <w:lang w:eastAsia="zh-CN"/>
        </w:rPr>
      </w:pPr>
      <w:r>
        <w:rPr>
          <w:rFonts w:hint="eastAsia" w:eastAsia="宋体"/>
          <w:position w:val="-30"/>
          <w:szCs w:val="21"/>
          <w:lang w:eastAsia="zh-CN"/>
        </w:rPr>
        <w:object>
          <v:shape id="_x0000_i1025" o:spt="75" type="#_x0000_t75" style="height:34pt;width:78pt;" o:ole="t" filled="f" o:preferrelative="t" stroked="f" coordsize="21600,21600">
            <v:path/>
            <v:fill on="f" focussize="0,0"/>
            <v:stroke on="f"/>
            <v:imagedata r:id="rId23" o:title=""/>
            <o:lock v:ext="edit" aspectratio="t"/>
            <w10:wrap type="none"/>
            <w10:anchorlock/>
          </v:shape>
          <o:OLEObject Type="Embed" ProgID="Equation.KSEE3" ShapeID="_x0000_i1025" DrawAspect="Content" ObjectID="_1468075725" r:id="rId22">
            <o:LockedField>false</o:LockedField>
          </o:OLEObject>
        </w:object>
      </w:r>
    </w:p>
    <w:p>
      <w:pPr>
        <w:pStyle w:val="8"/>
        <w:rPr>
          <w:rFonts w:hint="eastAsia"/>
          <w:szCs w:val="21"/>
        </w:rPr>
      </w:pPr>
      <w:r>
        <w:rPr>
          <w:rFonts w:hint="eastAsia" w:eastAsia="宋体"/>
          <w:position w:val="-12"/>
          <w:szCs w:val="21"/>
          <w:lang w:eastAsia="zh-CN"/>
        </w:rPr>
        <w:object>
          <v:shape id="_x0000_i1026" o:spt="75" type="#_x0000_t75" style="height:18pt;width:12pt;" o:ole="t" filled="f" o:preferrelative="t" stroked="f" coordsize="21600,21600">
            <v:path/>
            <v:fill on="f" focussize="0,0"/>
            <v:stroke on="f"/>
            <v:imagedata r:id="rId25" o:title=""/>
            <o:lock v:ext="edit" aspectratio="t"/>
            <w10:wrap type="none"/>
            <w10:anchorlock/>
          </v:shape>
          <o:OLEObject Type="Embed" ProgID="Equation.KSEE3" ShapeID="_x0000_i1026" DrawAspect="Content" ObjectID="_1468075726" r:id="rId24">
            <o:LockedField>false</o:LockedField>
          </o:OLEObject>
        </w:object>
      </w:r>
      <w:r>
        <w:rPr>
          <w:rFonts w:hint="eastAsia"/>
          <w:szCs w:val="21"/>
        </w:rPr>
        <w:t>——第i个污染物的最大地面空气质量浓度占标率，%；</w:t>
      </w:r>
    </w:p>
    <w:p>
      <w:pPr>
        <w:pStyle w:val="8"/>
        <w:rPr>
          <w:rFonts w:hint="eastAsia"/>
          <w:szCs w:val="21"/>
        </w:rPr>
      </w:pPr>
      <w:r>
        <w:rPr>
          <w:rFonts w:hint="eastAsia" w:eastAsia="宋体"/>
          <w:position w:val="-12"/>
          <w:szCs w:val="21"/>
          <w:lang w:eastAsia="zh-CN"/>
        </w:rPr>
        <w:object>
          <v:shape id="_x0000_i1027" o:spt="75" type="#_x0000_t75" style="height:18pt;width:13.95pt;" o:ole="t" filled="f" o:preferrelative="t" stroked="f" coordsize="21600,21600">
            <v:path/>
            <v:fill on="f" focussize="0,0"/>
            <v:stroke on="f"/>
            <v:imagedata r:id="rId27" o:title=""/>
            <o:lock v:ext="edit" aspectratio="t"/>
            <w10:wrap type="none"/>
            <w10:anchorlock/>
          </v:shape>
          <o:OLEObject Type="Embed" ProgID="Equation.KSEE3" ShapeID="_x0000_i1027" DrawAspect="Content" ObjectID="_1468075727" r:id="rId26">
            <o:LockedField>false</o:LockedField>
          </o:OLEObject>
        </w:object>
      </w:r>
      <w:r>
        <w:rPr>
          <w:rFonts w:hint="eastAsia"/>
          <w:szCs w:val="21"/>
        </w:rPr>
        <w:t>——采用估算模型计算出的第 i个污染物的最大1h地面空气质量浓度，</w:t>
      </w:r>
    </w:p>
    <w:p>
      <w:pPr>
        <w:pStyle w:val="8"/>
        <w:ind w:left="0" w:leftChars="0" w:firstLine="0" w:firstLineChars="0"/>
        <w:rPr>
          <w:rFonts w:hint="eastAsia"/>
          <w:szCs w:val="21"/>
        </w:rPr>
      </w:pPr>
      <w:r>
        <w:rPr>
          <w:rFonts w:hint="eastAsia"/>
          <w:szCs w:val="21"/>
        </w:rPr>
        <w:t>μg/m</w:t>
      </w:r>
      <w:r>
        <w:rPr>
          <w:rFonts w:hint="eastAsia"/>
          <w:szCs w:val="21"/>
          <w:vertAlign w:val="superscript"/>
        </w:rPr>
        <w:t>3</w:t>
      </w:r>
      <w:r>
        <w:rPr>
          <w:rFonts w:hint="eastAsia"/>
          <w:szCs w:val="21"/>
        </w:rPr>
        <w:t>；</w:t>
      </w:r>
    </w:p>
    <w:p>
      <w:pPr>
        <w:pStyle w:val="8"/>
        <w:rPr>
          <w:rFonts w:hint="eastAsia"/>
          <w:szCs w:val="21"/>
        </w:rPr>
      </w:pPr>
      <w:r>
        <w:rPr>
          <w:rFonts w:hint="eastAsia" w:eastAsia="宋体"/>
          <w:position w:val="-12"/>
          <w:szCs w:val="21"/>
          <w:lang w:eastAsia="zh-CN"/>
        </w:rPr>
        <w:object>
          <v:shape id="_x0000_i1028" o:spt="75" type="#_x0000_t75" style="height:18pt;width:17pt;" o:ole="t" filled="f" o:preferrelative="t" stroked="f" coordsize="21600,21600">
            <v:path/>
            <v:fill on="f" focussize="0,0"/>
            <v:stroke on="f"/>
            <v:imagedata r:id="rId29" o:title=""/>
            <o:lock v:ext="edit" aspectratio="t"/>
            <w10:wrap type="none"/>
            <w10:anchorlock/>
          </v:shape>
          <o:OLEObject Type="Embed" ProgID="Equation.KSEE3" ShapeID="_x0000_i1028" DrawAspect="Content" ObjectID="_1468075728" r:id="rId28">
            <o:LockedField>false</o:LockedField>
          </o:OLEObject>
        </w:object>
      </w:r>
      <w:r>
        <w:rPr>
          <w:rFonts w:hint="eastAsia"/>
          <w:szCs w:val="21"/>
        </w:rPr>
        <w:t>——第i个污染物的环境空气质量浓度标准，μg/m</w:t>
      </w:r>
      <w:r>
        <w:rPr>
          <w:rFonts w:hint="eastAsia"/>
          <w:szCs w:val="21"/>
          <w:vertAlign w:val="superscript"/>
          <w:lang w:val="en-US" w:eastAsia="zh-CN"/>
        </w:rPr>
        <w:t>3</w:t>
      </w:r>
      <w:r>
        <w:rPr>
          <w:rFonts w:hint="eastAsia"/>
          <w:szCs w:val="21"/>
        </w:rPr>
        <w:t>。</w:t>
      </w:r>
    </w:p>
    <w:p>
      <w:pPr>
        <w:pStyle w:val="8"/>
        <w:rPr>
          <w:rFonts w:hint="eastAsia"/>
          <w:szCs w:val="21"/>
        </w:rPr>
      </w:pPr>
      <w:r>
        <w:rPr>
          <w:rFonts w:hint="eastAsia"/>
          <w:szCs w:val="21"/>
        </w:rPr>
        <w:t>根据《环境影响评价技术导则 大气环境》（HJ2.2-2018），大气环境评价等级判别见下表。</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pacing w:val="-60"/>
          <w:sz w:val="21"/>
          <w:szCs w:val="21"/>
        </w:rPr>
        <w:t xml:space="preserve"> </w:t>
      </w:r>
      <w:r>
        <w:rPr>
          <w:rFonts w:hint="default" w:ascii="Times New Roman" w:hAnsi="Times New Roman" w:eastAsia="宋体" w:cs="Times New Roman"/>
          <w:b/>
          <w:bCs/>
          <w:sz w:val="21"/>
          <w:szCs w:val="21"/>
        </w:rPr>
        <w:t>2.5-</w:t>
      </w:r>
      <w:r>
        <w:rPr>
          <w:rFonts w:hint="eastAsia" w:ascii="Times New Roman" w:hAnsi="Times New Roman" w:cs="Times New Roman"/>
          <w:b/>
          <w:bCs/>
          <w:sz w:val="21"/>
          <w:szCs w:val="21"/>
          <w:lang w:val="en-US" w:eastAsia="zh-CN"/>
        </w:rPr>
        <w:t>4</w:t>
      </w:r>
      <w:r>
        <w:rPr>
          <w:rFonts w:hint="default" w:ascii="Times New Roman" w:hAnsi="Times New Roman" w:eastAsia="宋体" w:cs="Times New Roman"/>
          <w:b/>
          <w:bCs/>
          <w:sz w:val="21"/>
          <w:szCs w:val="21"/>
        </w:rPr>
        <w:tab/>
      </w:r>
      <w:r>
        <w:rPr>
          <w:rFonts w:hint="default" w:ascii="Times New Roman" w:hAnsi="Times New Roman" w:eastAsia="宋体" w:cs="Times New Roman"/>
          <w:b/>
          <w:bCs/>
          <w:sz w:val="21"/>
          <w:szCs w:val="21"/>
        </w:rPr>
        <w:t>大气环评评价等级判别表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158"/>
        <w:gridCol w:w="414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2503"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评价工作等级</w:t>
            </w:r>
          </w:p>
        </w:tc>
        <w:tc>
          <w:tcPr>
            <w:tcW w:w="2496"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评价工作分级判据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2503"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一级评价</w:t>
            </w:r>
          </w:p>
        </w:tc>
        <w:tc>
          <w:tcPr>
            <w:tcW w:w="2496"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2503" w:type="pct"/>
            <w:tcBorders>
              <w:top w:val="single" w:color="000000" w:sz="4" w:space="0"/>
              <w:left w:val="nil"/>
              <w:bottom w:val="single" w:color="000000" w:sz="4" w:space="0"/>
              <w:right w:val="single" w:color="000000" w:sz="4"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二级评价</w:t>
            </w:r>
          </w:p>
        </w:tc>
        <w:tc>
          <w:tcPr>
            <w:tcW w:w="2496" w:type="pct"/>
            <w:tcBorders>
              <w:top w:val="single" w:color="000000" w:sz="4" w:space="0"/>
              <w:left w:val="single" w:color="000000" w:sz="4" w:space="0"/>
              <w:bottom w:val="single" w:color="000000" w:sz="4"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1%≤P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2503" w:type="pct"/>
            <w:tcBorders>
              <w:top w:val="single" w:color="000000" w:sz="4" w:space="0"/>
              <w:left w:val="nil"/>
              <w:right w:val="single" w:color="000000" w:sz="4" w:space="0"/>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三级评价</w:t>
            </w:r>
          </w:p>
        </w:tc>
        <w:tc>
          <w:tcPr>
            <w:tcW w:w="2496" w:type="pct"/>
            <w:tcBorders>
              <w:top w:val="single" w:color="000000" w:sz="4" w:space="0"/>
              <w:left w:val="single" w:color="000000" w:sz="4"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w:t>
            </w:r>
          </w:p>
        </w:tc>
      </w:tr>
    </w:tbl>
    <w:p>
      <w:pPr>
        <w:pStyle w:val="8"/>
        <w:rPr>
          <w:rFonts w:hint="eastAsia"/>
          <w:szCs w:val="21"/>
        </w:rPr>
      </w:pPr>
      <w:r>
        <w:rPr>
          <w:rFonts w:hint="eastAsia"/>
          <w:szCs w:val="21"/>
        </w:rPr>
        <w:t>根据项目工程分析结果，本项目运营期排放的大气污染物主要为猪舍、</w:t>
      </w:r>
      <w:r>
        <w:rPr>
          <w:rFonts w:hint="eastAsia"/>
          <w:szCs w:val="21"/>
          <w:lang w:eastAsia="zh-CN"/>
        </w:rPr>
        <w:t>异位发酵床</w:t>
      </w:r>
      <w:r>
        <w:rPr>
          <w:rFonts w:hint="eastAsia"/>
          <w:szCs w:val="21"/>
        </w:rPr>
        <w:t>和污水处理设施等无组织排放的恶臭气体H</w:t>
      </w:r>
      <w:r>
        <w:rPr>
          <w:rFonts w:hint="eastAsia"/>
          <w:szCs w:val="21"/>
          <w:vertAlign w:val="subscript"/>
        </w:rPr>
        <w:t>2</w:t>
      </w:r>
      <w:r>
        <w:rPr>
          <w:rFonts w:hint="eastAsia"/>
          <w:szCs w:val="21"/>
        </w:rPr>
        <w:t>S、NH</w:t>
      </w:r>
      <w:r>
        <w:rPr>
          <w:rFonts w:hint="eastAsia"/>
          <w:szCs w:val="21"/>
          <w:vertAlign w:val="subscript"/>
        </w:rPr>
        <w:t>3</w:t>
      </w:r>
      <w:r>
        <w:rPr>
          <w:rFonts w:hint="eastAsia"/>
          <w:szCs w:val="21"/>
        </w:rPr>
        <w:t>，以及员工食堂产生的油烟，各污染物评价标准如下。</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 2.5-</w:t>
      </w:r>
      <w:r>
        <w:rPr>
          <w:rFonts w:hint="eastAsia" w:cs="Times New Roman"/>
          <w:b/>
          <w:bCs/>
          <w:sz w:val="21"/>
          <w:szCs w:val="21"/>
          <w:lang w:val="en-US" w:eastAsia="zh-CN"/>
        </w:rPr>
        <w:t>5</w:t>
      </w:r>
      <w:r>
        <w:rPr>
          <w:rFonts w:hint="default" w:ascii="Times New Roman" w:hAnsi="Times New Roman" w:eastAsia="宋体" w:cs="Times New Roman"/>
          <w:b/>
          <w:bCs/>
          <w:sz w:val="21"/>
          <w:szCs w:val="21"/>
        </w:rPr>
        <w:t xml:space="preserve">  评价因子和评价标准表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6"/>
        <w:gridCol w:w="1392"/>
        <w:gridCol w:w="1897"/>
        <w:gridCol w:w="338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jc w:val="center"/>
        </w:trPr>
        <w:tc>
          <w:tcPr>
            <w:tcW w:w="979"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评价因子</w:t>
            </w:r>
          </w:p>
        </w:tc>
        <w:tc>
          <w:tcPr>
            <w:tcW w:w="838"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平均时段</w:t>
            </w:r>
          </w:p>
        </w:tc>
        <w:tc>
          <w:tcPr>
            <w:tcW w:w="1142"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2040"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93" w:hRule="atLeast"/>
          <w:jc w:val="center"/>
        </w:trPr>
        <w:tc>
          <w:tcPr>
            <w:tcW w:w="979"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NH</w:t>
            </w:r>
            <w:r>
              <w:rPr>
                <w:rFonts w:hint="eastAsia" w:ascii="Times New Roman" w:hAnsi="Times New Roman" w:cs="Times New Roman"/>
                <w:b w:val="0"/>
                <w:bCs/>
                <w:position w:val="2"/>
                <w:sz w:val="21"/>
                <w:szCs w:val="21"/>
                <w:vertAlign w:val="subscript"/>
                <w:lang w:val="en-US" w:eastAsia="zh-CN"/>
              </w:rPr>
              <w:t>3</w:t>
            </w:r>
          </w:p>
        </w:tc>
        <w:tc>
          <w:tcPr>
            <w:tcW w:w="838"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2040" w:type="pct"/>
            <w:vMerge w:val="restar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《环境影响评价技术导则-大气环境》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（HJ2.2-2018）附录 D相关限值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63" w:hRule="atLeast"/>
          <w:jc w:val="center"/>
        </w:trPr>
        <w:tc>
          <w:tcPr>
            <w:tcW w:w="979"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w:t>
            </w:r>
          </w:p>
        </w:tc>
        <w:tc>
          <w:tcPr>
            <w:tcW w:w="838"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2040" w:type="pct"/>
            <w:vMerge w:val="continue"/>
            <w:tcBorders>
              <w:top w:val="nil"/>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r>
    </w:tbl>
    <w:p>
      <w:pPr>
        <w:tabs>
          <w:tab w:val="left" w:pos="1042"/>
        </w:tabs>
        <w:spacing w:before="2"/>
        <w:ind w:left="1" w:right="0" w:firstLine="0"/>
        <w:jc w:val="center"/>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ascii="Times New Roman"/>
          <w:b/>
          <w:sz w:val="21"/>
          <w:szCs w:val="21"/>
          <w:lang w:val="en-US" w:eastAsia="zh-CN"/>
        </w:rPr>
        <w:t>6</w:t>
      </w:r>
      <w:r>
        <w:rPr>
          <w:rFonts w:ascii="Times New Roman" w:eastAsia="Times New Roman"/>
          <w:b/>
          <w:sz w:val="21"/>
          <w:szCs w:val="21"/>
        </w:rPr>
        <w:tab/>
      </w:r>
      <w:r>
        <w:rPr>
          <w:b/>
          <w:sz w:val="21"/>
          <w:szCs w:val="21"/>
        </w:rPr>
        <w:t>估算模型参数表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774"/>
        <w:gridCol w:w="2764"/>
        <w:gridCol w:w="276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4" w:hRule="atLeast"/>
        </w:trPr>
        <w:tc>
          <w:tcPr>
            <w:tcW w:w="3334" w:type="pct"/>
            <w:gridSpan w:val="2"/>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参数</w:t>
            </w:r>
          </w:p>
        </w:tc>
        <w:tc>
          <w:tcPr>
            <w:tcW w:w="1665" w:type="pct"/>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取值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城市农村/选项</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农村</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人口数</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最高环境温度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r>
              <w:rPr>
                <w:rFonts w:hint="eastAsia" w:ascii="Times New Roman" w:hAnsi="Times New Roman" w:cs="Times New Roman"/>
                <w:color w:val="auto"/>
                <w:sz w:val="21"/>
                <w:szCs w:val="21"/>
                <w:lang w:val="en-US" w:eastAsia="zh-CN"/>
              </w:rPr>
              <w:t>9</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7"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最低环境温度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r>
              <w:rPr>
                <w:rFonts w:hint="eastAsia" w:ascii="Times New Roman" w:hAnsi="Times New Roman" w:cs="Times New Roman"/>
                <w:color w:val="auto"/>
                <w:sz w:val="21"/>
                <w:szCs w:val="21"/>
                <w:lang w:val="en-US" w:eastAsia="zh-CN"/>
              </w:rPr>
              <w:t>8</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土地利用类型</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农</w:t>
            </w:r>
            <w:r>
              <w:rPr>
                <w:rFonts w:hint="eastAsia" w:ascii="Times New Roman" w:hAnsi="Times New Roman" w:cs="Times New Roman"/>
                <w:color w:val="auto"/>
                <w:sz w:val="21"/>
                <w:szCs w:val="21"/>
                <w:lang w:val="en-US" w:eastAsia="zh-CN"/>
              </w:rPr>
              <w:t>田</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区域湿度条件</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潮湿气候</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是否考虑地形</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考虑地形</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color w:val="000000"/>
                <w:spacing w:val="0"/>
                <w:w w:val="100"/>
                <w:position w:val="0"/>
              </w:rPr>
              <w:t>■</w:t>
            </w:r>
            <w:r>
              <w:rPr>
                <w:rFonts w:hint="eastAsia" w:ascii="Times New Roman" w:hAnsi="Times New Roman" w:cs="Times New Roman"/>
                <w:color w:val="auto"/>
                <w:w w:val="100"/>
                <w:sz w:val="21"/>
                <w:szCs w:val="21"/>
                <w:lang w:eastAsia="zh-CN"/>
              </w:rPr>
              <w:t>是</w:t>
            </w:r>
            <w:r>
              <w:rPr>
                <w:rFonts w:hint="eastAsia" w:ascii="Times New Roman" w:hAnsi="Times New Roman" w:cs="Times New Roman"/>
                <w:color w:val="auto"/>
                <w:w w:val="100"/>
                <w:sz w:val="21"/>
                <w:szCs w:val="21"/>
                <w:lang w:eastAsia="zh-CN"/>
              </w:rPr>
              <w:sym w:font="Wingdings 2" w:char="00A3"/>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1"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地形数据分辨率(m)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w w:val="100"/>
                <w:sz w:val="21"/>
                <w:szCs w:val="21"/>
                <w:lang w:val="en-US" w:eastAsia="zh-CN"/>
              </w:rPr>
              <w:t>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0" w:hRule="atLeast"/>
        </w:trPr>
        <w:tc>
          <w:tcPr>
            <w:tcW w:w="1670" w:type="pct"/>
            <w:vMerge w:val="restar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p>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是否考虑岸线熏烟</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考虑岸线熏烟</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eastAsia" w:ascii="Times New Roman" w:hAnsi="Times New Roman" w:cs="Times New Roman"/>
                <w:color w:val="auto"/>
                <w:w w:val="100"/>
                <w:sz w:val="21"/>
                <w:szCs w:val="21"/>
                <w:lang w:eastAsia="zh-CN"/>
              </w:rPr>
              <w:sym w:font="Wingdings 2" w:char="00A3"/>
            </w:r>
            <w:r>
              <w:rPr>
                <w:rFonts w:hint="eastAsia" w:ascii="Times New Roman" w:hAnsi="Times New Roman" w:cs="Times New Roman"/>
                <w:color w:val="auto"/>
                <w:w w:val="100"/>
                <w:sz w:val="21"/>
                <w:szCs w:val="21"/>
                <w:lang w:eastAsia="zh-CN"/>
              </w:rPr>
              <w:t>是</w:t>
            </w:r>
            <w:r>
              <w:rPr>
                <w:color w:val="000000"/>
                <w:spacing w:val="0"/>
                <w:w w:val="100"/>
                <w:position w:val="0"/>
              </w:rPr>
              <w:t>■</w:t>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岸线距离/km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岸线方向/o</w:t>
            </w:r>
          </w:p>
        </w:tc>
        <w:tc>
          <w:tcPr>
            <w:tcW w:w="166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b/>
          <w:sz w:val="21"/>
          <w:szCs w:val="21"/>
          <w:lang w:val="en-US" w:eastAsia="zh-CN"/>
        </w:rPr>
        <w:t>7</w:t>
      </w:r>
      <w:r>
        <w:rPr>
          <w:rFonts w:hint="eastAsia" w:ascii="Times New Roman"/>
          <w:b/>
          <w:sz w:val="21"/>
          <w:szCs w:val="21"/>
          <w:lang w:val="en-US" w:eastAsia="zh-CN"/>
        </w:rPr>
        <w:t xml:space="preserve">   </w:t>
      </w:r>
      <w:r>
        <w:rPr>
          <w:b/>
          <w:sz w:val="21"/>
          <w:szCs w:val="21"/>
        </w:rPr>
        <w:t>面源参数表</w:t>
      </w:r>
      <w:r>
        <w:rPr>
          <w:rFonts w:hint="eastAsia"/>
          <w:b/>
          <w:sz w:val="21"/>
          <w:szCs w:val="21"/>
          <w:lang w:eastAsia="zh-CN"/>
        </w:rPr>
        <w:t>及估算结果</w:t>
      </w:r>
    </w:p>
    <w:tbl>
      <w:tblPr>
        <w:tblStyle w:val="64"/>
        <w:tblW w:w="4937" w:type="pct"/>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2"/>
        <w:gridCol w:w="882"/>
        <w:gridCol w:w="936"/>
        <w:gridCol w:w="936"/>
        <w:gridCol w:w="936"/>
        <w:gridCol w:w="941"/>
        <w:gridCol w:w="899"/>
        <w:gridCol w:w="1192"/>
        <w:gridCol w:w="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排放源</w:t>
            </w:r>
          </w:p>
        </w:tc>
        <w:tc>
          <w:tcPr>
            <w:tcW w:w="525"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污染源</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排放量</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t/a</w:t>
            </w:r>
          </w:p>
        </w:tc>
        <w:tc>
          <w:tcPr>
            <w:tcW w:w="1674" w:type="pct"/>
            <w:gridSpan w:val="3"/>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eastAsia="zh-CN"/>
              </w:rPr>
              <w:t>释放面源参数</w:t>
            </w:r>
            <w:r>
              <w:rPr>
                <w:rFonts w:hint="default" w:ascii="Times New Roman" w:hAnsi="Times New Roman" w:eastAsia="宋体" w:cs="Times New Roman"/>
                <w:b w:val="0"/>
                <w:bCs/>
                <w:sz w:val="21"/>
                <w:szCs w:val="21"/>
                <w:vertAlign w:val="baseline"/>
                <w:lang w:val="en-US" w:eastAsia="zh-CN"/>
              </w:rPr>
              <w:t>m</w:t>
            </w:r>
          </w:p>
        </w:tc>
        <w:tc>
          <w:tcPr>
            <w:tcW w:w="524"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subscript"/>
                <w:lang w:val="en-US" w:eastAsia="zh-CN"/>
              </w:rPr>
            </w:pPr>
            <w:r>
              <w:rPr>
                <w:rFonts w:hint="default" w:ascii="Times New Roman" w:hAnsi="Times New Roman" w:eastAsia="宋体" w:cs="Times New Roman"/>
                <w:b w:val="0"/>
                <w:bCs/>
                <w:sz w:val="21"/>
                <w:szCs w:val="21"/>
                <w:vertAlign w:val="baseline"/>
                <w:lang w:val="en-US" w:eastAsia="zh-CN"/>
              </w:rPr>
              <w:t>C</w:t>
            </w:r>
            <w:r>
              <w:rPr>
                <w:rFonts w:hint="default" w:ascii="Times New Roman" w:hAnsi="Times New Roman" w:eastAsia="宋体" w:cs="Times New Roman"/>
                <w:b w:val="0"/>
                <w:bCs/>
                <w:sz w:val="21"/>
                <w:szCs w:val="21"/>
                <w:vertAlign w:val="subscript"/>
                <w:lang w:val="en-US" w:eastAsia="zh-CN"/>
              </w:rPr>
              <w:t>max</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μg</w:t>
            </w:r>
            <w:r>
              <w:rPr>
                <w:rFonts w:hint="default" w:ascii="Times New Roman" w:hAnsi="Times New Roman" w:eastAsia="宋体" w:cs="Times New Roman"/>
                <w:b w:val="0"/>
                <w:bCs/>
                <w:sz w:val="21"/>
                <w:szCs w:val="21"/>
                <w:vertAlign w:val="baseline"/>
                <w:lang w:val="en-US" w:eastAsia="zh-CN"/>
              </w:rPr>
              <w:t>/m</w:t>
            </w:r>
            <w:r>
              <w:rPr>
                <w:rFonts w:hint="default" w:ascii="Times New Roman" w:hAnsi="Times New Roman" w:eastAsia="宋体" w:cs="Times New Roman"/>
                <w:b w:val="0"/>
                <w:bCs/>
                <w:sz w:val="21"/>
                <w:szCs w:val="21"/>
                <w:vertAlign w:val="superscript"/>
                <w:lang w:val="en-US" w:eastAsia="zh-CN"/>
              </w:rPr>
              <w:t>3</w:t>
            </w:r>
          </w:p>
        </w:tc>
        <w:tc>
          <w:tcPr>
            <w:tcW w:w="709"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Pmax对应的D（m）</w:t>
            </w:r>
          </w:p>
        </w:tc>
        <w:tc>
          <w:tcPr>
            <w:tcW w:w="483" w:type="pct"/>
            <w:vMerge w:val="restart"/>
            <w:tcBorders>
              <w:top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长度</w:t>
            </w: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宽度</w:t>
            </w:r>
          </w:p>
        </w:tc>
        <w:tc>
          <w:tcPr>
            <w:tcW w:w="560"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高度</w:t>
            </w:r>
          </w:p>
        </w:tc>
        <w:tc>
          <w:tcPr>
            <w:tcW w:w="524"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709"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483" w:type="pct"/>
            <w:vMerge w:val="continue"/>
            <w:tcBorders>
              <w:bottom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猪舍</w:t>
            </w:r>
          </w:p>
        </w:tc>
        <w:tc>
          <w:tcPr>
            <w:tcW w:w="525" w:type="pc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0.044</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180.8</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60"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8.7906</w:t>
            </w:r>
          </w:p>
        </w:tc>
        <w:tc>
          <w:tcPr>
            <w:tcW w:w="1194"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top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4.3953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0.003</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0.5274</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污水处理设施</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0.012</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17.6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6.7131</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3.3565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0.0006</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0.3615</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异位发酵床</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0.024</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50</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15.6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16.5040</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0.0012</w:t>
            </w: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0.8252</w:t>
            </w:r>
          </w:p>
        </w:tc>
        <w:tc>
          <w:tcPr>
            <w:tcW w:w="1194"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bottom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bl>
    <w:p>
      <w:pPr>
        <w:keepNext w:val="0"/>
        <w:keepLines w:val="0"/>
        <w:pageBreakBefore w:val="0"/>
        <w:widowControl w:val="0"/>
        <w:tabs>
          <w:tab w:val="left" w:pos="1522"/>
        </w:tabs>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b w:val="0"/>
          <w:bCs/>
          <w:color w:val="FF0000"/>
          <w:sz w:val="24"/>
          <w:szCs w:val="24"/>
        </w:rPr>
      </w:pPr>
      <w:r>
        <w:rPr>
          <w:rFonts w:hint="default" w:ascii="Times New Roman" w:hAnsi="Times New Roman" w:eastAsia="宋体" w:cs="Times New Roman"/>
          <w:b w:val="0"/>
          <w:sz w:val="24"/>
        </w:rPr>
        <w:t>本项目P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最大值出现为异位发酵床排放的NH</w:t>
      </w:r>
      <w:r>
        <w:rPr>
          <w:rFonts w:hint="default" w:ascii="Times New Roman" w:hAnsi="Times New Roman" w:eastAsia="宋体" w:cs="Times New Roman"/>
          <w:b w:val="0"/>
          <w:sz w:val="24"/>
          <w:vertAlign w:val="subscript"/>
        </w:rPr>
        <w:t>3</w:t>
      </w:r>
      <w:r>
        <w:rPr>
          <w:rFonts w:hint="default" w:ascii="Times New Roman" w:hAnsi="Times New Roman" w:eastAsia="宋体" w:cs="Times New Roman"/>
          <w:b w:val="0"/>
          <w:sz w:val="24"/>
        </w:rPr>
        <w:t>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值为8.252%</w:t>
      </w:r>
      <w:r>
        <w:rPr>
          <w:rFonts w:hint="eastAsia" w:ascii="Times New Roman" w:hAnsi="Times New Roman" w:eastAsia="宋体" w:cs="Times New Roman"/>
          <w:b w:val="0"/>
          <w:sz w:val="24"/>
          <w:lang w:eastAsia="zh-CN"/>
        </w:rPr>
        <w:t>，</w:t>
      </w:r>
      <w:r>
        <w:rPr>
          <w:rFonts w:hint="default" w:ascii="Times New Roman" w:hAnsi="Times New Roman" w:eastAsia="宋体" w:cs="Times New Roman"/>
          <w:b w:val="0"/>
          <w:sz w:val="24"/>
        </w:rPr>
        <w:t>C</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为16.504μg/m³，根据《环境影响评价技术导则 大气环境》（HJ2.2-2018）分级判据，确定本项目大气环境影响评价工作等级为二级。</w:t>
      </w:r>
    </w:p>
    <w:bookmarkEnd w:id="19"/>
    <w:p>
      <w:pPr>
        <w:pStyle w:val="5"/>
        <w:ind w:firstLine="562"/>
      </w:pPr>
      <w:r>
        <w:t>环境噪声评价工作等级</w:t>
      </w:r>
    </w:p>
    <w:p>
      <w:pPr>
        <w:pStyle w:val="9"/>
      </w:pPr>
      <w:r>
        <w:rPr>
          <w:rFonts w:hint="eastAsia"/>
        </w:rPr>
        <w:t xml:space="preserve">声环境影响评价等级主要根据项目所在区域的声环境功能类别或项目建设前后所在区域的声环境质量变化程度或受建设项目影响的人口数量来确定的。本项目所在区域声功能区属于GB3096-2008规定的1类区，项目建设前后噪声级增加量控制在3dB(A)以内，受影响人口增加不明显，按《环境影响评价技术导则 声环境》(HJ 2.4-2009)中的有关规定，本项目声环境影响评价工作等级定为二级。 </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8</w:t>
      </w:r>
      <w:r>
        <w:rPr>
          <w:rFonts w:hint="eastAsia" w:ascii="Times New Roman" w:hAnsi="Times New Roman" w:cs="Times New Roman"/>
          <w:b/>
          <w:sz w:val="21"/>
          <w:szCs w:val="21"/>
          <w:lang w:eastAsia="zh-CN"/>
        </w:rPr>
        <w:t xml:space="preserve">  声环境影响评价工作等级判别情况</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47"/>
        <w:gridCol w:w="6060"/>
        <w:gridCol w:w="139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序号</w:t>
            </w:r>
          </w:p>
        </w:tc>
        <w:tc>
          <w:tcPr>
            <w:tcW w:w="364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等级划分依据</w:t>
            </w:r>
          </w:p>
        </w:tc>
        <w:tc>
          <w:tcPr>
            <w:tcW w:w="84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指标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51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1</w:t>
            </w:r>
          </w:p>
        </w:tc>
        <w:tc>
          <w:tcPr>
            <w:tcW w:w="364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项目所在区域的声环境功能区类别</w:t>
            </w:r>
          </w:p>
        </w:tc>
        <w:tc>
          <w:tcPr>
            <w:tcW w:w="84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1 类区</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51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2</w:t>
            </w:r>
          </w:p>
        </w:tc>
        <w:tc>
          <w:tcPr>
            <w:tcW w:w="364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项目建设前后评价范围内敏感目标噪声级增加量</w:t>
            </w:r>
          </w:p>
        </w:tc>
        <w:tc>
          <w:tcPr>
            <w:tcW w:w="84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＜3dB(A)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3</w:t>
            </w:r>
          </w:p>
        </w:tc>
        <w:tc>
          <w:tcPr>
            <w:tcW w:w="364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受影响人口数量</w:t>
            </w:r>
          </w:p>
        </w:tc>
        <w:tc>
          <w:tcPr>
            <w:tcW w:w="84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变化不大</w:t>
            </w:r>
          </w:p>
        </w:tc>
      </w:tr>
    </w:tbl>
    <w:p>
      <w:pPr>
        <w:pStyle w:val="5"/>
        <w:ind w:firstLine="562"/>
      </w:pPr>
      <w:r>
        <w:rPr>
          <w:rFonts w:hint="eastAsia"/>
          <w:lang w:eastAsia="zh-CN"/>
        </w:rPr>
        <w:t>土壤环境</w:t>
      </w:r>
      <w:r>
        <w:t>评价工作等级</w:t>
      </w:r>
    </w:p>
    <w:p>
      <w:pPr>
        <w:pStyle w:val="9"/>
      </w:pPr>
      <w:r>
        <w:t>本项目属于生猪养殖项目，根据《环境影响评价技术导则</w:t>
      </w:r>
      <w:r>
        <w:tab/>
      </w:r>
      <w:r>
        <w:t>土壤环境（试行）》(HJ964-2018)附录 A，本项目为Ⅲ类项目，根据表2.5-</w:t>
      </w:r>
      <w:r>
        <w:rPr>
          <w:rFonts w:hint="eastAsia"/>
          <w:lang w:val="en-US" w:eastAsia="zh-CN"/>
        </w:rPr>
        <w:t>9</w:t>
      </w:r>
      <w:r>
        <w:t>，项目所在地周边为</w:t>
      </w:r>
      <w:r>
        <w:rPr>
          <w:rFonts w:hint="eastAsia"/>
          <w:lang w:eastAsia="zh-CN"/>
        </w:rPr>
        <w:t>农用</w:t>
      </w:r>
      <w:r>
        <w:t>地，土壤环境敏感程度为敏感，项</w:t>
      </w:r>
      <w:r>
        <w:rPr>
          <w:color w:val="auto"/>
        </w:rPr>
        <w:t>目永久占地面积</w:t>
      </w:r>
      <w:r>
        <w:rPr>
          <w:rFonts w:hint="eastAsia"/>
          <w:color w:val="auto"/>
          <w:lang w:val="en-US" w:eastAsia="zh-CN"/>
        </w:rPr>
        <w:t>7.1h</w:t>
      </w:r>
      <w:r>
        <w:rPr>
          <w:color w:val="auto"/>
        </w:rPr>
        <w:t>m</w:t>
      </w:r>
      <w:r>
        <w:rPr>
          <w:color w:val="auto"/>
          <w:vertAlign w:val="superscript"/>
        </w:rPr>
        <w:t>2</w:t>
      </w:r>
      <w:r>
        <w:rPr>
          <w:color w:val="auto"/>
        </w:rPr>
        <w:t>，</w:t>
      </w:r>
      <w:r>
        <w:t>占地规模为</w:t>
      </w:r>
      <w:r>
        <w:rPr>
          <w:rFonts w:hint="eastAsia"/>
          <w:lang w:eastAsia="zh-CN"/>
        </w:rPr>
        <w:t>中</w:t>
      </w:r>
      <w:r>
        <w:t>型（</w:t>
      </w:r>
      <w:r>
        <w:rPr>
          <w:rFonts w:hint="eastAsia"/>
          <w:color w:val="auto"/>
          <w:lang w:val="en-US" w:eastAsia="zh-CN"/>
        </w:rPr>
        <w:t>5</w:t>
      </w:r>
      <w:r>
        <w:rPr>
          <w:color w:val="auto"/>
        </w:rPr>
        <w:t>hm</w:t>
      </w:r>
      <w:r>
        <w:rPr>
          <w:color w:val="auto"/>
          <w:vertAlign w:val="superscript"/>
        </w:rPr>
        <w:t>2</w:t>
      </w:r>
      <w:r>
        <w:rPr>
          <w:rFonts w:hint="eastAsia"/>
          <w:color w:val="auto"/>
          <w:lang w:eastAsia="zh-CN"/>
        </w:rPr>
        <w:t>≤</w:t>
      </w:r>
      <w:r>
        <w:rPr>
          <w:rFonts w:hint="eastAsia"/>
          <w:color w:val="auto"/>
          <w:lang w:val="en-US" w:eastAsia="zh-CN"/>
        </w:rPr>
        <w:t>7.1h</w:t>
      </w:r>
      <w:r>
        <w:rPr>
          <w:color w:val="auto"/>
        </w:rPr>
        <w:t>m</w:t>
      </w:r>
      <w:r>
        <w:rPr>
          <w:color w:val="auto"/>
          <w:vertAlign w:val="superscript"/>
        </w:rPr>
        <w:t>2</w:t>
      </w:r>
      <w:r>
        <w:rPr>
          <w:rFonts w:hint="eastAsia"/>
          <w:color w:val="auto"/>
          <w:lang w:eastAsia="zh-CN"/>
        </w:rPr>
        <w:t>≤</w:t>
      </w:r>
      <w:r>
        <w:rPr>
          <w:color w:val="auto"/>
        </w:rPr>
        <w:t>5</w:t>
      </w:r>
      <w:r>
        <w:rPr>
          <w:rFonts w:hint="eastAsia"/>
          <w:color w:val="auto"/>
          <w:lang w:val="en-US" w:eastAsia="zh-CN"/>
        </w:rPr>
        <w:t>0</w:t>
      </w:r>
      <w:r>
        <w:rPr>
          <w:color w:val="auto"/>
        </w:rPr>
        <w:t>hm</w:t>
      </w:r>
      <w:r>
        <w:rPr>
          <w:color w:val="auto"/>
          <w:vertAlign w:val="superscript"/>
        </w:rPr>
        <w:t>2</w:t>
      </w:r>
      <w:r>
        <w:rPr>
          <w:color w:val="auto"/>
        </w:rPr>
        <w:t>）</w:t>
      </w:r>
      <w:r>
        <w:t>，根据表2.5-1</w:t>
      </w:r>
      <w:r>
        <w:rPr>
          <w:rFonts w:hint="eastAsia"/>
          <w:lang w:val="en-US" w:eastAsia="zh-CN"/>
        </w:rPr>
        <w:t>0</w:t>
      </w:r>
      <w:r>
        <w:t>，项目土壤环境评价等级为三级。</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9</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污染影响型敏感程度分级表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501"/>
        <w:gridCol w:w="680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904"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敏感程度</w:t>
            </w:r>
          </w:p>
        </w:tc>
        <w:tc>
          <w:tcPr>
            <w:tcW w:w="4095"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判别依据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904"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w:t>
            </w:r>
          </w:p>
        </w:tc>
        <w:tc>
          <w:tcPr>
            <w:tcW w:w="4095"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建设项目周边存在耕地、园地、牧草地、饮用水源地或居民区、学校、医院、疗养院、养老院等土壤环境敏感目标的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3" w:hRule="atLeast"/>
        </w:trPr>
        <w:tc>
          <w:tcPr>
            <w:tcW w:w="904"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较敏感</w:t>
            </w:r>
          </w:p>
        </w:tc>
        <w:tc>
          <w:tcPr>
            <w:tcW w:w="409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建设项目周边存在其他土壤环境敏感目标的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904"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不敏感</w:t>
            </w:r>
          </w:p>
        </w:tc>
        <w:tc>
          <w:tcPr>
            <w:tcW w:w="409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其他情况</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0</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污染影响型评价工作等级划分表</w:t>
      </w:r>
    </w:p>
    <w:tbl>
      <w:tblPr>
        <w:tblStyle w:val="6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3"/>
        <w:gridCol w:w="758"/>
        <w:gridCol w:w="716"/>
        <w:gridCol w:w="794"/>
        <w:gridCol w:w="774"/>
        <w:gridCol w:w="822"/>
        <w:gridCol w:w="767"/>
        <w:gridCol w:w="711"/>
        <w:gridCol w:w="776"/>
        <w:gridCol w:w="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76" w:type="pct"/>
            <w:vMerge w:val="restart"/>
            <w:tcBorders>
              <w:top w:val="single" w:color="auto" w:sz="12" w:space="0"/>
              <w:left w:val="nil"/>
            </w:tcBorders>
          </w:tcPr>
          <w:p>
            <w:pPr>
              <w:pStyle w:val="26"/>
              <w:keepNext w:val="0"/>
              <w:keepLines w:val="0"/>
              <w:pageBreakBefore w:val="0"/>
              <w:widowControl w:val="0"/>
              <w:kinsoku/>
              <w:wordWrap/>
              <w:overflowPunct/>
              <w:topLinePunct w:val="0"/>
              <w:autoSpaceDE/>
              <w:autoSpaceDN/>
              <w:bidi w:val="0"/>
              <w:adjustRightInd/>
              <w:snapToGrid/>
              <w:spacing w:after="0"/>
              <w:ind w:firstLine="420"/>
              <w:jc w:val="center"/>
              <w:textAlignment w:val="auto"/>
              <w:rPr>
                <w:rFonts w:hint="eastAsia" w:ascii="Times New Roman" w:hAnsi="Times New Roman" w:cs="Times New Roman"/>
                <w:b/>
                <w:sz w:val="18"/>
                <w:szCs w:val="18"/>
                <w:vertAlign w:val="baseline"/>
                <w:lang w:eastAsia="zh-CN"/>
              </w:rPr>
            </w:pPr>
            <w:r>
              <w:rPr>
                <w:sz w:val="21"/>
              </w:rPr>
              <mc:AlternateContent>
                <mc:Choice Requires="wps">
                  <w:drawing>
                    <wp:anchor distT="0" distB="0" distL="114300" distR="114300" simplePos="0" relativeHeight="251667456" behindDoc="0" locked="0" layoutInCell="1" allowOverlap="1">
                      <wp:simplePos x="0" y="0"/>
                      <wp:positionH relativeFrom="column">
                        <wp:posOffset>-58420</wp:posOffset>
                      </wp:positionH>
                      <wp:positionV relativeFrom="paragraph">
                        <wp:posOffset>12065</wp:posOffset>
                      </wp:positionV>
                      <wp:extent cx="1047750" cy="381000"/>
                      <wp:effectExtent l="1905" t="4445" r="17145" b="14605"/>
                      <wp:wrapNone/>
                      <wp:docPr id="59" name="直接连接符 59"/>
                      <wp:cNvGraphicFramePr/>
                      <a:graphic xmlns:a="http://schemas.openxmlformats.org/drawingml/2006/main">
                        <a:graphicData uri="http://schemas.microsoft.com/office/word/2010/wordprocessingShape">
                          <wps:wsp>
                            <wps:cNvCnPr/>
                            <wps:spPr>
                              <a:xfrm>
                                <a:off x="0" y="0"/>
                                <a:ext cx="104775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6pt;margin-top:0.95pt;height:30pt;width:82.5pt;z-index:251667456;mso-width-relative:page;mso-height-relative:page;" filled="f" stroked="t" coordsize="21600,21600" o:gfxdata="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T/Fzb1QAA&#10;AAcBAAAPAAAAAAAAAAEAIAAAACIAAABkcnMvZG93bnJldi54bWxQSwECFAAUAAAACACHTuJAT2v8&#10;hugBAAC4AwAADgAAAAAAAAABACAAAAAkAQAAZHJzL2Uyb0RvYy54bWxQSwUGAAAAAAYABgBZAQAA&#10;fgUAAAAA&#10;">
                      <v:fill on="f" focussize="0,0"/>
                      <v:stroke weight="0.5pt" color="#000000 [3213]" miterlimit="8" joinstyle="miter"/>
                      <v:imagedata o:title=""/>
                      <o:lock v:ext="edit" aspectratio="f"/>
                    </v:line>
                  </w:pict>
                </mc:Fallback>
              </mc:AlternateContent>
            </w:r>
            <w:r>
              <w:rPr>
                <w:rFonts w:hint="eastAsia" w:ascii="Times New Roman" w:hAnsi="Times New Roman" w:cs="Times New Roman"/>
                <w:b/>
                <w:sz w:val="21"/>
                <w:szCs w:val="21"/>
                <w:vertAlign w:val="baseline"/>
                <w:lang w:val="en-US" w:eastAsia="zh-CN"/>
              </w:rPr>
              <w:t xml:space="preserve">  </w:t>
            </w:r>
            <w:r>
              <w:rPr>
                <w:rFonts w:hint="eastAsia" w:ascii="Times New Roman" w:hAnsi="Times New Roman" w:cs="Times New Roman"/>
                <w:b/>
                <w:sz w:val="18"/>
                <w:szCs w:val="18"/>
                <w:vertAlign w:val="baseline"/>
                <w:lang w:eastAsia="zh-CN"/>
              </w:rPr>
              <w:t>占地规模</w:t>
            </w:r>
            <w:r>
              <w:rPr>
                <w:rFonts w:hint="eastAsia" w:ascii="Times New Roman" w:hAnsi="Times New Roman" w:cs="Times New Roman"/>
                <w:b/>
                <w:sz w:val="18"/>
                <w:szCs w:val="18"/>
                <w:vertAlign w:val="baseline"/>
                <w:lang w:val="en-US" w:eastAsia="zh-CN"/>
              </w:rPr>
              <w:t xml:space="preserve">      </w:t>
            </w:r>
          </w:p>
          <w:p>
            <w:pPr>
              <w:pStyle w:val="26"/>
              <w:keepNext w:val="0"/>
              <w:keepLines w:val="0"/>
              <w:pageBreakBefore w:val="0"/>
              <w:widowControl w:val="0"/>
              <w:kinsoku/>
              <w:wordWrap/>
              <w:overflowPunct/>
              <w:topLinePunct w:val="0"/>
              <w:autoSpaceDE/>
              <w:autoSpaceDN/>
              <w:bidi w:val="0"/>
              <w:adjustRightInd/>
              <w:snapToGrid/>
              <w:spacing w:after="0"/>
              <w:ind w:firstLine="542" w:firstLineChars="300"/>
              <w:jc w:val="both"/>
              <w:textAlignment w:val="auto"/>
              <w:rPr>
                <w:rFonts w:hint="eastAsia" w:ascii="Times New Roman" w:hAnsi="Times New Roman" w:cs="Times New Roman"/>
                <w:b/>
                <w:sz w:val="18"/>
                <w:szCs w:val="18"/>
                <w:vertAlign w:val="baseline"/>
                <w:lang w:val="en-US" w:eastAsia="zh-CN"/>
              </w:rPr>
            </w:pPr>
            <w:r>
              <w:rPr>
                <w:rFonts w:hint="eastAsia" w:ascii="Times New Roman" w:hAnsi="Times New Roman" w:cs="Times New Roman"/>
                <w:b/>
                <w:sz w:val="18"/>
                <w:szCs w:val="18"/>
                <w:vertAlign w:val="baseline"/>
                <w:lang w:val="en-US" w:eastAsia="zh-CN"/>
              </w:rPr>
              <w:t>等级</w:t>
            </w:r>
            <w:r>
              <w:rPr>
                <w:sz w:val="21"/>
              </w:rPr>
              <mc:AlternateContent>
                <mc:Choice Requires="wps">
                  <w:drawing>
                    <wp:anchor distT="0" distB="0" distL="114300" distR="114300" simplePos="0" relativeHeight="251668480" behindDoc="0" locked="0" layoutInCell="1" allowOverlap="1">
                      <wp:simplePos x="0" y="0"/>
                      <wp:positionH relativeFrom="column">
                        <wp:posOffset>-48895</wp:posOffset>
                      </wp:positionH>
                      <wp:positionV relativeFrom="paragraph">
                        <wp:posOffset>-186055</wp:posOffset>
                      </wp:positionV>
                      <wp:extent cx="781050" cy="590550"/>
                      <wp:effectExtent l="3175" t="3810" r="15875" b="15240"/>
                      <wp:wrapNone/>
                      <wp:docPr id="74" name="直接连接符 74"/>
                      <wp:cNvGraphicFramePr/>
                      <a:graphic xmlns:a="http://schemas.openxmlformats.org/drawingml/2006/main">
                        <a:graphicData uri="http://schemas.microsoft.com/office/word/2010/wordprocessingShape">
                          <wps:wsp>
                            <wps:cNvCnPr/>
                            <wps:spPr>
                              <a:xfrm>
                                <a:off x="0" y="0"/>
                                <a:ext cx="781050" cy="590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85pt;margin-top:-14.65pt;height:46.5pt;width:61.5pt;z-index:251668480;mso-width-relative:page;mso-height-relative:page;" filled="f" stroked="t" coordsize="21600,21600" o:gfxdata="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P+bek1wAA&#10;AAkBAAAPAAAAAAAAAAEAIAAAACIAAABkcnMvZG93bnJldi54bWxQSwECFAAUAAAACACHTuJAbu9f&#10;heYBAAC3AwAADgAAAAAAAAABACAAAAAmAQAAZHJzL2Uyb0RvYy54bWxQSwUGAAAAAAYABgBZAQAA&#10;fgUAAAAA&#10;">
                      <v:fill on="f" focussize="0,0"/>
                      <v:stroke weight="0.5pt" color="#000000 [3213]" miterlimit="8" joinstyle="miter"/>
                      <v:imagedata o:title=""/>
                      <o:lock v:ext="edit" aspectratio="f"/>
                    </v:line>
                  </w:pict>
                </mc:Fallback>
              </mc:AlternateContent>
            </w:r>
          </w:p>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b/>
                <w:sz w:val="21"/>
                <w:szCs w:val="21"/>
                <w:vertAlign w:val="baseline"/>
                <w:lang w:val="en-US"/>
              </w:rPr>
            </w:pPr>
            <w:r>
              <w:rPr>
                <w:rFonts w:hint="eastAsia" w:ascii="Times New Roman" w:hAnsi="Times New Roman" w:cs="Times New Roman"/>
                <w:b/>
                <w:sz w:val="18"/>
                <w:szCs w:val="18"/>
                <w:vertAlign w:val="baseline"/>
                <w:lang w:val="en-US" w:eastAsia="zh-CN"/>
              </w:rPr>
              <w:t xml:space="preserve">敏感程度         </w:t>
            </w:r>
          </w:p>
        </w:tc>
        <w:tc>
          <w:tcPr>
            <w:tcW w:w="1331"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80"/>
                <w:sz w:val="21"/>
                <w:szCs w:val="21"/>
              </w:rPr>
              <w:t>Ⅰ</w:t>
            </w:r>
            <w:r>
              <w:rPr>
                <w:rFonts w:hint="default" w:ascii="Times New Roman" w:hAnsi="Times New Roman" w:eastAsia="宋体" w:cs="Times New Roman"/>
                <w:b/>
                <w:w w:val="90"/>
                <w:sz w:val="21"/>
                <w:szCs w:val="21"/>
              </w:rPr>
              <w:t>类</w:t>
            </w:r>
          </w:p>
        </w:tc>
        <w:tc>
          <w:tcPr>
            <w:tcW w:w="1386"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Ⅱ类</w:t>
            </w:r>
          </w:p>
        </w:tc>
        <w:tc>
          <w:tcPr>
            <w:tcW w:w="1305" w:type="pct"/>
            <w:gridSpan w:val="3"/>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w w:val="120"/>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20"/>
                <w:sz w:val="21"/>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vMerge w:val="continue"/>
            <w:tcBorders>
              <w:left w:val="nil"/>
              <w:bottom w:val="single" w:color="auto" w:sz="12" w:space="0"/>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p>
        </w:tc>
        <w:tc>
          <w:tcPr>
            <w:tcW w:w="44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2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6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54"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82"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5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17"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55" w:type="pct"/>
            <w:tcBorders>
              <w:bottom w:val="single" w:color="auto" w:sz="12"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32" w:type="pct"/>
            <w:tcBorders>
              <w:bottom w:val="single" w:color="auto" w:sz="12"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top w:val="single" w:color="auto" w:sz="12" w:space="0"/>
              <w:left w:val="nil"/>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敏感</w:t>
            </w:r>
          </w:p>
        </w:tc>
        <w:tc>
          <w:tcPr>
            <w:tcW w:w="44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17"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Borders>
              <w:top w:val="single" w:color="auto" w:sz="12" w:space="0"/>
            </w:tcBorders>
            <w:shd w:val="clear" w:color="auto" w:fill="BEBEBE" w:themeFill="background1" w:themeFillShade="BF"/>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top w:val="single" w:color="auto" w:sz="12" w:space="0"/>
              <w:right w:val="nil"/>
            </w:tcBorders>
            <w:shd w:val="clear" w:color="auto" w:fill="auto"/>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较敏感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不敏感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0"/>
            <w:tcBorders>
              <w:left w:val="nil"/>
              <w:bottom w:val="single" w:color="auto" w:sz="12" w:space="0"/>
              <w:right w:val="nil"/>
            </w:tcBorders>
            <w:vAlign w:val="top"/>
          </w:tcPr>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w w:val="100"/>
                <w:sz w:val="21"/>
                <w:szCs w:val="21"/>
              </w:rPr>
            </w:pPr>
            <w:r>
              <w:rPr>
                <w:rFonts w:hint="default" w:ascii="Times New Roman" w:hAnsi="Times New Roman" w:eastAsia="宋体" w:cs="Times New Roman"/>
                <w:sz w:val="21"/>
                <w:szCs w:val="21"/>
              </w:rPr>
              <w:t>注：“</w:t>
            </w:r>
            <w:r>
              <w:rPr>
                <w:rFonts w:hint="default" w:ascii="Times New Roman" w:hAnsi="Times New Roman" w:eastAsia="宋体" w:cs="Times New Roman"/>
                <w:w w:val="100"/>
                <w:sz w:val="21"/>
                <w:szCs w:val="21"/>
              </w:rPr>
              <w:t>--</w:t>
            </w:r>
            <w:r>
              <w:rPr>
                <w:rFonts w:hint="default" w:ascii="Times New Roman" w:hAnsi="Times New Roman" w:eastAsia="宋体" w:cs="Times New Roman"/>
                <w:sz w:val="21"/>
                <w:szCs w:val="21"/>
              </w:rPr>
              <w:t>”表示可不开展土壤环境影响评价工作。</w:t>
            </w:r>
          </w:p>
        </w:tc>
      </w:tr>
    </w:tbl>
    <w:p>
      <w:pPr>
        <w:pStyle w:val="5"/>
        <w:ind w:firstLine="562"/>
      </w:pPr>
      <w:r>
        <w:t>生态环境评价工作等级</w:t>
      </w:r>
    </w:p>
    <w:p>
      <w:pPr>
        <w:keepNext w:val="0"/>
        <w:keepLines w:val="0"/>
        <w:pageBreakBefore w:val="0"/>
        <w:widowControl w:val="0"/>
        <w:kinsoku/>
        <w:wordWrap/>
        <w:overflowPunct/>
        <w:topLinePunct w:val="0"/>
        <w:bidi w:val="0"/>
        <w:adjustRightInd/>
        <w:snapToGrid/>
        <w:spacing w:line="360" w:lineRule="auto"/>
        <w:ind w:left="0" w:right="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本项目总占地面积</w:t>
      </w:r>
      <w:r>
        <w:rPr>
          <w:rFonts w:hint="default" w:ascii="Times New Roman" w:hAnsi="Times New Roman" w:eastAsia="宋体" w:cs="Times New Roman"/>
          <w:color w:val="auto"/>
          <w:sz w:val="24"/>
          <w:szCs w:val="24"/>
        </w:rPr>
        <w:t>为</w:t>
      </w:r>
      <w:r>
        <w:rPr>
          <w:rFonts w:hint="eastAsia" w:cs="Times New Roman"/>
          <w:color w:val="auto"/>
          <w:sz w:val="24"/>
          <w:szCs w:val="24"/>
          <w:lang w:val="en-US" w:eastAsia="zh-CN"/>
        </w:rPr>
        <w:t>7.1h</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w:t>
      </w:r>
      <w:r>
        <w:rPr>
          <w:rFonts w:hint="eastAsia"/>
          <w:color w:val="auto"/>
          <w:sz w:val="24"/>
          <w:szCs w:val="24"/>
          <w:lang w:val="en-US" w:eastAsia="zh-CN"/>
        </w:rPr>
        <w:t>2</w:t>
      </w:r>
      <w:r>
        <w:rPr>
          <w:color w:val="auto"/>
          <w:sz w:val="24"/>
          <w:szCs w:val="24"/>
        </w:rPr>
        <w:t>hm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7.1h</w:t>
      </w:r>
      <w:r>
        <w:rPr>
          <w:color w:val="auto"/>
          <w:sz w:val="24"/>
          <w:szCs w:val="24"/>
        </w:rPr>
        <w:t>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20</w:t>
      </w:r>
      <w:r>
        <w:rPr>
          <w:color w:val="auto"/>
          <w:sz w:val="24"/>
          <w:szCs w:val="24"/>
        </w:rPr>
        <w:t>hm</w:t>
      </w:r>
      <w:r>
        <w:rPr>
          <w:color w:val="auto"/>
          <w:sz w:val="24"/>
          <w:szCs w:val="24"/>
          <w:vertAlign w:val="superscript"/>
        </w:rPr>
        <w:t>2</w:t>
      </w:r>
      <w:r>
        <w:rPr>
          <w:rFonts w:hint="default" w:ascii="Times New Roman" w:hAnsi="Times New Roman" w:eastAsia="宋体" w:cs="Times New Roman"/>
          <w:color w:val="FF0000"/>
          <w:sz w:val="24"/>
          <w:szCs w:val="24"/>
        </w:rPr>
        <w:t>）</w:t>
      </w:r>
      <w:r>
        <w:rPr>
          <w:rFonts w:hint="default" w:ascii="Times New Roman" w:hAnsi="Times New Roman" w:eastAsia="宋体" w:cs="Times New Roman"/>
          <w:sz w:val="24"/>
          <w:szCs w:val="24"/>
        </w:rPr>
        <w:t xml:space="preserve">，项目所在区域不含自然保护区等敏感区域，为一般区域，根据《环境影响评价技术导则 </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生态影响》（HJ19-2011）中等级确定原则，生态环境影响评价工作等级定为三级，判定依据见下表。</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1</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 xml:space="preserve">  生态环境评价等级判定一览表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7"/>
        <w:gridCol w:w="1947"/>
        <w:gridCol w:w="2801"/>
        <w:gridCol w:w="19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980" w:type="pct"/>
            <w:vMerge w:val="restart"/>
            <w:tcBorders>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影响区域生态敏感性</w:t>
            </w:r>
          </w:p>
        </w:tc>
        <w:tc>
          <w:tcPr>
            <w:tcW w:w="4019" w:type="pct"/>
            <w:gridSpan w:val="3"/>
            <w:tcBorders>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工程占地（水域）范围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13" w:hRule="atLeast"/>
        </w:trPr>
        <w:tc>
          <w:tcPr>
            <w:tcW w:w="980"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1172"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≤100km</w:t>
            </w:r>
          </w:p>
        </w:tc>
        <w:tc>
          <w:tcPr>
            <w:tcW w:w="1686" w:type="pct"/>
            <w:tcBorders>
              <w:top w:val="single" w:color="000000" w:sz="4" w:space="0"/>
              <w:left w:val="single" w:color="000000" w:sz="6" w:space="0"/>
              <w:bottom w:val="single" w:color="000000" w:sz="12"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 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position w:val="7"/>
                <w:sz w:val="21"/>
                <w:szCs w:val="21"/>
              </w:rPr>
              <w:t xml:space="preserve"> </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50km~100km</w:t>
            </w:r>
          </w:p>
        </w:tc>
        <w:tc>
          <w:tcPr>
            <w:tcW w:w="1160"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98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特殊生态敏感区</w:t>
            </w:r>
          </w:p>
        </w:tc>
        <w:tc>
          <w:tcPr>
            <w:tcW w:w="1172"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12"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16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98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重要生态敏感区</w:t>
            </w:r>
          </w:p>
        </w:tc>
        <w:tc>
          <w:tcPr>
            <w:tcW w:w="1172"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16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9" w:hRule="atLeast"/>
        </w:trPr>
        <w:tc>
          <w:tcPr>
            <w:tcW w:w="980" w:type="pct"/>
            <w:tcBorders>
              <w:top w:val="single" w:color="000000" w:sz="6" w:space="0"/>
              <w:left w:val="nil"/>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一般区域</w:t>
            </w:r>
          </w:p>
        </w:tc>
        <w:tc>
          <w:tcPr>
            <w:tcW w:w="1172"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686"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160" w:type="pct"/>
            <w:tcBorders>
              <w:top w:val="single" w:color="000000" w:sz="6" w:space="0"/>
              <w:left w:val="single" w:color="000000" w:sz="6"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bl>
    <w:p>
      <w:pPr>
        <w:pStyle w:val="5"/>
        <w:ind w:firstLine="562"/>
      </w:pPr>
      <w:r>
        <w:t>环境</w:t>
      </w:r>
      <w:r>
        <w:rPr>
          <w:rFonts w:hint="eastAsia"/>
          <w:lang w:eastAsia="zh-CN"/>
        </w:rPr>
        <w:t>风险</w:t>
      </w:r>
      <w:r>
        <w:t>评价工作等级</w:t>
      </w:r>
    </w:p>
    <w:p>
      <w:pPr>
        <w:pStyle w:val="9"/>
        <w:keepNext w:val="0"/>
        <w:keepLines w:val="0"/>
        <w:pageBreakBefore w:val="0"/>
        <w:widowControl w:val="0"/>
        <w:kinsoku/>
        <w:wordWrap/>
        <w:overflowPunct/>
        <w:topLinePunct w:val="0"/>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（1）环境风险评价等级确定原则</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环境风险评价工作等级划分为一级、二级、三级，根据建设项目涉及的物质及工艺系统危险性和所在地的敏感性确定环境风险潜势，按下表确定评价工作等级。</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2</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评价工作等级划分</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703"/>
        <w:gridCol w:w="1703"/>
        <w:gridCol w:w="1704"/>
        <w:gridCol w:w="17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9" w:type="pct"/>
            <w:tcBorders>
              <w:top w:val="single" w:color="auto" w:sz="12" w:space="0"/>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环境风险潜势</w:t>
            </w:r>
          </w:p>
        </w:tc>
        <w:tc>
          <w:tcPr>
            <w:tcW w:w="999" w:type="pct"/>
            <w:tcBorders>
              <w:top w:val="single" w:color="auto" w:sz="12" w:space="0"/>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Ⅳ、Ⅳ+</w:t>
            </w:r>
          </w:p>
        </w:tc>
        <w:tc>
          <w:tcPr>
            <w:tcW w:w="999"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24"/>
                <w:sz w:val="21"/>
                <w:szCs w:val="21"/>
              </w:rPr>
              <w:t>Ⅲ</w:t>
            </w:r>
          </w:p>
        </w:tc>
        <w:tc>
          <w:tcPr>
            <w:tcW w:w="1000"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Ⅱ</w:t>
            </w:r>
          </w:p>
        </w:tc>
        <w:tc>
          <w:tcPr>
            <w:tcW w:w="1000" w:type="pct"/>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评价工作等级</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一</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二</w:t>
            </w:r>
          </w:p>
        </w:tc>
        <w:tc>
          <w:tcPr>
            <w:tcW w:w="1000"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三</w:t>
            </w:r>
          </w:p>
        </w:tc>
        <w:tc>
          <w:tcPr>
            <w:tcW w:w="1000" w:type="pct"/>
            <w:tcBorders>
              <w:right w:val="nil"/>
            </w:tcBorders>
            <w:shd w:val="clear" w:color="auto" w:fill="BEBEBE" w:themeFill="background1" w:themeFillShade="BF"/>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简单分析</w:t>
            </w:r>
            <w:r>
              <w:rPr>
                <w:rFonts w:hint="default" w:ascii="Times New Roman" w:hAnsi="Times New Roman" w:eastAsia="宋体" w:cs="Times New Roman"/>
                <w:b w:val="0"/>
                <w:bCs/>
                <w:sz w:val="21"/>
                <w:szCs w:val="21"/>
                <w:vertAlign w:val="super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tcBorders>
              <w:left w:val="nil"/>
              <w:bottom w:val="single" w:color="auto" w:sz="12" w:space="0"/>
              <w:righ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superscript"/>
              </w:rPr>
              <w:t xml:space="preserve">a </w:t>
            </w:r>
            <w:r>
              <w:rPr>
                <w:rFonts w:hint="default" w:ascii="Times New Roman" w:hAnsi="Times New Roman" w:eastAsia="宋体" w:cs="Times New Roman"/>
                <w:b w:val="0"/>
                <w:bCs/>
                <w:sz w:val="21"/>
                <w:szCs w:val="21"/>
                <w:vertAlign w:val="baseline"/>
              </w:rPr>
              <w:t>是相对于详细评价工作内容而言，在描述危险物质、环境影响途径、环境危害后果、风险防范措施等方面给出定性的说明。</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（2）建设项目环境风险潜势初判</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中的规定，建设项目环境风险潜势划分为Ⅰ、Ⅱ、Ⅲ、Ⅳ/Ⅳ+级。根据建设项目涉及的物质和工艺系统的危险性及其所在地的环境敏感程度，结合事故情形下环境影响途径，对建设项目潜在环境危害程度进行概化分析，按照下表确定环境风险潜势。</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3</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建设项目环境风险潜势划分</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4"/>
        <w:gridCol w:w="1575"/>
        <w:gridCol w:w="1590"/>
        <w:gridCol w:w="1635"/>
        <w:gridCol w:w="1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环境敏感程度（</w:t>
            </w:r>
            <w:r>
              <w:rPr>
                <w:rFonts w:hint="eastAsia" w:cs="Times New Roman"/>
                <w:sz w:val="21"/>
                <w:szCs w:val="21"/>
                <w:vertAlign w:val="baseline"/>
                <w:lang w:val="en-US" w:eastAsia="zh-CN"/>
              </w:rPr>
              <w:t>E</w:t>
            </w:r>
            <w:r>
              <w:rPr>
                <w:rFonts w:hint="eastAsia" w:cs="Times New Roman"/>
                <w:sz w:val="21"/>
                <w:szCs w:val="21"/>
                <w:vertAlign w:val="baseline"/>
                <w:lang w:eastAsia="zh-CN"/>
              </w:rPr>
              <w:t>）</w:t>
            </w:r>
          </w:p>
        </w:tc>
        <w:tc>
          <w:tcPr>
            <w:tcW w:w="6308" w:type="dxa"/>
            <w:gridSpan w:val="4"/>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危险物质及工艺系统危险性（</w:t>
            </w:r>
            <w:r>
              <w:rPr>
                <w:rFonts w:hint="eastAsia" w:cs="Times New Roman"/>
                <w:sz w:val="21"/>
                <w:szCs w:val="21"/>
                <w:vertAlign w:val="baseline"/>
                <w:lang w:val="en-US" w:eastAsia="zh-CN"/>
              </w:rPr>
              <w:t>P</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57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极高危害（</w:t>
            </w:r>
            <w:r>
              <w:rPr>
                <w:rFonts w:hint="eastAsia" w:cs="Times New Roman"/>
                <w:sz w:val="21"/>
                <w:szCs w:val="21"/>
                <w:vertAlign w:val="baseline"/>
                <w:lang w:val="en-US" w:eastAsia="zh-CN"/>
              </w:rPr>
              <w:t>P1</w:t>
            </w:r>
            <w:r>
              <w:rPr>
                <w:rFonts w:hint="eastAsia" w:cs="Times New Roman"/>
                <w:sz w:val="21"/>
                <w:szCs w:val="21"/>
                <w:vertAlign w:val="baseline"/>
                <w:lang w:eastAsia="zh-CN"/>
              </w:rPr>
              <w:t>）</w:t>
            </w:r>
          </w:p>
        </w:tc>
        <w:tc>
          <w:tcPr>
            <w:tcW w:w="1590"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高度危害（</w:t>
            </w:r>
            <w:r>
              <w:rPr>
                <w:rFonts w:hint="eastAsia" w:cs="Times New Roman"/>
                <w:sz w:val="21"/>
                <w:szCs w:val="21"/>
                <w:vertAlign w:val="baseline"/>
                <w:lang w:val="en-US" w:eastAsia="zh-CN"/>
              </w:rPr>
              <w:t>P2</w:t>
            </w:r>
            <w:r>
              <w:rPr>
                <w:rFonts w:hint="eastAsia" w:cs="Times New Roman"/>
                <w:sz w:val="21"/>
                <w:szCs w:val="21"/>
                <w:vertAlign w:val="baseline"/>
                <w:lang w:eastAsia="zh-CN"/>
              </w:rPr>
              <w:t>）</w:t>
            </w:r>
          </w:p>
        </w:tc>
        <w:tc>
          <w:tcPr>
            <w:tcW w:w="163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中毒危害（</w:t>
            </w:r>
            <w:r>
              <w:rPr>
                <w:rFonts w:hint="eastAsia" w:cs="Times New Roman"/>
                <w:sz w:val="21"/>
                <w:szCs w:val="21"/>
                <w:vertAlign w:val="baseline"/>
                <w:lang w:val="en-US" w:eastAsia="zh-CN"/>
              </w:rPr>
              <w:t>P3</w:t>
            </w:r>
            <w:r>
              <w:rPr>
                <w:rFonts w:hint="eastAsia" w:cs="Times New Roman"/>
                <w:sz w:val="21"/>
                <w:szCs w:val="21"/>
                <w:vertAlign w:val="baseline"/>
                <w:lang w:eastAsia="zh-CN"/>
              </w:rPr>
              <w:t>）</w:t>
            </w:r>
          </w:p>
        </w:tc>
        <w:tc>
          <w:tcPr>
            <w:tcW w:w="1508" w:type="dxa"/>
            <w:tcBorders>
              <w:bottom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轻度危害（</w:t>
            </w:r>
            <w:r>
              <w:rPr>
                <w:rFonts w:hint="eastAsia" w:cs="Times New Roman"/>
                <w:sz w:val="21"/>
                <w:szCs w:val="21"/>
                <w:vertAlign w:val="baseline"/>
                <w:lang w:val="en-US" w:eastAsia="zh-CN"/>
              </w:rPr>
              <w:t>P4</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环境高度敏感区（</w:t>
            </w:r>
            <w:r>
              <w:rPr>
                <w:rFonts w:hint="eastAsia" w:cs="Times New Roman"/>
                <w:sz w:val="21"/>
                <w:szCs w:val="21"/>
                <w:vertAlign w:val="baseline"/>
                <w:lang w:val="en-US" w:eastAsia="zh-CN"/>
              </w:rPr>
              <w:t>E1</w:t>
            </w:r>
            <w:r>
              <w:rPr>
                <w:rFonts w:hint="eastAsia" w:cs="Times New Roman"/>
                <w:sz w:val="21"/>
                <w:szCs w:val="21"/>
                <w:vertAlign w:val="baseline"/>
                <w:lang w:eastAsia="zh-CN"/>
              </w:rPr>
              <w:t>）</w:t>
            </w:r>
          </w:p>
        </w:tc>
        <w:tc>
          <w:tcPr>
            <w:tcW w:w="157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b w:val="0"/>
                <w:bCs/>
                <w:sz w:val="21"/>
                <w:szCs w:val="21"/>
                <w:vertAlign w:val="baseline"/>
              </w:rPr>
              <w:t>Ⅳ</w:t>
            </w:r>
            <w:r>
              <w:rPr>
                <w:rFonts w:hint="eastAsia" w:ascii="Times New Roman" w:hAnsi="Times New Roman" w:cs="Times New Roman"/>
                <w:b w:val="0"/>
                <w:bCs/>
                <w:sz w:val="21"/>
                <w:szCs w:val="21"/>
                <w:vertAlign w:val="superscript"/>
                <w:lang w:val="en-US" w:eastAsia="zh-CN"/>
              </w:rPr>
              <w:t>+</w:t>
            </w:r>
          </w:p>
        </w:tc>
        <w:tc>
          <w:tcPr>
            <w:tcW w:w="1590"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sz w:val="21"/>
                <w:szCs w:val="21"/>
                <w:vertAlign w:val="baseline"/>
              </w:rPr>
              <w:t>Ⅳ</w:t>
            </w:r>
          </w:p>
        </w:tc>
        <w:tc>
          <w:tcPr>
            <w:tcW w:w="163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top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环境中度敏感区（</w:t>
            </w:r>
            <w:r>
              <w:rPr>
                <w:rFonts w:hint="eastAsia" w:cs="Times New Roman"/>
                <w:sz w:val="21"/>
                <w:szCs w:val="21"/>
                <w:vertAlign w:val="baseline"/>
                <w:lang w:val="en-US" w:eastAsia="zh-CN"/>
              </w:rPr>
              <w:t>E2</w:t>
            </w:r>
            <w:r>
              <w:rPr>
                <w:rFonts w:hint="eastAsia" w:cs="Times New Roman"/>
                <w:sz w:val="21"/>
                <w:szCs w:val="21"/>
                <w:vertAlign w:val="baseline"/>
                <w:lang w:eastAsia="zh-CN"/>
              </w:rPr>
              <w:t>）</w:t>
            </w:r>
          </w:p>
        </w:tc>
        <w:tc>
          <w:tcPr>
            <w:tcW w:w="157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sz w:val="21"/>
                <w:szCs w:val="21"/>
                <w:vertAlign w:val="baseline"/>
              </w:rPr>
              <w:t>Ⅳ</w:t>
            </w:r>
          </w:p>
        </w:tc>
        <w:tc>
          <w:tcPr>
            <w:tcW w:w="1590"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lef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环境低度敏感区（</w:t>
            </w:r>
            <w:r>
              <w:rPr>
                <w:rFonts w:hint="eastAsia" w:cs="Times New Roman"/>
                <w:sz w:val="21"/>
                <w:szCs w:val="21"/>
                <w:vertAlign w:val="baseline"/>
                <w:lang w:val="en-US" w:eastAsia="zh-CN"/>
              </w:rPr>
              <w:t>E3</w:t>
            </w:r>
            <w:r>
              <w:rPr>
                <w:rFonts w:hint="eastAsia" w:cs="Times New Roman"/>
                <w:sz w:val="21"/>
                <w:szCs w:val="21"/>
                <w:vertAlign w:val="baseline"/>
                <w:lang w:eastAsia="zh-CN"/>
              </w:rPr>
              <w:t>）</w:t>
            </w:r>
          </w:p>
        </w:tc>
        <w:tc>
          <w:tcPr>
            <w:tcW w:w="157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w w:val="124"/>
                <w:sz w:val="21"/>
                <w:szCs w:val="21"/>
              </w:rPr>
              <w:t>Ⅲ</w:t>
            </w:r>
          </w:p>
        </w:tc>
        <w:tc>
          <w:tcPr>
            <w:tcW w:w="1590"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tcBorders>
              <w:left w:val="nil"/>
              <w:bottom w:val="single" w:color="auto" w:sz="12" w:space="0"/>
              <w:right w:val="nil"/>
            </w:tcBorders>
            <w:vAlign w:val="top"/>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注：</w:t>
            </w:r>
            <w:r>
              <w:rPr>
                <w:rFonts w:hint="default" w:ascii="Times New Roman" w:hAnsi="Times New Roman" w:eastAsia="宋体" w:cs="Times New Roman"/>
                <w:b w:val="0"/>
                <w:bCs/>
                <w:sz w:val="21"/>
                <w:szCs w:val="21"/>
                <w:vertAlign w:val="baseline"/>
              </w:rPr>
              <w:t>Ⅳ</w:t>
            </w:r>
            <w:r>
              <w:rPr>
                <w:rFonts w:hint="default" w:ascii="Times New Roman" w:hAnsi="Times New Roman" w:eastAsia="宋体" w:cs="Times New Roman"/>
                <w:b w:val="0"/>
                <w:bCs/>
                <w:sz w:val="21"/>
                <w:szCs w:val="21"/>
                <w:vertAlign w:val="superscript"/>
              </w:rPr>
              <w:t>+</w:t>
            </w:r>
            <w:r>
              <w:rPr>
                <w:rFonts w:hint="eastAsia" w:ascii="Times New Roman" w:hAnsi="Times New Roman" w:cs="Times New Roman"/>
                <w:b w:val="0"/>
                <w:bCs/>
                <w:sz w:val="21"/>
                <w:szCs w:val="21"/>
                <w:vertAlign w:val="baseline"/>
                <w:lang w:eastAsia="zh-CN"/>
              </w:rPr>
              <w:t>为极高环境风险。</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分析在生产、使用、储存过程中涉及的有毒有害、易燃易爆物质，参见《建设项目环境风险评价技术导则》（HJ169-2018）中附录B确定危险物质的临界量（Q）和所属行业及生产工艺特点（M），并按附录C对危险物质及工艺系统危险性（P）等级进行判断。</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本项目原辅材料中无列入《建设项目环境风险评价技术导则》（HJ169-2018）附录B中的物质，因此本项目环境风险潜势为Ⅰ。</w:t>
      </w:r>
    </w:p>
    <w:p>
      <w:pPr>
        <w:pStyle w:val="9"/>
        <w:keepNext w:val="0"/>
        <w:keepLines w:val="0"/>
        <w:pageBreakBefore w:val="0"/>
        <w:widowControl w:val="0"/>
        <w:kinsoku/>
        <w:wordWrap/>
        <w:overflowPunct/>
        <w:topLinePunct w:val="0"/>
        <w:bidi w:val="0"/>
        <w:adjustRightInd/>
        <w:snapToGrid/>
        <w:spacing w:line="360" w:lineRule="auto"/>
        <w:ind w:left="0" w:leftChars="0" w:firstLine="482"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（3）风险评价等级判定</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综上所述，本项目环境风险潜势划分为Ⅰ，无评价工作等级划分，进行简单分析即可。</w:t>
      </w:r>
    </w:p>
    <w:p>
      <w:pPr>
        <w:pStyle w:val="4"/>
      </w:pPr>
      <w:bookmarkStart w:id="22" w:name="_Toc346282444"/>
      <w:bookmarkStart w:id="23" w:name="_Toc20203"/>
      <w:bookmarkStart w:id="24" w:name="_Toc346282453"/>
      <w:r>
        <w:rPr>
          <w:rFonts w:hint="eastAsia"/>
        </w:rPr>
        <w:t>环境</w:t>
      </w:r>
      <w:bookmarkEnd w:id="22"/>
      <w:r>
        <w:rPr>
          <w:rFonts w:hint="eastAsia"/>
        </w:rPr>
        <w:t>影响评价范围与评价时段</w:t>
      </w:r>
      <w:bookmarkEnd w:id="23"/>
    </w:p>
    <w:p>
      <w:pPr>
        <w:pStyle w:val="5"/>
        <w:ind w:firstLine="562"/>
      </w:pPr>
      <w:r>
        <w:rPr>
          <w:rFonts w:hint="eastAsia"/>
        </w:rPr>
        <w:t>环境影响评价范围</w:t>
      </w:r>
    </w:p>
    <w:p>
      <w:pPr>
        <w:pStyle w:val="9"/>
        <w:rPr>
          <w:rFonts w:hint="eastAsia"/>
        </w:rPr>
      </w:pPr>
      <w:r>
        <w:rPr>
          <w:rFonts w:hint="eastAsia"/>
        </w:rPr>
        <w:t>根据《建设项目环境影响评价技术导则 总纲》（HJ 2.1-2016）、《环境影响评价技术导则 大气环境》（HJ 2.2-2018）、《环境影响评价技术导则 地表水环境》（HJ 2.3-2018）、《环境影响评价技术导则 地下水环境》</w:t>
      </w:r>
      <w:r>
        <w:rPr>
          <w:rFonts w:hint="eastAsia"/>
          <w:lang w:eastAsia="zh-CN"/>
        </w:rPr>
        <w:t>（</w:t>
      </w:r>
      <w:r>
        <w:rPr>
          <w:rFonts w:hint="eastAsia"/>
        </w:rPr>
        <w:t>HJ 610-2016）、《环境影响评价技术导则 声环境》（HJ 2.4-2009）、《环境影响评价技术导则 土壤环境（试行）》</w:t>
      </w:r>
      <w:r>
        <w:rPr>
          <w:rFonts w:hint="eastAsia"/>
          <w:lang w:eastAsia="zh-CN"/>
        </w:rPr>
        <w:t>（</w:t>
      </w:r>
      <w:r>
        <w:rPr>
          <w:rFonts w:hint="eastAsia"/>
        </w:rPr>
        <w:t>HJ964-2018</w:t>
      </w:r>
      <w:r>
        <w:rPr>
          <w:rFonts w:hint="eastAsia"/>
          <w:lang w:eastAsia="zh-CN"/>
        </w:rPr>
        <w:t>）</w:t>
      </w:r>
      <w:r>
        <w:rPr>
          <w:rFonts w:hint="eastAsia"/>
        </w:rPr>
        <w:t>、《环境影响评价技术导则 生态影响》（HJ 19-2011）、《建设项目环境风险评价技术导则》（HJ169-2018），本工程评价范围确定如下表所示：</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 xml:space="preserve">表2.6-1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环境影响评价范围一览表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161"/>
        <w:gridCol w:w="2952"/>
        <w:gridCol w:w="1171"/>
        <w:gridCol w:w="301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6" w:hRule="atLeast"/>
        </w:trPr>
        <w:tc>
          <w:tcPr>
            <w:tcW w:w="699"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专题</w:t>
            </w:r>
          </w:p>
        </w:tc>
        <w:tc>
          <w:tcPr>
            <w:tcW w:w="177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等级判据</w:t>
            </w:r>
          </w:p>
        </w:tc>
        <w:tc>
          <w:tcPr>
            <w:tcW w:w="705"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等级的确定</w:t>
            </w:r>
          </w:p>
        </w:tc>
        <w:tc>
          <w:tcPr>
            <w:tcW w:w="1817"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52" w:hRule="atLeast"/>
        </w:trPr>
        <w:tc>
          <w:tcPr>
            <w:tcW w:w="699"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大气环境</w:t>
            </w:r>
          </w:p>
        </w:tc>
        <w:tc>
          <w:tcPr>
            <w:tcW w:w="177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 xml:space="preserve">《环境影响评价技术导则 </w:t>
            </w:r>
            <w:r>
              <w:rPr>
                <w:rFonts w:hint="eastAsia" w:ascii="Times New Roman" w:hAnsi="Times New Roman" w:cs="Times New Roman"/>
                <w:spacing w:val="-8"/>
                <w:sz w:val="21"/>
                <w:szCs w:val="21"/>
                <w:lang w:val="en-US" w:eastAsia="zh-CN"/>
              </w:rPr>
              <w:t xml:space="preserve"> </w:t>
            </w:r>
            <w:r>
              <w:rPr>
                <w:rFonts w:hint="default" w:ascii="Times New Roman" w:hAnsi="Times New Roman" w:eastAsia="宋体" w:cs="Times New Roman"/>
                <w:spacing w:val="-8"/>
                <w:sz w:val="21"/>
                <w:szCs w:val="21"/>
              </w:rPr>
              <w:t>大气环境》</w:t>
            </w:r>
            <w:r>
              <w:rPr>
                <w:rFonts w:hint="default" w:ascii="Times New Roman" w:hAnsi="Times New Roman" w:eastAsia="宋体" w:cs="Times New Roman"/>
                <w:sz w:val="21"/>
                <w:szCs w:val="21"/>
              </w:rPr>
              <w:t>（HJ</w:t>
            </w:r>
            <w:r>
              <w:rPr>
                <w:rFonts w:hint="default" w:ascii="Times New Roman" w:hAnsi="Times New Roman" w:eastAsia="宋体" w:cs="Times New Roman"/>
                <w:spacing w:val="4"/>
                <w:sz w:val="21"/>
                <w:szCs w:val="21"/>
              </w:rPr>
              <w:t xml:space="preserve"> </w:t>
            </w:r>
            <w:r>
              <w:rPr>
                <w:rFonts w:hint="default" w:ascii="Times New Roman" w:hAnsi="Times New Roman" w:eastAsia="宋体" w:cs="Times New Roman"/>
                <w:sz w:val="21"/>
                <w:szCs w:val="21"/>
              </w:rPr>
              <w:t>2.2-2018）</w:t>
            </w:r>
          </w:p>
        </w:tc>
        <w:tc>
          <w:tcPr>
            <w:tcW w:w="705"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以项目场址为中心</w:t>
            </w:r>
            <w:r>
              <w:rPr>
                <w:rFonts w:hint="default" w:ascii="Times New Roman" w:hAnsi="Times New Roman" w:eastAsia="宋体" w:cs="Times New Roman"/>
                <w:spacing w:val="-9"/>
                <w:sz w:val="21"/>
                <w:szCs w:val="21"/>
              </w:rPr>
              <w:t xml:space="preserve">区域，边长为 </w:t>
            </w:r>
            <w:r>
              <w:rPr>
                <w:rFonts w:hint="default" w:ascii="Times New Roman" w:hAnsi="Times New Roman" w:eastAsia="宋体" w:cs="Times New Roman"/>
                <w:spacing w:val="-7"/>
                <w:sz w:val="21"/>
                <w:szCs w:val="21"/>
              </w:rPr>
              <w:t>5km</w:t>
            </w:r>
            <w:r>
              <w:rPr>
                <w:rFonts w:hint="default" w:ascii="Times New Roman" w:hAnsi="Times New Roman" w:eastAsia="宋体" w:cs="Times New Roman"/>
                <w:sz w:val="21"/>
                <w:szCs w:val="21"/>
              </w:rPr>
              <w:t>的矩形区域</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27"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地表水环境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地表水环境》（HJ 2.3-2018）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三级B</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pacing w:val="-5"/>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2"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根据</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p>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w:t>
            </w:r>
            <w:r>
              <w:rPr>
                <w:rFonts w:hint="default" w:ascii="Times New Roman" w:hAnsi="Times New Roman" w:eastAsia="宋体" w:cs="Times New Roman"/>
                <w:spacing w:val="-3"/>
                <w:sz w:val="21"/>
                <w:szCs w:val="21"/>
              </w:rPr>
              <w:t>下</w:t>
            </w:r>
            <w:r>
              <w:rPr>
                <w:rFonts w:hint="default" w:ascii="Times New Roman" w:hAnsi="Times New Roman" w:eastAsia="宋体" w:cs="Times New Roman"/>
                <w:sz w:val="21"/>
                <w:szCs w:val="21"/>
              </w:rPr>
              <w:t>水</w:t>
            </w:r>
            <w:r>
              <w:rPr>
                <w:rFonts w:hint="default" w:ascii="Times New Roman" w:hAnsi="Times New Roman" w:eastAsia="宋体" w:cs="Times New Roman"/>
                <w:spacing w:val="-3"/>
                <w:sz w:val="21"/>
                <w:szCs w:val="21"/>
              </w:rPr>
              <w:t>环</w:t>
            </w:r>
            <w:r>
              <w:rPr>
                <w:rFonts w:hint="default" w:ascii="Times New Roman" w:hAnsi="Times New Roman" w:eastAsia="宋体" w:cs="Times New Roman"/>
                <w:sz w:val="21"/>
                <w:szCs w:val="21"/>
              </w:rPr>
              <w:t>境》</w:t>
            </w:r>
            <w:r>
              <w:rPr>
                <w:rFonts w:hint="default" w:ascii="Times New Roman" w:hAnsi="Times New Roman" w:eastAsia="宋体" w:cs="Times New Roman"/>
                <w:spacing w:val="-7"/>
                <w:sz w:val="21"/>
                <w:szCs w:val="21"/>
              </w:rPr>
              <w:t xml:space="preserve">(HJ </w:t>
            </w:r>
            <w:r>
              <w:rPr>
                <w:rFonts w:hint="default" w:ascii="Times New Roman" w:hAnsi="Times New Roman" w:eastAsia="宋体" w:cs="Times New Roman"/>
                <w:sz w:val="21"/>
                <w:szCs w:val="21"/>
              </w:rPr>
              <w:t>610-2016)</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项目区西北侧、东北侧、西南侧各外扩0.4km，东南侧</w:t>
            </w:r>
            <w:r>
              <w:rPr>
                <w:rFonts w:hint="default" w:ascii="Times New Roman" w:hAnsi="Times New Roman" w:eastAsia="宋体" w:cs="Times New Roman"/>
                <w:color w:val="auto"/>
                <w:spacing w:val="-18"/>
                <w:sz w:val="21"/>
                <w:szCs w:val="21"/>
              </w:rPr>
              <w:t xml:space="preserve">外扩 </w:t>
            </w:r>
            <w:r>
              <w:rPr>
                <w:rFonts w:hint="default" w:ascii="Times New Roman" w:hAnsi="Times New Roman" w:eastAsia="宋体" w:cs="Times New Roman"/>
                <w:color w:val="auto"/>
                <w:sz w:val="21"/>
                <w:szCs w:val="21"/>
              </w:rPr>
              <w:t>0.9km 的区</w:t>
            </w:r>
            <w:r>
              <w:rPr>
                <w:rFonts w:hint="default" w:ascii="Times New Roman" w:hAnsi="Times New Roman" w:eastAsia="宋体" w:cs="Times New Roman"/>
                <w:color w:val="auto"/>
                <w:spacing w:val="-10"/>
                <w:sz w:val="21"/>
                <w:szCs w:val="21"/>
              </w:rPr>
              <w:t xml:space="preserve">域，面积约 </w:t>
            </w:r>
            <w:r>
              <w:rPr>
                <w:rFonts w:hint="default" w:ascii="Times New Roman" w:hAnsi="Times New Roman" w:eastAsia="宋体" w:cs="Times New Roman"/>
                <w:color w:val="auto"/>
                <w:sz w:val="21"/>
                <w:szCs w:val="21"/>
              </w:rPr>
              <w:t>6km</w:t>
            </w:r>
            <w:r>
              <w:rPr>
                <w:rFonts w:hint="eastAsia" w:ascii="Times New Roman" w:hAnsi="Times New Roman" w:cs="Times New Roman"/>
                <w:color w:val="auto"/>
                <w:sz w:val="21"/>
                <w:szCs w:val="21"/>
                <w:vertAlign w:val="superscript"/>
                <w:lang w:val="en-US" w:eastAsia="zh-CN"/>
              </w:rPr>
              <w:t>2</w:t>
            </w:r>
            <w:r>
              <w:rPr>
                <w:rFonts w:hint="default" w:ascii="Times New Roman" w:hAnsi="Times New Roman" w:eastAsia="宋体" w:cs="Times New Roman"/>
                <w:color w:val="auto"/>
                <w:spacing w:val="-14"/>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声环境》（HJ 2.4-2009）</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厂界外200m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63"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2550"/>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r>
              <w:rPr>
                <w:rFonts w:hint="default" w:ascii="Times New Roman" w:hAnsi="Times New Roman" w:eastAsia="宋体" w:cs="Times New Roman"/>
                <w:sz w:val="21"/>
                <w:szCs w:val="21"/>
              </w:rPr>
              <w:t>土</w:t>
            </w:r>
            <w:r>
              <w:rPr>
                <w:rFonts w:hint="default" w:ascii="Times New Roman" w:hAnsi="Times New Roman" w:eastAsia="宋体" w:cs="Times New Roman"/>
                <w:spacing w:val="-3"/>
                <w:sz w:val="21"/>
                <w:szCs w:val="21"/>
              </w:rPr>
              <w:t>壤</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w:t>
            </w:r>
            <w:r>
              <w:rPr>
                <w:rFonts w:hint="default" w:ascii="Times New Roman" w:hAnsi="Times New Roman" w:eastAsia="宋体" w:cs="Times New Roman"/>
                <w:spacing w:val="-3"/>
                <w:sz w:val="21"/>
                <w:szCs w:val="21"/>
              </w:rPr>
              <w:t>试</w:t>
            </w:r>
            <w:r>
              <w:rPr>
                <w:rFonts w:hint="default" w:ascii="Times New Roman" w:hAnsi="Times New Roman" w:eastAsia="宋体" w:cs="Times New Roman"/>
                <w:sz w:val="21"/>
                <w:szCs w:val="21"/>
              </w:rPr>
              <w:t>行</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》(HJ964-2018)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项目占地范围及项</w:t>
            </w:r>
            <w:r>
              <w:rPr>
                <w:rFonts w:hint="default" w:ascii="Times New Roman" w:hAnsi="Times New Roman" w:eastAsia="宋体" w:cs="Times New Roman"/>
                <w:spacing w:val="-2"/>
                <w:sz w:val="21"/>
                <w:szCs w:val="21"/>
              </w:rPr>
              <w:t>目占地范围外</w:t>
            </w:r>
            <w:r>
              <w:rPr>
                <w:rFonts w:hint="default" w:ascii="Times New Roman" w:hAnsi="Times New Roman" w:eastAsia="宋体" w:cs="Times New Roman"/>
                <w:sz w:val="21"/>
                <w:szCs w:val="21"/>
              </w:rPr>
              <w:t>0.05km</w:t>
            </w:r>
            <w:r>
              <w:rPr>
                <w:rFonts w:hint="default" w:ascii="Times New Roman" w:hAnsi="Times New Roman" w:eastAsia="宋体" w:cs="Times New Roman"/>
                <w:spacing w:val="-2"/>
                <w:sz w:val="21"/>
                <w:szCs w:val="21"/>
              </w:rPr>
              <w:t>的范围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环境风险</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《建设项目环境风险评价技术导则》（HJ169-2018）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简单分析</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6" w:hRule="atLeast"/>
        </w:trPr>
        <w:tc>
          <w:tcPr>
            <w:tcW w:w="699"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177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生态影响》（HJ19-2011）</w:t>
            </w:r>
          </w:p>
        </w:tc>
        <w:tc>
          <w:tcPr>
            <w:tcW w:w="705"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项目厂界外 200m</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范围</w:t>
            </w:r>
          </w:p>
        </w:tc>
      </w:tr>
    </w:tbl>
    <w:p>
      <w:pPr>
        <w:pStyle w:val="5"/>
        <w:ind w:firstLine="562"/>
      </w:pPr>
      <w:r>
        <w:rPr>
          <w:rFonts w:hint="eastAsia"/>
        </w:rPr>
        <w:t>环境影响评价</w:t>
      </w:r>
      <w:r>
        <w:rPr>
          <w:rFonts w:hint="eastAsia"/>
          <w:lang w:eastAsia="zh-CN"/>
        </w:rPr>
        <w:t>时段</w:t>
      </w:r>
    </w:p>
    <w:p>
      <w:pPr>
        <w:pStyle w:val="9"/>
        <w:rPr>
          <w:rFonts w:hint="eastAsia" w:ascii="Times New Roman" w:hAnsi="Times New Roman" w:cs="Times New Roman"/>
          <w:lang w:eastAsia="zh-CN"/>
        </w:rPr>
      </w:pPr>
      <w:r>
        <w:rPr>
          <w:rFonts w:hint="eastAsia" w:ascii="Times New Roman" w:hAnsi="Times New Roman" w:cs="Times New Roman"/>
        </w:rPr>
        <w:t>本项目分为施工期和运营期两个时段进行评价</w:t>
      </w:r>
      <w:r>
        <w:rPr>
          <w:rFonts w:hint="eastAsia" w:ascii="Times New Roman" w:hAnsi="Times New Roman" w:cs="Times New Roman"/>
          <w:lang w:eastAsia="zh-CN"/>
        </w:rPr>
        <w:t>。</w:t>
      </w:r>
    </w:p>
    <w:p>
      <w:pPr>
        <w:pStyle w:val="4"/>
      </w:pPr>
      <w:bookmarkStart w:id="25" w:name="_Toc5162"/>
      <w:r>
        <w:rPr>
          <w:rFonts w:hint="eastAsia"/>
          <w:lang w:eastAsia="zh-CN"/>
        </w:rPr>
        <w:t>主要环境保护目标</w:t>
      </w:r>
      <w:bookmarkEnd w:id="25"/>
    </w:p>
    <w:p>
      <w:pPr>
        <w:pStyle w:val="5"/>
        <w:ind w:firstLine="562"/>
      </w:pPr>
      <w:r>
        <w:rPr>
          <w:rFonts w:hint="eastAsia"/>
          <w:lang w:eastAsia="zh-CN"/>
        </w:rPr>
        <w:t>污染控制目标</w:t>
      </w:r>
    </w:p>
    <w:p>
      <w:pPr>
        <w:pStyle w:val="9"/>
        <w:rPr>
          <w:rFonts w:hint="eastAsia"/>
        </w:rPr>
      </w:pPr>
      <w:r>
        <w:rPr>
          <w:rFonts w:hint="eastAsia"/>
          <w:lang w:eastAsia="zh-CN"/>
        </w:rPr>
        <w:t>（</w:t>
      </w:r>
      <w:r>
        <w:rPr>
          <w:rFonts w:hint="eastAsia"/>
          <w:lang w:val="en-US" w:eastAsia="zh-CN"/>
        </w:rPr>
        <w:t>1</w:t>
      </w:r>
      <w:r>
        <w:rPr>
          <w:rFonts w:hint="eastAsia"/>
          <w:lang w:eastAsia="zh-CN"/>
        </w:rPr>
        <w:t>）</w:t>
      </w:r>
      <w:r>
        <w:rPr>
          <w:rFonts w:hint="eastAsia"/>
        </w:rPr>
        <w:t>水环境保护目标</w:t>
      </w:r>
    </w:p>
    <w:p>
      <w:pPr>
        <w:pStyle w:val="9"/>
        <w:rPr>
          <w:rFonts w:hint="eastAsia"/>
        </w:rPr>
      </w:pPr>
      <w:r>
        <w:rPr>
          <w:rFonts w:hint="eastAsia"/>
        </w:rPr>
        <w:t>控制各类水污染物的排放，保证周边水体水质不因本项目的建设而发生明显变化。</w:t>
      </w:r>
    </w:p>
    <w:p>
      <w:pPr>
        <w:pStyle w:val="9"/>
        <w:rPr>
          <w:rFonts w:hint="eastAsia"/>
        </w:rPr>
      </w:pPr>
      <w:r>
        <w:rPr>
          <w:rFonts w:hint="eastAsia"/>
          <w:lang w:eastAsia="zh-CN"/>
        </w:rPr>
        <w:t>（</w:t>
      </w:r>
      <w:r>
        <w:rPr>
          <w:rFonts w:hint="eastAsia"/>
          <w:lang w:val="en-US" w:eastAsia="zh-CN"/>
        </w:rPr>
        <w:t>2</w:t>
      </w:r>
      <w:r>
        <w:rPr>
          <w:rFonts w:hint="eastAsia"/>
          <w:lang w:eastAsia="zh-CN"/>
        </w:rPr>
        <w:t>）</w:t>
      </w:r>
      <w:r>
        <w:rPr>
          <w:rFonts w:hint="eastAsia"/>
        </w:rPr>
        <w:t>环境空气保护目标</w:t>
      </w:r>
    </w:p>
    <w:p>
      <w:pPr>
        <w:pStyle w:val="9"/>
        <w:rPr>
          <w:rFonts w:hint="eastAsia"/>
        </w:rPr>
      </w:pPr>
      <w:r>
        <w:rPr>
          <w:rFonts w:hint="eastAsia"/>
        </w:rPr>
        <w:t>控制各类大气污染物的排放，以保证本项目周边邻近区域和敏感点的环境空气质量稳定达到《环境空气质量标准》（GB3095-2012及2018年修改单）的二级标准。</w:t>
      </w:r>
    </w:p>
    <w:p>
      <w:pPr>
        <w:pStyle w:val="9"/>
        <w:rPr>
          <w:rFonts w:hint="eastAsia"/>
        </w:rPr>
      </w:pPr>
      <w:r>
        <w:rPr>
          <w:rFonts w:hint="eastAsia"/>
          <w:lang w:eastAsia="zh-CN"/>
        </w:rPr>
        <w:t>（</w:t>
      </w:r>
      <w:r>
        <w:rPr>
          <w:rFonts w:hint="eastAsia"/>
          <w:lang w:val="en-US" w:eastAsia="zh-CN"/>
        </w:rPr>
        <w:t>3</w:t>
      </w:r>
      <w:r>
        <w:rPr>
          <w:rFonts w:hint="eastAsia"/>
          <w:lang w:eastAsia="zh-CN"/>
        </w:rPr>
        <w:t>）</w:t>
      </w:r>
      <w:r>
        <w:rPr>
          <w:rFonts w:hint="eastAsia"/>
        </w:rPr>
        <w:t>声环境保护目标</w:t>
      </w:r>
    </w:p>
    <w:p>
      <w:pPr>
        <w:pStyle w:val="9"/>
        <w:rPr>
          <w:rFonts w:hint="eastAsia"/>
        </w:rPr>
      </w:pPr>
      <w:r>
        <w:rPr>
          <w:rFonts w:hint="eastAsia"/>
        </w:rPr>
        <w:t>控制噪声的产生与传播，保证本项目周边的声环境敏感目标达到要求的质量标准。</w:t>
      </w:r>
    </w:p>
    <w:p>
      <w:pPr>
        <w:pStyle w:val="9"/>
        <w:rPr>
          <w:rFonts w:hint="eastAsia"/>
        </w:rPr>
      </w:pPr>
      <w:r>
        <w:rPr>
          <w:rFonts w:hint="eastAsia"/>
          <w:lang w:eastAsia="zh-CN"/>
        </w:rPr>
        <w:t>（</w:t>
      </w:r>
      <w:r>
        <w:rPr>
          <w:rFonts w:hint="eastAsia"/>
          <w:lang w:val="en-US" w:eastAsia="zh-CN"/>
        </w:rPr>
        <w:t>4</w:t>
      </w:r>
      <w:r>
        <w:rPr>
          <w:rFonts w:hint="eastAsia"/>
          <w:lang w:eastAsia="zh-CN"/>
        </w:rPr>
        <w:t>）</w:t>
      </w:r>
      <w:r>
        <w:rPr>
          <w:rFonts w:hint="eastAsia"/>
        </w:rPr>
        <w:t>固体废物环境保护目标</w:t>
      </w:r>
    </w:p>
    <w:p>
      <w:pPr>
        <w:pStyle w:val="9"/>
        <w:rPr>
          <w:rFonts w:hint="eastAsia"/>
        </w:rPr>
      </w:pPr>
      <w:r>
        <w:rPr>
          <w:rFonts w:hint="eastAsia"/>
        </w:rPr>
        <w:t>做好一般工业废物、危险废物、生活垃圾的分类收集、堆放、运输、处置等工作， 保护项目周围的环境卫生状况不因本项目的建设而产生明显影响。</w:t>
      </w:r>
    </w:p>
    <w:p>
      <w:pPr>
        <w:pStyle w:val="9"/>
        <w:rPr>
          <w:rFonts w:hint="eastAsia"/>
        </w:rPr>
      </w:pPr>
      <w:r>
        <w:rPr>
          <w:rFonts w:hint="eastAsia"/>
          <w:lang w:eastAsia="zh-CN"/>
        </w:rPr>
        <w:t>（</w:t>
      </w:r>
      <w:r>
        <w:rPr>
          <w:rFonts w:hint="eastAsia"/>
          <w:lang w:val="en-US" w:eastAsia="zh-CN"/>
        </w:rPr>
        <w:t>5</w:t>
      </w:r>
      <w:r>
        <w:rPr>
          <w:rFonts w:hint="eastAsia"/>
          <w:lang w:eastAsia="zh-CN"/>
        </w:rPr>
        <w:t>）</w:t>
      </w:r>
      <w:r>
        <w:rPr>
          <w:rFonts w:hint="eastAsia"/>
        </w:rPr>
        <w:t>地下水环境保护目标</w:t>
      </w:r>
    </w:p>
    <w:p>
      <w:pPr>
        <w:pStyle w:val="9"/>
        <w:rPr>
          <w:rFonts w:hint="eastAsia"/>
        </w:rPr>
      </w:pPr>
      <w:r>
        <w:rPr>
          <w:rFonts w:hint="eastAsia"/>
        </w:rPr>
        <w:t>控制各类污染物的排放，做好分区防渗，保证项目所在地及周边地下水环境不因本项目的建设而发生明显变化。</w:t>
      </w:r>
    </w:p>
    <w:p>
      <w:pPr>
        <w:pStyle w:val="9"/>
        <w:rPr>
          <w:rFonts w:hint="eastAsia"/>
        </w:rPr>
      </w:pPr>
      <w:r>
        <w:rPr>
          <w:rFonts w:hint="eastAsia"/>
          <w:lang w:eastAsia="zh-CN"/>
        </w:rPr>
        <w:t>（</w:t>
      </w:r>
      <w:r>
        <w:rPr>
          <w:rFonts w:hint="eastAsia"/>
          <w:lang w:val="en-US" w:eastAsia="zh-CN"/>
        </w:rPr>
        <w:t>6</w:t>
      </w:r>
      <w:r>
        <w:rPr>
          <w:rFonts w:hint="eastAsia"/>
          <w:lang w:eastAsia="zh-CN"/>
        </w:rPr>
        <w:t>）</w:t>
      </w:r>
      <w:r>
        <w:rPr>
          <w:rFonts w:hint="eastAsia"/>
        </w:rPr>
        <w:t>土壤环境保护目标</w:t>
      </w:r>
    </w:p>
    <w:p>
      <w:pPr>
        <w:pStyle w:val="9"/>
        <w:rPr>
          <w:rFonts w:hint="eastAsia"/>
        </w:rPr>
      </w:pPr>
      <w:r>
        <w:rPr>
          <w:rFonts w:hint="eastAsia"/>
        </w:rPr>
        <w:t>控制各类污染物的排放，做好分区防渗，保证项目所在地及周边土壤环境不因本项目的建设而发生明显变化。</w:t>
      </w:r>
    </w:p>
    <w:p>
      <w:pPr>
        <w:pStyle w:val="9"/>
        <w:rPr>
          <w:rFonts w:hint="eastAsia"/>
        </w:rPr>
      </w:pPr>
      <w:r>
        <w:rPr>
          <w:rFonts w:hint="eastAsia"/>
          <w:lang w:eastAsia="zh-CN"/>
        </w:rPr>
        <w:t>（</w:t>
      </w:r>
      <w:r>
        <w:rPr>
          <w:rFonts w:hint="eastAsia"/>
          <w:lang w:val="en-US" w:eastAsia="zh-CN"/>
        </w:rPr>
        <w:t>7</w:t>
      </w:r>
      <w:r>
        <w:rPr>
          <w:rFonts w:hint="eastAsia"/>
          <w:lang w:eastAsia="zh-CN"/>
        </w:rPr>
        <w:t>）</w:t>
      </w:r>
      <w:r>
        <w:rPr>
          <w:rFonts w:hint="eastAsia"/>
        </w:rPr>
        <w:t>生态保护目标</w:t>
      </w:r>
    </w:p>
    <w:p>
      <w:pPr>
        <w:pStyle w:val="9"/>
        <w:rPr>
          <w:rFonts w:hint="eastAsia" w:eastAsia="宋体"/>
          <w:lang w:val="en-US" w:eastAsia="zh-CN"/>
        </w:rPr>
      </w:pPr>
      <w:r>
        <w:rPr>
          <w:rFonts w:hint="eastAsia"/>
        </w:rPr>
        <w:t>保护项目及周围地区的土壤、植被、动物不受到严重影响，不加重该区域的地质灾害</w:t>
      </w:r>
      <w:r>
        <w:rPr>
          <w:rFonts w:hint="eastAsia"/>
          <w:lang w:eastAsia="zh-CN"/>
        </w:rPr>
        <w:t>。</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表2.7-1</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各环境功能区保护目标一览表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67"/>
        <w:gridCol w:w="1407"/>
        <w:gridCol w:w="60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72" w:hRule="atLeast"/>
        </w:trPr>
        <w:tc>
          <w:tcPr>
            <w:tcW w:w="522"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4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环境功能区</w:t>
            </w:r>
          </w:p>
        </w:tc>
        <w:tc>
          <w:tcPr>
            <w:tcW w:w="363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保护目标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522"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84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水环境</w:t>
            </w:r>
          </w:p>
        </w:tc>
        <w:tc>
          <w:tcPr>
            <w:tcW w:w="363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保护本项目周边水体水质满足GB3838-2002</w:t>
            </w:r>
            <w:r>
              <w:rPr>
                <w:rFonts w:hint="eastAsia"/>
                <w:lang w:eastAsia="zh-CN"/>
              </w:rPr>
              <w:t>Ⅲ</w:t>
            </w:r>
            <w:r>
              <w:rPr>
                <w:rFonts w:hint="default" w:ascii="Times New Roman" w:hAnsi="Times New Roman" w:eastAsia="宋体" w:cs="Times New Roman"/>
                <w:sz w:val="21"/>
                <w:szCs w:val="21"/>
              </w:rPr>
              <w:t>类要求</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682"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空气环境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28"/>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保护本项目周边邻近区域和敏感点的环境空气质量稳定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171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达到《环境空气质量标准》</w:t>
            </w:r>
            <w:r>
              <w:rPr>
                <w:rFonts w:hint="default" w:ascii="Times New Roman" w:hAnsi="Times New Roman" w:eastAsia="宋体" w:cs="Times New Roman"/>
                <w:sz w:val="21"/>
                <w:szCs w:val="21"/>
              </w:rPr>
              <w:t>（GB3095-2012</w:t>
            </w:r>
            <w:r>
              <w:rPr>
                <w:rFonts w:hint="default" w:ascii="Times New Roman" w:hAnsi="Times New Roman" w:eastAsia="宋体" w:cs="Times New Roman"/>
                <w:spacing w:val="-24"/>
                <w:sz w:val="21"/>
                <w:szCs w:val="21"/>
              </w:rPr>
              <w:t xml:space="preserve">及 </w:t>
            </w:r>
            <w:r>
              <w:rPr>
                <w:rFonts w:hint="default" w:ascii="Times New Roman" w:hAnsi="Times New Roman" w:eastAsia="宋体" w:cs="Times New Roman"/>
                <w:sz w:val="21"/>
                <w:szCs w:val="21"/>
              </w:rPr>
              <w:t>2018年修改单</w:t>
            </w:r>
            <w:r>
              <w:rPr>
                <w:rFonts w:hint="default" w:ascii="Times New Roman" w:hAnsi="Times New Roman" w:eastAsia="宋体" w:cs="Times New Roman"/>
                <w:spacing w:val="-3"/>
                <w:sz w:val="21"/>
                <w:szCs w:val="21"/>
              </w:rPr>
              <w:t>）的二级标准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保护项目所在区域声环境满足《声环境质量标准》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（GB3096-2008）中规定的1类标准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保护项目所在区域地下水水质满足《地下水质量标准》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（GB/T14848-2017）中Ⅲ类水质标准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817"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5"/>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 xml:space="preserve">保护项目所在区域土壤满足《土壤环境质量 </w:t>
            </w:r>
            <w:r>
              <w:rPr>
                <w:rFonts w:hint="eastAsia" w:ascii="Times New Roman" w:hAnsi="Times New Roman" w:cs="Times New Roman"/>
                <w:spacing w:val="-6"/>
                <w:sz w:val="21"/>
                <w:szCs w:val="21"/>
                <w:lang w:val="en-US" w:eastAsia="zh-CN"/>
              </w:rPr>
              <w:t xml:space="preserve">  </w:t>
            </w:r>
            <w:r>
              <w:rPr>
                <w:rFonts w:hint="default" w:ascii="Times New Roman" w:hAnsi="Times New Roman" w:eastAsia="宋体" w:cs="Times New Roman"/>
                <w:spacing w:val="-6"/>
                <w:sz w:val="21"/>
                <w:szCs w:val="21"/>
              </w:rPr>
              <w:t>农用地土壤</w:t>
            </w:r>
            <w:r>
              <w:rPr>
                <w:rFonts w:hint="default" w:ascii="Times New Roman" w:hAnsi="Times New Roman" w:eastAsia="宋体" w:cs="Times New Roman"/>
                <w:sz w:val="21"/>
                <w:szCs w:val="21"/>
              </w:rPr>
              <w:t>污染风险管控标准（试行）》（GB15618-2018）土壤标准中的筛选值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43" w:hRule="atLeast"/>
        </w:trPr>
        <w:tc>
          <w:tcPr>
            <w:tcW w:w="522"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84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363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保护项目及周围地区的土壤、植被、动物不受到严重影</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响，不加重该区域的地质灾害</w:t>
            </w:r>
          </w:p>
        </w:tc>
      </w:tr>
    </w:tbl>
    <w:p>
      <w:pPr>
        <w:pStyle w:val="5"/>
        <w:ind w:firstLine="562"/>
      </w:pPr>
      <w:r>
        <w:rPr>
          <w:rFonts w:hint="eastAsia"/>
          <w:lang w:eastAsia="zh-CN"/>
        </w:rPr>
        <w:t>水环境敏感保护目标</w:t>
      </w:r>
    </w:p>
    <w:p>
      <w:pPr>
        <w:pStyle w:val="9"/>
        <w:rPr>
          <w:rFonts w:hint="eastAsia" w:ascii="Times New Roman" w:hAnsi="Times New Roman" w:cs="Times New Roman"/>
        </w:rPr>
      </w:pPr>
      <w:r>
        <w:rPr>
          <w:rFonts w:hint="eastAsia" w:ascii="Times New Roman" w:hAnsi="Times New Roman" w:cs="Times New Roman"/>
        </w:rPr>
        <w:t>项目周边保护水体主要为项目附近河流，保护工程涉及的各地表水环境功能区不因项目建设和运营而受到影响，具体保护对象及目标见表</w:t>
      </w:r>
      <w:r>
        <w:rPr>
          <w:rFonts w:hint="eastAsia" w:cs="Times New Roman"/>
          <w:lang w:val="en-US" w:eastAsia="zh-CN"/>
        </w:rPr>
        <w:t>2.7-2</w:t>
      </w:r>
      <w:r>
        <w:rPr>
          <w:rFonts w:hint="eastAsia" w:ascii="Times New Roman" w:hAnsi="Times New Roman" w:cs="Times New Roman"/>
        </w:rPr>
        <w:t>。</w:t>
      </w:r>
    </w:p>
    <w:p>
      <w:pPr>
        <w:pStyle w:val="9"/>
        <w:rPr>
          <w:rFonts w:hint="eastAsia" w:ascii="Times New Roman" w:hAnsi="Times New Roman" w:cs="Times New Roman"/>
        </w:rPr>
      </w:pPr>
      <w:r>
        <w:rPr>
          <w:rFonts w:hint="eastAsia" w:ascii="Times New Roman" w:hAnsi="Times New Roman" w:cs="Times New Roman"/>
        </w:rPr>
        <w:t>项目周边保护水体主要为</w:t>
      </w:r>
      <w:r>
        <w:rPr>
          <w:rFonts w:hint="eastAsia" w:cs="Times New Roman"/>
          <w:lang w:val="en-US" w:eastAsia="zh-CN"/>
        </w:rPr>
        <w:t>锦江</w:t>
      </w:r>
      <w:r>
        <w:rPr>
          <w:rFonts w:hint="eastAsia" w:ascii="Times New Roman" w:hAnsi="Times New Roman" w:cs="Times New Roman"/>
        </w:rPr>
        <w:t>，保护工程涉及的各地表水环境功能区不因项目建设和运营而受到影响，具体保护对象及目标见下表。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2.7-2  水环境功能区保护目标一览表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1155"/>
        <w:gridCol w:w="1380"/>
        <w:gridCol w:w="1380"/>
        <w:gridCol w:w="2219"/>
        <w:gridCol w:w="1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序号</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名称</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保护对象</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最近距离</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环境功能区</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相对场址方位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1</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锦江</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河流</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2.9km</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GB3838-2002</w:t>
            </w:r>
            <w:r>
              <w:rPr>
                <w:rFonts w:hint="eastAsia" w:cs="Times New Roman"/>
                <w:color w:val="auto"/>
                <w:sz w:val="21"/>
                <w:szCs w:val="21"/>
                <w:vertAlign w:val="baseline"/>
                <w:lang w:eastAsia="zh-CN"/>
              </w:rPr>
              <w:t>Ⅲ类</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东</w:t>
            </w:r>
            <w:r>
              <w:rPr>
                <w:rFonts w:hint="eastAsia" w:cs="Times New Roman"/>
                <w:color w:val="auto"/>
                <w:sz w:val="21"/>
                <w:szCs w:val="21"/>
                <w:vertAlign w:val="baseline"/>
                <w:lang w:val="en-US" w:eastAsia="zh-CN"/>
              </w:rPr>
              <w:t>南</w:t>
            </w:r>
            <w:r>
              <w:rPr>
                <w:rFonts w:hint="eastAsia" w:cs="Times New Roman"/>
                <w:color w:val="auto"/>
                <w:sz w:val="21"/>
                <w:szCs w:val="21"/>
                <w:vertAlign w:val="baseline"/>
                <w:lang w:eastAsia="zh-CN"/>
              </w:rPr>
              <w:t>面</w:t>
            </w:r>
          </w:p>
        </w:tc>
      </w:tr>
    </w:tbl>
    <w:p>
      <w:pPr>
        <w:pStyle w:val="5"/>
        <w:ind w:firstLine="562"/>
      </w:pPr>
      <w:r>
        <w:rPr>
          <w:rFonts w:hint="eastAsia"/>
          <w:lang w:eastAsia="zh-CN"/>
        </w:rPr>
        <w:t>大气环境敏感保护目标</w:t>
      </w:r>
    </w:p>
    <w:p>
      <w:pPr>
        <w:pStyle w:val="9"/>
        <w:rPr>
          <w:rFonts w:hint="eastAsia" w:ascii="Times New Roman" w:hAnsi="Times New Roman" w:cs="Times New Roman"/>
        </w:rPr>
      </w:pPr>
      <w:r>
        <w:rPr>
          <w:rFonts w:hint="eastAsia" w:ascii="Times New Roman" w:hAnsi="Times New Roman" w:cs="Times New Roman"/>
        </w:rPr>
        <w:t>根据现场实地调查，本项目大气评价范围内主要存在下表所列村庄，具体大气环境敏感保护目标见表2.7-3。</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val="en-US" w:eastAsia="zh-CN"/>
        </w:rPr>
        <w:t>表2.7-3  环境空气保护目标</w:t>
      </w:r>
    </w:p>
    <w:tbl>
      <w:tblPr>
        <w:tblStyle w:val="64"/>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056"/>
        <w:gridCol w:w="744"/>
        <w:gridCol w:w="793"/>
        <w:gridCol w:w="1081"/>
        <w:gridCol w:w="1153"/>
        <w:gridCol w:w="958"/>
        <w:gridCol w:w="1102"/>
        <w:gridCol w:w="11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序号</w:t>
            </w:r>
          </w:p>
        </w:tc>
        <w:tc>
          <w:tcPr>
            <w:tcW w:w="619"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名称</w:t>
            </w:r>
          </w:p>
        </w:tc>
        <w:tc>
          <w:tcPr>
            <w:tcW w:w="901" w:type="pct"/>
            <w:gridSpan w:val="2"/>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坐标/m</w:t>
            </w:r>
          </w:p>
        </w:tc>
        <w:tc>
          <w:tcPr>
            <w:tcW w:w="634"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保护对象</w:t>
            </w:r>
          </w:p>
        </w:tc>
        <w:tc>
          <w:tcPr>
            <w:tcW w:w="67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保护内容</w:t>
            </w:r>
          </w:p>
        </w:tc>
        <w:tc>
          <w:tcPr>
            <w:tcW w:w="562"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环境功能区</w:t>
            </w:r>
          </w:p>
        </w:tc>
        <w:tc>
          <w:tcPr>
            <w:tcW w:w="64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相对厂址方位</w:t>
            </w:r>
          </w:p>
        </w:tc>
        <w:tc>
          <w:tcPr>
            <w:tcW w:w="65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619"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lang w:val="en-US" w:eastAsia="zh-CN"/>
              </w:rPr>
            </w:pPr>
            <w:r>
              <w:rPr>
                <w:rFonts w:hint="eastAsia"/>
                <w:lang w:val="en-US" w:eastAsia="zh-CN"/>
              </w:rPr>
              <w:t>X</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Y</w:t>
            </w:r>
          </w:p>
        </w:tc>
        <w:tc>
          <w:tcPr>
            <w:tcW w:w="634"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7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562"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4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5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寨下</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620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144</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小坦丘</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1073</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401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798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新地</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1732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58</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罗村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2845</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2791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3398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塘联村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3796</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1817</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西南偏西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水北方</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864</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249</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602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坑尾头</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2962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485</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2682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8</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鸡麻埂</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4388</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1193</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4297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9</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左坑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2810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2072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西北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3213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10</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上塅</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250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951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 xml:space="preserve">带头 </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1662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3622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3911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燕子片</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1541</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4901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4814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厚塘村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457</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600</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六联小学</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702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652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学校</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师生</w:t>
            </w:r>
          </w:p>
        </w:tc>
        <w:tc>
          <w:tcPr>
            <w:tcW w:w="958"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1102"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632</w:t>
            </w:r>
          </w:p>
        </w:tc>
      </w:tr>
    </w:tbl>
    <w:p>
      <w:pPr>
        <w:pStyle w:val="5"/>
        <w:ind w:firstLine="562"/>
      </w:pPr>
      <w:r>
        <w:rPr>
          <w:rFonts w:hint="eastAsia"/>
          <w:lang w:eastAsia="zh-CN"/>
        </w:rPr>
        <w:t>声环境敏感保护目标</w:t>
      </w:r>
    </w:p>
    <w:p>
      <w:pPr>
        <w:pStyle w:val="9"/>
        <w:rPr>
          <w:rFonts w:hint="eastAsia"/>
        </w:rPr>
      </w:pPr>
      <w:r>
        <w:rPr>
          <w:rFonts w:hint="eastAsia"/>
        </w:rPr>
        <w:t>本项目</w:t>
      </w:r>
      <w:r>
        <w:rPr>
          <w:rFonts w:hint="eastAsia"/>
          <w:lang w:val="en-US" w:eastAsia="zh-CN"/>
        </w:rPr>
        <w:t>评价范围内</w:t>
      </w:r>
      <w:r>
        <w:rPr>
          <w:rFonts w:hint="eastAsia"/>
        </w:rPr>
        <w:t>无</w:t>
      </w:r>
      <w:r>
        <w:rPr>
          <w:rFonts w:hint="eastAsia"/>
          <w:lang w:val="en-US" w:eastAsia="zh-CN"/>
        </w:rPr>
        <w:t>声</w:t>
      </w:r>
      <w:r>
        <w:rPr>
          <w:rFonts w:hint="eastAsia"/>
        </w:rPr>
        <w:t>环境敏感保护目标。</w:t>
      </w:r>
    </w:p>
    <w:p>
      <w:pPr>
        <w:pStyle w:val="5"/>
        <w:ind w:firstLine="562"/>
      </w:pPr>
      <w:r>
        <w:rPr>
          <w:rFonts w:hint="eastAsia"/>
          <w:lang w:eastAsia="zh-CN"/>
        </w:rPr>
        <w:t>地下水及生态环境敏感保护目标</w:t>
      </w:r>
    </w:p>
    <w:p>
      <w:pPr>
        <w:pStyle w:val="9"/>
        <w:rPr>
          <w:rFonts w:hint="eastAsia"/>
        </w:rPr>
      </w:pPr>
      <w:r>
        <w:rPr>
          <w:rFonts w:hint="eastAsia"/>
        </w:rPr>
        <w:t>本项目</w:t>
      </w:r>
      <w:r>
        <w:rPr>
          <w:rFonts w:hint="eastAsia"/>
          <w:lang w:val="en-US" w:eastAsia="zh-CN"/>
        </w:rPr>
        <w:t>评价范围</w:t>
      </w:r>
      <w:r>
        <w:rPr>
          <w:rFonts w:hint="eastAsia"/>
        </w:rPr>
        <w:t>无地下水及生态环境敏感保护目标。</w:t>
      </w:r>
    </w:p>
    <w:p>
      <w:pPr>
        <w:pStyle w:val="9"/>
        <w:rPr>
          <w:rFonts w:hint="eastAsia"/>
        </w:rPr>
      </w:pPr>
    </w:p>
    <w:p>
      <w:pPr>
        <w:pStyle w:val="9"/>
        <w:rPr>
          <w:rFonts w:hint="eastAsia"/>
        </w:rPr>
      </w:pPr>
    </w:p>
    <w:p>
      <w:pPr>
        <w:pStyle w:val="9"/>
        <w:ind w:left="0" w:leftChars="0" w:firstLine="0" w:firstLineChars="0"/>
        <w:rPr>
          <w:rFonts w:hint="eastAsia"/>
        </w:rPr>
      </w:pPr>
      <w:r>
        <w:drawing>
          <wp:inline distT="0" distB="0" distL="114300" distR="114300">
            <wp:extent cx="5271770" cy="5029200"/>
            <wp:effectExtent l="19050" t="19050" r="27940" b="2667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0"/>
                    <a:stretch>
                      <a:fillRect/>
                    </a:stretch>
                  </pic:blipFill>
                  <pic:spPr>
                    <a:xfrm>
                      <a:off x="0" y="0"/>
                      <a:ext cx="5271770" cy="502920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图2.7-1  项目环境保护目标及范围示意图</w:t>
      </w:r>
    </w:p>
    <w:p>
      <w:pPr>
        <w:pStyle w:val="4"/>
      </w:pPr>
      <w:bookmarkStart w:id="26" w:name="_Toc21975"/>
      <w:r>
        <w:rPr>
          <w:rFonts w:hint="eastAsia"/>
          <w:lang w:eastAsia="zh-CN"/>
        </w:rPr>
        <w:t>环境影响评价标准</w:t>
      </w:r>
      <w:bookmarkEnd w:id="26"/>
    </w:p>
    <w:p>
      <w:pPr>
        <w:pStyle w:val="5"/>
        <w:ind w:firstLine="562"/>
      </w:pPr>
      <w:r>
        <w:rPr>
          <w:rFonts w:hint="eastAsia"/>
          <w:lang w:eastAsia="zh-CN"/>
        </w:rPr>
        <w:t>环境质量标准</w:t>
      </w:r>
    </w:p>
    <w:p>
      <w:pPr>
        <w:pStyle w:val="6"/>
      </w:pPr>
      <w:r>
        <w:rPr>
          <w:rFonts w:hint="eastAsia"/>
        </w:rPr>
        <w:t>地表水</w:t>
      </w:r>
      <w:r>
        <w:rPr>
          <w:rFonts w:hint="eastAsia"/>
          <w:lang w:eastAsia="zh-CN"/>
        </w:rPr>
        <w:t>环境质量标准</w:t>
      </w:r>
    </w:p>
    <w:p>
      <w:pPr>
        <w:pStyle w:val="9"/>
        <w:rPr>
          <w:rFonts w:hint="eastAsia"/>
        </w:rPr>
      </w:pPr>
      <w:r>
        <w:rPr>
          <w:rFonts w:hint="eastAsia"/>
        </w:rPr>
        <w:t>项目附近水体为</w:t>
      </w:r>
      <w:r>
        <w:rPr>
          <w:rFonts w:hint="eastAsia"/>
          <w:lang w:eastAsia="zh-CN"/>
        </w:rPr>
        <w:t>锦江</w:t>
      </w:r>
      <w:r>
        <w:rPr>
          <w:rFonts w:hint="eastAsia"/>
        </w:rPr>
        <w:t>，</w:t>
      </w:r>
      <w:r>
        <w:rPr>
          <w:rFonts w:hint="eastAsia"/>
          <w:lang w:eastAsia="zh-CN"/>
        </w:rPr>
        <w:t>锦江</w:t>
      </w:r>
      <w:r>
        <w:rPr>
          <w:rFonts w:hint="eastAsia"/>
        </w:rPr>
        <w:t>水质目标为</w:t>
      </w:r>
      <w:r>
        <w:rPr>
          <w:rFonts w:hint="eastAsia"/>
          <w:lang w:eastAsia="zh-CN"/>
        </w:rPr>
        <w:t>Ⅲ</w:t>
      </w:r>
      <w:r>
        <w:rPr>
          <w:rFonts w:hint="eastAsia"/>
        </w:rPr>
        <w:t>类水，主要功能为综合用水，水环境质量执行《地表水环境质量标准》（GB3838-2002）中的</w:t>
      </w:r>
      <w:r>
        <w:rPr>
          <w:rFonts w:hint="eastAsia"/>
          <w:lang w:eastAsia="zh-CN"/>
        </w:rPr>
        <w:t>Ⅲ</w:t>
      </w:r>
      <w:r>
        <w:rPr>
          <w:rFonts w:hint="eastAsia"/>
        </w:rPr>
        <w:t>类标准</w:t>
      </w:r>
      <w:r>
        <w:rPr>
          <w:rFonts w:hint="eastAsia"/>
          <w:lang w:eastAsia="zh-CN"/>
        </w:rPr>
        <w:t>，</w:t>
      </w:r>
      <w:r>
        <w:rPr>
          <w:rFonts w:hint="eastAsia"/>
          <w:lang w:val="en-US" w:eastAsia="zh-CN"/>
        </w:rPr>
        <w:t>SS参照执行《地表水资源质量标准》（SL63-94）</w:t>
      </w:r>
      <w:r>
        <w:rPr>
          <w:rFonts w:hint="eastAsia"/>
        </w:rPr>
        <w:t>。</w:t>
      </w: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sz w:val="21"/>
          <w:szCs w:val="21"/>
        </w:rPr>
      </w:pPr>
      <w:r>
        <w:rPr>
          <w:rFonts w:hint="eastAsia"/>
          <w:sz w:val="21"/>
          <w:szCs w:val="21"/>
        </w:rPr>
        <w:t>表</w:t>
      </w:r>
      <w:r>
        <w:rPr>
          <w:rFonts w:hint="eastAsia"/>
          <w:sz w:val="21"/>
          <w:szCs w:val="21"/>
          <w:lang w:val="en-US" w:eastAsia="zh-CN"/>
        </w:rPr>
        <w:t>2.8-1</w:t>
      </w:r>
      <w:r>
        <w:rPr>
          <w:sz w:val="21"/>
          <w:szCs w:val="21"/>
        </w:rPr>
        <w:t xml:space="preserve"> </w:t>
      </w:r>
      <w:r>
        <w:rPr>
          <w:rFonts w:hint="eastAsia"/>
          <w:sz w:val="21"/>
          <w:szCs w:val="21"/>
          <w:lang w:val="en-US" w:eastAsia="zh-CN"/>
        </w:rPr>
        <w:t xml:space="preserve"> </w:t>
      </w:r>
      <w:r>
        <w:rPr>
          <w:sz w:val="21"/>
          <w:szCs w:val="21"/>
        </w:rPr>
        <w:t xml:space="preserve"> </w:t>
      </w:r>
      <w:r>
        <w:rPr>
          <w:rFonts w:hint="eastAsia"/>
          <w:sz w:val="21"/>
          <w:szCs w:val="21"/>
        </w:rPr>
        <w:t>地表水环境质量标准</w:t>
      </w:r>
      <w:r>
        <w:rPr>
          <w:rFonts w:hint="eastAsia"/>
          <w:sz w:val="21"/>
          <w:szCs w:val="21"/>
          <w:lang w:val="en-US" w:eastAsia="zh-CN"/>
        </w:rPr>
        <w:t xml:space="preserve">  摘录</w:t>
      </w:r>
      <w:r>
        <w:rPr>
          <w:sz w:val="21"/>
          <w:szCs w:val="21"/>
        </w:rPr>
        <w:t xml:space="preserve">  </w:t>
      </w:r>
      <w:r>
        <w:rPr>
          <w:rFonts w:hint="eastAsia"/>
          <w:sz w:val="21"/>
          <w:szCs w:val="21"/>
        </w:rPr>
        <w:t>单位：</w:t>
      </w:r>
      <w:r>
        <w:rPr>
          <w:sz w:val="21"/>
          <w:szCs w:val="21"/>
        </w:rPr>
        <w:t xml:space="preserve"> mg/L</w:t>
      </w:r>
      <w:r>
        <w:rPr>
          <w:rFonts w:hint="eastAsia"/>
          <w:sz w:val="21"/>
          <w:szCs w:val="21"/>
        </w:rPr>
        <w:t>，除</w:t>
      </w:r>
      <w:r>
        <w:rPr>
          <w:sz w:val="21"/>
          <w:szCs w:val="21"/>
        </w:rPr>
        <w:t>pH</w:t>
      </w:r>
      <w:r>
        <w:rPr>
          <w:rFonts w:hint="eastAsia"/>
          <w:sz w:val="21"/>
          <w:szCs w:val="21"/>
        </w:rPr>
        <w:t>外</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3483"/>
        <w:gridCol w:w="327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tcBorders>
              <w:top w:val="single" w:color="auto" w:sz="12" w:space="0"/>
            </w:tcBorders>
            <w:vAlign w:val="center"/>
          </w:tcPr>
          <w:p>
            <w:pPr>
              <w:pStyle w:val="105"/>
            </w:pPr>
            <w:r>
              <w:rPr>
                <w:rFonts w:hint="eastAsia"/>
              </w:rPr>
              <w:t>序号</w:t>
            </w:r>
          </w:p>
        </w:tc>
        <w:tc>
          <w:tcPr>
            <w:tcW w:w="3483" w:type="dxa"/>
            <w:tcBorders>
              <w:top w:val="single" w:color="auto" w:sz="12" w:space="0"/>
            </w:tcBorders>
            <w:vAlign w:val="center"/>
          </w:tcPr>
          <w:p>
            <w:pPr>
              <w:pStyle w:val="105"/>
            </w:pPr>
            <w:r>
              <w:rPr>
                <w:rFonts w:hint="eastAsia"/>
              </w:rPr>
              <w:t>水质项目</w:t>
            </w:r>
          </w:p>
        </w:tc>
        <w:tc>
          <w:tcPr>
            <w:tcW w:w="3279" w:type="dxa"/>
            <w:tcBorders>
              <w:top w:val="single" w:color="auto" w:sz="12" w:space="0"/>
            </w:tcBorders>
            <w:vAlign w:val="center"/>
          </w:tcPr>
          <w:p>
            <w:pPr>
              <w:pStyle w:val="105"/>
            </w:pPr>
            <w:r>
              <w:rPr>
                <w:rFonts w:hint="eastAsia" w:ascii="宋体" w:hAnsi="宋体" w:cs="宋体"/>
              </w:rPr>
              <w:t>Ⅲ</w:t>
            </w:r>
            <w:r>
              <w:rPr>
                <w:rFonts w:hint="eastAsia"/>
              </w:rPr>
              <w:t>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222" w:hRule="atLeast"/>
          <w:jc w:val="center"/>
        </w:trPr>
        <w:tc>
          <w:tcPr>
            <w:tcW w:w="1757" w:type="dxa"/>
            <w:tcBorders>
              <w:top w:val="single" w:color="auto" w:sz="12" w:space="0"/>
            </w:tcBorders>
            <w:vAlign w:val="center"/>
          </w:tcPr>
          <w:p>
            <w:pPr>
              <w:pStyle w:val="105"/>
            </w:pPr>
            <w:r>
              <w:t>1</w:t>
            </w:r>
          </w:p>
        </w:tc>
        <w:tc>
          <w:tcPr>
            <w:tcW w:w="3483" w:type="dxa"/>
            <w:tcBorders>
              <w:top w:val="single" w:color="auto" w:sz="12" w:space="0"/>
            </w:tcBorders>
            <w:vAlign w:val="center"/>
          </w:tcPr>
          <w:p>
            <w:pPr>
              <w:pStyle w:val="105"/>
            </w:pPr>
            <w:r>
              <w:t>pH</w:t>
            </w:r>
          </w:p>
        </w:tc>
        <w:tc>
          <w:tcPr>
            <w:tcW w:w="3279" w:type="dxa"/>
            <w:tcBorders>
              <w:top w:val="single" w:color="auto" w:sz="12" w:space="0"/>
            </w:tcBorders>
            <w:vAlign w:val="center"/>
          </w:tcPr>
          <w:p>
            <w:pPr>
              <w:pStyle w:val="105"/>
            </w:pPr>
            <w:r>
              <w:t>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2</w:t>
            </w:r>
          </w:p>
        </w:tc>
        <w:tc>
          <w:tcPr>
            <w:tcW w:w="3483" w:type="dxa"/>
            <w:vAlign w:val="center"/>
          </w:tcPr>
          <w:p>
            <w:pPr>
              <w:pStyle w:val="105"/>
            </w:pPr>
            <w:r>
              <w:t>DO≥</w:t>
            </w:r>
          </w:p>
        </w:tc>
        <w:tc>
          <w:tcPr>
            <w:tcW w:w="3279" w:type="dxa"/>
            <w:vAlign w:val="center"/>
          </w:tcPr>
          <w:p>
            <w:pPr>
              <w:pStyle w:val="105"/>
            </w:pPr>
            <w: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3</w:t>
            </w:r>
          </w:p>
        </w:tc>
        <w:tc>
          <w:tcPr>
            <w:tcW w:w="3483" w:type="dxa"/>
            <w:vAlign w:val="center"/>
          </w:tcPr>
          <w:p>
            <w:pPr>
              <w:pStyle w:val="105"/>
            </w:pPr>
            <w:r>
              <w:t>BOD</w:t>
            </w:r>
            <w:r>
              <w:rPr>
                <w:vertAlign w:val="subscript"/>
              </w:rPr>
              <w:t>5</w:t>
            </w:r>
            <w:r>
              <w:t>≤</w:t>
            </w:r>
          </w:p>
        </w:tc>
        <w:tc>
          <w:tcPr>
            <w:tcW w:w="3279" w:type="dxa"/>
            <w:vAlign w:val="center"/>
          </w:tcPr>
          <w:p>
            <w:pPr>
              <w:pStyle w:val="105"/>
            </w:pPr>
            <w:r>
              <w:t>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4</w:t>
            </w:r>
          </w:p>
        </w:tc>
        <w:tc>
          <w:tcPr>
            <w:tcW w:w="3483" w:type="dxa"/>
            <w:vAlign w:val="center"/>
          </w:tcPr>
          <w:p>
            <w:pPr>
              <w:pStyle w:val="105"/>
            </w:pPr>
            <w:r>
              <w:rPr>
                <w:rFonts w:hint="eastAsia"/>
              </w:rPr>
              <w:t>高锰酸盐指数</w:t>
            </w:r>
            <w:r>
              <w:t>≤</w:t>
            </w:r>
          </w:p>
        </w:tc>
        <w:tc>
          <w:tcPr>
            <w:tcW w:w="3279" w:type="dxa"/>
            <w:vAlign w:val="center"/>
          </w:tcPr>
          <w:p>
            <w:pPr>
              <w:pStyle w:val="105"/>
            </w:pPr>
            <w: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61" w:hRule="atLeast"/>
          <w:jc w:val="center"/>
        </w:trPr>
        <w:tc>
          <w:tcPr>
            <w:tcW w:w="1757" w:type="dxa"/>
            <w:vAlign w:val="center"/>
          </w:tcPr>
          <w:p>
            <w:pPr>
              <w:pStyle w:val="105"/>
            </w:pPr>
            <w:r>
              <w:t>5</w:t>
            </w:r>
          </w:p>
        </w:tc>
        <w:tc>
          <w:tcPr>
            <w:tcW w:w="3483" w:type="dxa"/>
            <w:vAlign w:val="center"/>
          </w:tcPr>
          <w:p>
            <w:pPr>
              <w:pStyle w:val="105"/>
            </w:pPr>
            <w:r>
              <w:rPr>
                <w:rFonts w:hint="eastAsia"/>
              </w:rPr>
              <w:t>C</w:t>
            </w:r>
            <w:r>
              <w:t>OD</w:t>
            </w:r>
          </w:p>
        </w:tc>
        <w:tc>
          <w:tcPr>
            <w:tcW w:w="3279" w:type="dxa"/>
            <w:vAlign w:val="center"/>
          </w:tcPr>
          <w:p>
            <w:pPr>
              <w:pStyle w:val="105"/>
            </w:pPr>
            <w:r>
              <w:rPr>
                <w:rFonts w:hint="eastAsia"/>
              </w:rPr>
              <w:t>2</w:t>
            </w:r>
            <w: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97" w:hRule="atLeast"/>
          <w:jc w:val="center"/>
        </w:trPr>
        <w:tc>
          <w:tcPr>
            <w:tcW w:w="1757" w:type="dxa"/>
            <w:vAlign w:val="center"/>
          </w:tcPr>
          <w:p>
            <w:pPr>
              <w:pStyle w:val="105"/>
            </w:pPr>
            <w:r>
              <w:t>6</w:t>
            </w:r>
          </w:p>
        </w:tc>
        <w:tc>
          <w:tcPr>
            <w:tcW w:w="3483" w:type="dxa"/>
            <w:vAlign w:val="center"/>
          </w:tcPr>
          <w:p>
            <w:pPr>
              <w:pStyle w:val="105"/>
            </w:pPr>
            <w:r>
              <w:rPr>
                <w:rFonts w:hint="eastAsia"/>
              </w:rPr>
              <w:t>氨氮</w:t>
            </w:r>
            <w:r>
              <w:t>≤</w:t>
            </w:r>
          </w:p>
        </w:tc>
        <w:tc>
          <w:tcPr>
            <w:tcW w:w="3279" w:type="dxa"/>
            <w:vAlign w:val="center"/>
          </w:tcPr>
          <w:p>
            <w:pPr>
              <w:pStyle w:val="105"/>
            </w:pPr>
            <w: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7</w:t>
            </w:r>
          </w:p>
        </w:tc>
        <w:tc>
          <w:tcPr>
            <w:tcW w:w="3483" w:type="dxa"/>
            <w:vAlign w:val="center"/>
          </w:tcPr>
          <w:p>
            <w:pPr>
              <w:pStyle w:val="105"/>
            </w:pPr>
            <w:r>
              <w:rPr>
                <w:rFonts w:hint="eastAsia"/>
              </w:rPr>
              <w:t>总磷（以</w:t>
            </w:r>
            <w:r>
              <w:t>P</w:t>
            </w:r>
            <w:r>
              <w:rPr>
                <w:rFonts w:hint="eastAsia"/>
              </w:rPr>
              <w:t>计）</w:t>
            </w:r>
            <w:r>
              <w:t>≤</w:t>
            </w:r>
          </w:p>
        </w:tc>
        <w:tc>
          <w:tcPr>
            <w:tcW w:w="3279" w:type="dxa"/>
            <w:vAlign w:val="center"/>
          </w:tcPr>
          <w:p>
            <w:pPr>
              <w:pStyle w:val="105"/>
            </w:pPr>
            <w:r>
              <w:t>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8</w:t>
            </w:r>
          </w:p>
        </w:tc>
        <w:tc>
          <w:tcPr>
            <w:tcW w:w="3483" w:type="dxa"/>
            <w:vAlign w:val="center"/>
          </w:tcPr>
          <w:p>
            <w:pPr>
              <w:pStyle w:val="105"/>
            </w:pPr>
            <w:r>
              <w:rPr>
                <w:rFonts w:hint="eastAsia"/>
              </w:rPr>
              <w:t>石油类</w:t>
            </w:r>
            <w:r>
              <w:t>≤</w:t>
            </w:r>
          </w:p>
        </w:tc>
        <w:tc>
          <w:tcPr>
            <w:tcW w:w="3279" w:type="dxa"/>
            <w:vAlign w:val="center"/>
          </w:tcPr>
          <w:p>
            <w:pPr>
              <w:pStyle w:val="105"/>
            </w:pP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9</w:t>
            </w:r>
          </w:p>
        </w:tc>
        <w:tc>
          <w:tcPr>
            <w:tcW w:w="3483" w:type="dxa"/>
            <w:vAlign w:val="center"/>
          </w:tcPr>
          <w:p>
            <w:pPr>
              <w:pStyle w:val="105"/>
            </w:pPr>
            <w:r>
              <w:rPr>
                <w:rFonts w:hint="eastAsia"/>
              </w:rPr>
              <w:t>挥发酚</w:t>
            </w:r>
            <w:r>
              <w:t>≤</w:t>
            </w:r>
          </w:p>
        </w:tc>
        <w:tc>
          <w:tcPr>
            <w:tcW w:w="3279" w:type="dxa"/>
            <w:vAlign w:val="center"/>
          </w:tcPr>
          <w:p>
            <w:pPr>
              <w:pStyle w:val="105"/>
            </w:pPr>
            <w:r>
              <w:rPr>
                <w:rFonts w:hint="eastAsia"/>
              </w:rPr>
              <w:t>0</w:t>
            </w: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1</w:t>
            </w:r>
            <w:r>
              <w:t>0</w:t>
            </w:r>
          </w:p>
        </w:tc>
        <w:tc>
          <w:tcPr>
            <w:tcW w:w="3483" w:type="dxa"/>
            <w:vAlign w:val="center"/>
          </w:tcPr>
          <w:p>
            <w:pPr>
              <w:jc w:val="center"/>
            </w:pPr>
            <w:r>
              <w:rPr>
                <w:rFonts w:hint="eastAsia"/>
                <w:spacing w:val="-10"/>
                <w:szCs w:val="21"/>
              </w:rPr>
              <w:t>粪大肠菌群（个</w:t>
            </w:r>
            <w:r>
              <w:rPr>
                <w:spacing w:val="-10"/>
                <w:szCs w:val="21"/>
              </w:rPr>
              <w:t>/L</w:t>
            </w:r>
            <w:r>
              <w:rPr>
                <w:rFonts w:hint="eastAsia"/>
                <w:spacing w:val="-10"/>
                <w:szCs w:val="21"/>
              </w:rPr>
              <w:t>）</w:t>
            </w:r>
            <w:r>
              <w:rPr>
                <w:spacing w:val="-10"/>
                <w:szCs w:val="21"/>
              </w:rPr>
              <w:t>≤</w:t>
            </w:r>
          </w:p>
        </w:tc>
        <w:tc>
          <w:tcPr>
            <w:tcW w:w="3279" w:type="dxa"/>
            <w:vAlign w:val="center"/>
          </w:tcPr>
          <w:p>
            <w:pPr>
              <w:jc w:val="center"/>
              <w:rPr>
                <w:szCs w:val="21"/>
              </w:rPr>
            </w:pPr>
            <w:r>
              <w:rPr>
                <w:szCs w:val="21"/>
              </w:rPr>
              <w:t>10000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rPr>
                <w:rFonts w:hint="default" w:eastAsia="宋体"/>
                <w:lang w:val="en-US" w:eastAsia="zh-CN"/>
              </w:rPr>
            </w:pPr>
            <w:r>
              <w:rPr>
                <w:rFonts w:hint="eastAsia"/>
                <w:lang w:val="en-US" w:eastAsia="zh-CN"/>
              </w:rPr>
              <w:t>11</w:t>
            </w:r>
          </w:p>
        </w:tc>
        <w:tc>
          <w:tcPr>
            <w:tcW w:w="3483" w:type="dxa"/>
            <w:vAlign w:val="center"/>
          </w:tcPr>
          <w:p>
            <w:pPr>
              <w:jc w:val="center"/>
              <w:rPr>
                <w:rFonts w:hint="default" w:eastAsia="宋体"/>
                <w:spacing w:val="-10"/>
                <w:szCs w:val="21"/>
                <w:lang w:val="en-US" w:eastAsia="zh-CN"/>
              </w:rPr>
            </w:pPr>
            <w:r>
              <w:rPr>
                <w:rFonts w:hint="eastAsia"/>
                <w:spacing w:val="-10"/>
                <w:szCs w:val="21"/>
                <w:lang w:val="en-US" w:eastAsia="zh-CN"/>
              </w:rPr>
              <w:t>SS</w:t>
            </w:r>
          </w:p>
        </w:tc>
        <w:tc>
          <w:tcPr>
            <w:tcW w:w="3279" w:type="dxa"/>
            <w:vAlign w:val="center"/>
          </w:tcPr>
          <w:p>
            <w:pPr>
              <w:jc w:val="center"/>
              <w:rPr>
                <w:rFonts w:hint="default" w:eastAsia="宋体"/>
                <w:szCs w:val="21"/>
                <w:lang w:val="en-US" w:eastAsia="zh-CN"/>
              </w:rPr>
            </w:pPr>
            <w:r>
              <w:rPr>
                <w:rFonts w:hint="eastAsia"/>
                <w:szCs w:val="21"/>
                <w:lang w:val="en-US" w:eastAsia="zh-CN"/>
              </w:rPr>
              <w:t>30</w:t>
            </w:r>
          </w:p>
        </w:tc>
      </w:tr>
    </w:tbl>
    <w:p>
      <w:pPr>
        <w:pStyle w:val="6"/>
      </w:pPr>
      <w:r>
        <w:rPr>
          <w:rFonts w:hint="eastAsia"/>
        </w:rPr>
        <w:t>地</w:t>
      </w:r>
      <w:r>
        <w:rPr>
          <w:rFonts w:hint="eastAsia"/>
          <w:lang w:eastAsia="zh-CN"/>
        </w:rPr>
        <w:t>下</w:t>
      </w:r>
      <w:r>
        <w:rPr>
          <w:rFonts w:hint="eastAsia"/>
        </w:rPr>
        <w:t>水</w:t>
      </w:r>
      <w:r>
        <w:rPr>
          <w:rFonts w:hint="eastAsia"/>
          <w:lang w:eastAsia="zh-CN"/>
        </w:rPr>
        <w:t>环境质量标准</w:t>
      </w:r>
    </w:p>
    <w:p>
      <w:pPr>
        <w:pStyle w:val="9"/>
        <w:rPr>
          <w:rFonts w:hint="eastAsia"/>
        </w:rPr>
      </w:pPr>
      <w:r>
        <w:rPr>
          <w:rFonts w:hint="eastAsia"/>
        </w:rPr>
        <w:t>项目所在区域地下水功能区保护目标为Ⅲ类，地下水水质执行《地下水质量标准》（GB/T14848-2017）中Ⅲ类水质标准，标准摘录见下表。</w:t>
      </w:r>
    </w:p>
    <w:p>
      <w:pPr>
        <w:pStyle w:val="20"/>
        <w:rPr>
          <w:rFonts w:hint="eastAsia" w:ascii="Times New Roman" w:hAnsi="Times New Roman" w:cs="Times New Roman"/>
          <w:sz w:val="21"/>
          <w:szCs w:val="21"/>
        </w:rPr>
      </w:pPr>
      <w:r>
        <w:rPr>
          <w:rFonts w:hint="eastAsia" w:ascii="Times New Roman" w:hAnsi="Times New Roman" w:cs="Times New Roman"/>
          <w:sz w:val="21"/>
          <w:szCs w:val="21"/>
        </w:rPr>
        <w:t>表2.8-2 地下水环境质量标准 摘录</w:t>
      </w:r>
      <w:r>
        <w:rPr>
          <w:rFonts w:hint="eastAsia" w:ascii="Times New Roman" w:hAnsi="Times New Roman" w:cs="Times New Roman"/>
          <w:sz w:val="21"/>
          <w:szCs w:val="21"/>
          <w:lang w:val="en-US" w:eastAsia="zh-CN"/>
        </w:rPr>
        <w:t xml:space="preserve">     </w:t>
      </w:r>
      <w:r>
        <w:rPr>
          <w:rFonts w:hint="eastAsia" w:ascii="Times New Roman" w:hAnsi="Times New Roman" w:cs="Times New Roman"/>
          <w:sz w:val="21"/>
          <w:szCs w:val="21"/>
        </w:rPr>
        <w:t>(单位：mg/L，粪大肠菌群个/L)</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fixed"/>
        <w:tblCellMar>
          <w:top w:w="0" w:type="dxa"/>
          <w:left w:w="0" w:type="dxa"/>
          <w:bottom w:w="0" w:type="dxa"/>
          <w:right w:w="0" w:type="dxa"/>
        </w:tblCellMar>
      </w:tblPr>
      <w:tblGrid>
        <w:gridCol w:w="1855"/>
        <w:gridCol w:w="3033"/>
        <w:gridCol w:w="341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9" w:hRule="atLeast"/>
          <w:jc w:val="center"/>
        </w:trPr>
        <w:tc>
          <w:tcPr>
            <w:tcW w:w="1117"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82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污染物因子</w:t>
            </w:r>
          </w:p>
        </w:tc>
        <w:tc>
          <w:tcPr>
            <w:tcW w:w="205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10"/>
                <w:sz w:val="21"/>
                <w:szCs w:val="21"/>
              </w:rPr>
              <w:t>类标准限值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182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pH 值（无量纲）</w:t>
            </w:r>
          </w:p>
        </w:tc>
        <w:tc>
          <w:tcPr>
            <w:tcW w:w="205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6.5≤pH≤8.5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总硬度</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溶解性总固体</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耗氧量</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氨氮</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9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28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挥发性酚类</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砷</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汞</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铅</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镉</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30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铁</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8"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锰</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18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铜</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22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锌</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PrEx>
        <w:trPr>
          <w:trHeight w:val="20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总大肠菌群</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bl>
    <w:p>
      <w:pPr>
        <w:pStyle w:val="6"/>
      </w:pPr>
      <w:r>
        <w:rPr>
          <w:rFonts w:hint="eastAsia"/>
          <w:lang w:eastAsia="zh-CN"/>
        </w:rPr>
        <w:t>环境空气质量标准</w:t>
      </w:r>
    </w:p>
    <w:p>
      <w:pPr>
        <w:pStyle w:val="9"/>
      </w:pPr>
      <w:r>
        <w:rPr>
          <w:rFonts w:hint="eastAsia"/>
        </w:rPr>
        <w:t>项目所在区域为环境空气质量为二类功能区，SO</w:t>
      </w:r>
      <w:r>
        <w:rPr>
          <w:rFonts w:hint="eastAsia"/>
          <w:vertAlign w:val="subscript"/>
        </w:rPr>
        <w:t>2</w:t>
      </w:r>
      <w:r>
        <w:rPr>
          <w:rFonts w:hint="eastAsia"/>
        </w:rPr>
        <w:t>、NO</w:t>
      </w:r>
      <w:r>
        <w:rPr>
          <w:rFonts w:hint="eastAsia"/>
          <w:vertAlign w:val="subscript"/>
        </w:rPr>
        <w:t>2</w:t>
      </w:r>
      <w:r>
        <w:rPr>
          <w:rFonts w:hint="eastAsia"/>
        </w:rPr>
        <w:t>、TSP、PM</w:t>
      </w:r>
      <w:r>
        <w:rPr>
          <w:rFonts w:hint="eastAsia"/>
          <w:vertAlign w:val="subscript"/>
        </w:rPr>
        <w:t>10</w:t>
      </w:r>
      <w:r>
        <w:rPr>
          <w:rFonts w:hint="eastAsia"/>
        </w:rPr>
        <w:t>、PM</w:t>
      </w:r>
      <w:r>
        <w:rPr>
          <w:rFonts w:hint="eastAsia"/>
          <w:vertAlign w:val="subscript"/>
        </w:rPr>
        <w:t>2.5</w:t>
      </w:r>
      <w:r>
        <w:rPr>
          <w:rFonts w:hint="eastAsia"/>
        </w:rPr>
        <w:t>、O</w:t>
      </w:r>
      <w:r>
        <w:rPr>
          <w:rFonts w:hint="eastAsia"/>
          <w:vertAlign w:val="subscript"/>
        </w:rPr>
        <w:t>3</w:t>
      </w:r>
      <w:r>
        <w:rPr>
          <w:rFonts w:hint="eastAsia"/>
        </w:rPr>
        <w:t>、CO执行《环境空气质量标准》（GB3095-2012 及2018年修改单）二级标准。。</w:t>
      </w:r>
    </w:p>
    <w:p>
      <w:pPr>
        <w:pStyle w:val="9"/>
        <w:rPr>
          <w:rFonts w:hint="eastAsia"/>
        </w:rPr>
      </w:pPr>
      <w:r>
        <w:rPr>
          <w:rFonts w:hint="eastAsia"/>
        </w:rPr>
        <w:t>NH</w:t>
      </w:r>
      <w:r>
        <w:rPr>
          <w:rFonts w:hint="eastAsia"/>
          <w:vertAlign w:val="subscript"/>
        </w:rPr>
        <w:t>3</w:t>
      </w:r>
      <w:r>
        <w:rPr>
          <w:rFonts w:hint="eastAsia"/>
        </w:rPr>
        <w:t>、H</w:t>
      </w:r>
      <w:r>
        <w:rPr>
          <w:rFonts w:hint="eastAsia"/>
          <w:vertAlign w:val="subscript"/>
        </w:rPr>
        <w:t>2</w:t>
      </w:r>
      <w:r>
        <w:rPr>
          <w:rFonts w:hint="eastAsia"/>
        </w:rPr>
        <w:t>S 参考《环境影响评价技术导则 大气环境》（HJ2.2-2018）附录 D 标准限值、臭气浓度参照执行《恶臭污染物排放标准》（GB14554-93）。</w:t>
      </w:r>
      <w:bookmarkStart w:id="27" w:name="_Toc511676601"/>
      <w:bookmarkStart w:id="28" w:name="_Toc392772747"/>
      <w:bookmarkStart w:id="29" w:name="_Toc387414864"/>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lang w:eastAsia="zh-CN"/>
        </w:rPr>
        <w:t>表</w:t>
      </w:r>
      <w:r>
        <w:rPr>
          <w:rFonts w:hint="eastAsia"/>
          <w:b/>
          <w:bCs/>
          <w:sz w:val="21"/>
          <w:szCs w:val="21"/>
          <w:lang w:val="en-US" w:eastAsia="zh-CN"/>
        </w:rPr>
        <w:t xml:space="preserve">2.8-3    </w:t>
      </w:r>
      <w:r>
        <w:rPr>
          <w:rFonts w:hint="eastAsia"/>
          <w:b/>
          <w:bCs/>
          <w:sz w:val="21"/>
          <w:szCs w:val="21"/>
        </w:rPr>
        <w:t>环境空气质量标准（</w:t>
      </w:r>
      <w:r>
        <w:rPr>
          <w:b/>
          <w:bCs/>
          <w:sz w:val="21"/>
          <w:szCs w:val="21"/>
        </w:rPr>
        <w:t>GB3095-2012</w:t>
      </w:r>
      <w:r>
        <w:rPr>
          <w:rFonts w:hint="eastAsia"/>
          <w:b/>
          <w:bCs/>
          <w:sz w:val="21"/>
          <w:szCs w:val="21"/>
        </w:rPr>
        <w:t>）</w:t>
      </w:r>
      <w:bookmarkEnd w:id="27"/>
      <w:bookmarkEnd w:id="28"/>
      <w:bookmarkEnd w:id="29"/>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975"/>
        <w:gridCol w:w="2126"/>
        <w:gridCol w:w="2322"/>
        <w:gridCol w:w="288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3" w:hRule="atLeast"/>
          <w:jc w:val="center"/>
        </w:trPr>
        <w:tc>
          <w:tcPr>
            <w:tcW w:w="587"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w:t>
            </w:r>
          </w:p>
        </w:tc>
        <w:tc>
          <w:tcPr>
            <w:tcW w:w="1280"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取值时间</w:t>
            </w:r>
          </w:p>
        </w:tc>
        <w:tc>
          <w:tcPr>
            <w:tcW w:w="139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浓度限值（μg/m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1734"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jc w:val="center"/>
        </w:trPr>
        <w:tc>
          <w:tcPr>
            <w:tcW w:w="587"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SO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60</w:t>
            </w:r>
          </w:p>
        </w:tc>
        <w:tc>
          <w:tcPr>
            <w:tcW w:w="1734" w:type="pct"/>
            <w:vMerge w:val="restar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《环境空气质量标准》</w:t>
            </w:r>
            <w:r>
              <w:rPr>
                <w:rFonts w:hint="default" w:ascii="Times New Roman" w:hAnsi="Times New Roman" w:eastAsia="宋体" w:cs="Times New Roman"/>
                <w:spacing w:val="-5"/>
                <w:sz w:val="21"/>
                <w:szCs w:val="21"/>
              </w:rPr>
              <w:t>（GB3095-2012）</w:t>
            </w:r>
            <w:r>
              <w:rPr>
                <w:rFonts w:hint="default" w:ascii="Times New Roman" w:hAnsi="Times New Roman" w:eastAsia="宋体" w:cs="Times New Roman"/>
                <w:spacing w:val="-21"/>
                <w:sz w:val="21"/>
                <w:szCs w:val="21"/>
              </w:rPr>
              <w:t xml:space="preserve">及 </w:t>
            </w:r>
            <w:r>
              <w:rPr>
                <w:rFonts w:hint="default" w:ascii="Times New Roman" w:hAnsi="Times New Roman" w:eastAsia="宋体" w:cs="Times New Roman"/>
                <w:sz w:val="21"/>
                <w:szCs w:val="21"/>
              </w:rPr>
              <w:t>2018</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年修改单</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TSP</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10</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07"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2.5</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w:t>
            </w:r>
            <w:r>
              <w:rPr>
                <w:rFonts w:hint="eastAsia" w:ascii="Times New Roman" w:hAnsi="Times New Roman" w:cs="Times New Roman"/>
                <w:position w:val="2"/>
                <w:sz w:val="21"/>
                <w:szCs w:val="21"/>
                <w:lang w:val="en-US" w:eastAsia="zh-CN"/>
              </w:rPr>
              <w:t>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6"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O</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日最大8小时平均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160</w:t>
            </w:r>
          </w:p>
        </w:tc>
        <w:tc>
          <w:tcPr>
            <w:tcW w:w="1734" w:type="pct"/>
            <w:vMerge w:val="continue"/>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CO</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282"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734"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大气环境》（HJ2.2-2018）附录 D</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40"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NH</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PrEx>
        <w:trPr>
          <w:trHeight w:val="339" w:hRule="atLeast"/>
          <w:jc w:val="center"/>
        </w:trPr>
        <w:tc>
          <w:tcPr>
            <w:tcW w:w="587" w:type="pct"/>
            <w:tcBorders>
              <w:top w:val="single" w:color="000000" w:sz="4" w:space="0"/>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280"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一次最大监测值</w:t>
            </w:r>
          </w:p>
        </w:tc>
        <w:tc>
          <w:tcPr>
            <w:tcW w:w="1398"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20（无量纲）</w:t>
            </w:r>
          </w:p>
        </w:tc>
        <w:tc>
          <w:tcPr>
            <w:tcW w:w="1734"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《恶臭污染物排放标准》（GB14554-93）</w:t>
            </w:r>
          </w:p>
        </w:tc>
      </w:tr>
    </w:tbl>
    <w:p>
      <w:pPr>
        <w:pStyle w:val="6"/>
      </w:pPr>
      <w:r>
        <w:rPr>
          <w:rFonts w:hint="eastAsia"/>
          <w:lang w:eastAsia="zh-CN"/>
        </w:rPr>
        <w:t>声环境质量标准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b w:val="0"/>
          <w:bCs w:val="0"/>
          <w:sz w:val="24"/>
          <w:szCs w:val="24"/>
        </w:rPr>
      </w:pPr>
      <w:r>
        <w:rPr>
          <w:rFonts w:hint="eastAsia"/>
          <w:b w:val="0"/>
          <w:bCs w:val="0"/>
          <w:sz w:val="24"/>
          <w:szCs w:val="24"/>
        </w:rPr>
        <w:t>本项目所在区域属于1类区，执行《声环境质量标准》（GB3096-2008）中规定的1类标准，见下表。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表2.8-4  声环境质量标准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829"/>
        <w:gridCol w:w="3236"/>
        <w:gridCol w:w="323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vMerge w:val="restart"/>
            <w:tcBorders>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标准类别</w:t>
            </w:r>
          </w:p>
        </w:tc>
        <w:tc>
          <w:tcPr>
            <w:tcW w:w="3898" w:type="pct"/>
            <w:gridSpan w:val="2"/>
            <w:tcBorders>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噪声限值［等效声级 Leq：dB（A）］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101" w:type="pct"/>
            <w:vMerge w:val="continue"/>
            <w:tcBorders>
              <w:top w:val="nil"/>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948" w:type="pct"/>
            <w:tcBorders>
              <w:top w:val="single" w:color="000000" w:sz="6"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昼间</w:t>
            </w:r>
          </w:p>
        </w:tc>
        <w:tc>
          <w:tcPr>
            <w:tcW w:w="1950" w:type="pct"/>
            <w:tcBorders>
              <w:top w:val="single" w:color="000000" w:sz="6"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夜间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tcBorders>
              <w:top w:val="single" w:color="000000" w:sz="12"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 类</w:t>
            </w:r>
          </w:p>
        </w:tc>
        <w:tc>
          <w:tcPr>
            <w:tcW w:w="1948" w:type="pct"/>
            <w:tcBorders>
              <w:top w:val="single" w:color="000000" w:sz="12"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55</w:t>
            </w:r>
          </w:p>
        </w:tc>
        <w:tc>
          <w:tcPr>
            <w:tcW w:w="1950" w:type="pct"/>
            <w:tcBorders>
              <w:top w:val="single" w:color="000000" w:sz="12"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w:t>
            </w:r>
          </w:p>
        </w:tc>
      </w:tr>
    </w:tbl>
    <w:p>
      <w:pPr>
        <w:pStyle w:val="6"/>
      </w:pPr>
      <w:r>
        <w:rPr>
          <w:rFonts w:hint="eastAsia"/>
          <w:lang w:eastAsia="zh-CN"/>
        </w:rPr>
        <w:t>土壤环境质量标准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b w:val="0"/>
          <w:bCs w:val="0"/>
          <w:sz w:val="24"/>
          <w:szCs w:val="24"/>
        </w:rPr>
      </w:pPr>
      <w:r>
        <w:rPr>
          <w:rFonts w:hint="eastAsia"/>
          <w:b w:val="0"/>
          <w:bCs w:val="0"/>
          <w:sz w:val="24"/>
          <w:szCs w:val="24"/>
        </w:rPr>
        <w:t>项目所在区域土壤执行《土壤环境质量 农用地土壤污染风险管控标准（试行）》（GB15618-2018）土壤标准中的筛选值，具体标准值见下表。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表2.8-5</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 xml:space="preserve">土壤环境质量标准 </w:t>
      </w:r>
      <w:r>
        <w:rPr>
          <w:rFonts w:hint="eastAsia" w:ascii="Times New Roman" w:hAnsi="Times New Roman" w:cs="Times New Roman"/>
          <w:b/>
          <w:bCs/>
          <w:sz w:val="21"/>
          <w:szCs w:val="21"/>
          <w:lang w:val="en-US" w:eastAsia="zh-CN"/>
        </w:rPr>
        <w:t xml:space="preserve"> </w:t>
      </w:r>
      <w:r>
        <w:rPr>
          <w:rFonts w:hint="eastAsia" w:ascii="Times New Roman" w:hAnsi="Times New Roman" w:cs="Times New Roman"/>
          <w:b/>
          <w:bCs/>
          <w:sz w:val="21"/>
          <w:szCs w:val="21"/>
          <w:lang w:eastAsia="zh-CN"/>
        </w:rPr>
        <w:t>农用地土壤污染风险筛选值</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单位：mg/kg</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745"/>
        <w:gridCol w:w="558"/>
        <w:gridCol w:w="779"/>
        <w:gridCol w:w="1442"/>
        <w:gridCol w:w="1518"/>
        <w:gridCol w:w="1643"/>
        <w:gridCol w:w="161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61" w:hRule="atLeast"/>
        </w:trPr>
        <w:tc>
          <w:tcPr>
            <w:tcW w:w="449" w:type="pct"/>
            <w:vMerge w:val="restart"/>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05" w:type="pct"/>
            <w:gridSpan w:val="2"/>
            <w:vMerge w:val="restart"/>
            <w:tcBorders>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污染物项目</w:t>
            </w:r>
          </w:p>
        </w:tc>
        <w:tc>
          <w:tcPr>
            <w:tcW w:w="3745" w:type="pct"/>
            <w:gridSpan w:val="4"/>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vMerge w:val="continue"/>
            <w:tcBorders>
              <w:top w:val="single" w:color="000000" w:sz="4" w:space="0"/>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05" w:type="pct"/>
            <w:gridSpan w:val="2"/>
            <w:vMerge w:val="continue"/>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68"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pH＜5.5</w:t>
            </w:r>
          </w:p>
        </w:tc>
        <w:tc>
          <w:tcPr>
            <w:tcW w:w="914"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5.5＜pH≤6.5</w:t>
            </w:r>
          </w:p>
        </w:tc>
        <w:tc>
          <w:tcPr>
            <w:tcW w:w="989"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6.5＜pH≤7.5</w:t>
            </w:r>
          </w:p>
        </w:tc>
        <w:tc>
          <w:tcPr>
            <w:tcW w:w="973" w:type="pct"/>
            <w:tcBorders>
              <w:top w:val="single" w:color="000000" w:sz="4" w:space="0"/>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pH＞7.5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12"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336" w:type="pct"/>
            <w:tcBorders>
              <w:top w:val="single" w:color="000000" w:sz="12"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铜</w:t>
            </w:r>
          </w:p>
        </w:tc>
        <w:tc>
          <w:tcPr>
            <w:tcW w:w="468"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14" w:type="pct"/>
            <w:tcBorders>
              <w:top w:val="single" w:color="000000" w:sz="12"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89"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铅</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90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120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170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汞</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1.8</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2.4</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3.4</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砷</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铬</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镉</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0.6</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805" w:type="pct"/>
            <w:gridSpan w:val="2"/>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镍</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805" w:type="pct"/>
            <w:gridSpan w:val="2"/>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锌</w:t>
            </w:r>
          </w:p>
        </w:tc>
        <w:tc>
          <w:tcPr>
            <w:tcW w:w="86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14" w:type="pct"/>
            <w:tcBorders>
              <w:top w:val="single" w:color="000000" w:sz="6" w:space="0"/>
              <w:left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89" w:type="pct"/>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c>
          <w:tcPr>
            <w:tcW w:w="973"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300</w:t>
            </w:r>
          </w:p>
        </w:tc>
      </w:tr>
    </w:tbl>
    <w:p>
      <w:pPr>
        <w:pStyle w:val="5"/>
        <w:ind w:firstLine="562"/>
      </w:pPr>
      <w:r>
        <w:rPr>
          <w:rFonts w:hint="eastAsia"/>
        </w:rPr>
        <w:t>污染物排放标准</w:t>
      </w:r>
    </w:p>
    <w:p>
      <w:pPr>
        <w:pStyle w:val="6"/>
      </w:pPr>
      <w:r>
        <w:rPr>
          <w:rFonts w:hint="eastAsia"/>
        </w:rPr>
        <w:t>水</w:t>
      </w:r>
      <w:r>
        <w:rPr>
          <w:rFonts w:hint="eastAsia"/>
          <w:lang w:eastAsia="zh-CN"/>
        </w:rPr>
        <w:t>污染物排放标准</w:t>
      </w:r>
    </w:p>
    <w:p>
      <w:pPr>
        <w:pStyle w:val="8"/>
        <w:rPr>
          <w:rFonts w:hint="eastAsia"/>
          <w:color w:val="auto"/>
        </w:rPr>
      </w:pPr>
      <w:r>
        <w:rPr>
          <w:rFonts w:hint="eastAsia"/>
          <w:color w:val="auto"/>
        </w:rPr>
        <w:t>本项目运营期主要废水为猪粪尿污水</w:t>
      </w:r>
      <w:r>
        <w:rPr>
          <w:rFonts w:hint="eastAsia"/>
          <w:color w:val="auto"/>
          <w:lang w:eastAsia="zh-CN"/>
        </w:rPr>
        <w:t>，</w:t>
      </w:r>
      <w:r>
        <w:rPr>
          <w:rFonts w:hint="eastAsia"/>
          <w:color w:val="auto"/>
          <w:lang w:val="en-US" w:eastAsia="zh-CN"/>
        </w:rPr>
        <w:t>猪粪尿</w:t>
      </w:r>
      <w:r>
        <w:rPr>
          <w:rFonts w:hint="eastAsia"/>
          <w:color w:val="auto"/>
        </w:rPr>
        <w:t>采用“</w:t>
      </w:r>
      <w:r>
        <w:rPr>
          <w:rFonts w:hint="eastAsia"/>
          <w:color w:val="auto"/>
          <w:lang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8"/>
        <w:rPr>
          <w:rFonts w:hint="eastAsia"/>
          <w:color w:val="auto"/>
        </w:rPr>
      </w:pPr>
      <w:r>
        <w:rPr>
          <w:rFonts w:hint="eastAsia"/>
          <w:color w:val="auto"/>
        </w:rPr>
        <w:t>员工生活污水，统一汇入自建污水处理系统处理，达到</w:t>
      </w:r>
      <w:r>
        <w:rPr>
          <w:rFonts w:hint="eastAsia"/>
          <w:color w:val="auto"/>
          <w:lang w:val="en-US" w:eastAsia="zh-CN"/>
        </w:rPr>
        <w:t>《畜禽养殖业污染物排放标准》（DB44/613-2009）中集约化畜禽养殖业水污染物最高允许日排放浓度和《农田灌溉水质标准》（GB5084-2005）</w:t>
      </w:r>
      <w:r>
        <w:rPr>
          <w:rFonts w:hint="eastAsia"/>
          <w:color w:val="auto"/>
        </w:rPr>
        <w:t>中旱作标准后用于附近林业和农田的灌溉，不外排，标准限值详见下表。</w:t>
      </w:r>
    </w:p>
    <w:p>
      <w:pPr>
        <w:pStyle w:val="8"/>
        <w:jc w:val="left"/>
        <w:rPr>
          <w:rFonts w:hint="eastAsia"/>
          <w:color w:val="auto"/>
        </w:rPr>
      </w:pPr>
      <w:r>
        <w:rPr>
          <w:rFonts w:hint="eastAsia"/>
          <w:color w:val="auto"/>
        </w:rPr>
        <w:t>项目最大日排水量根据广东省（DB44/613-2009）《畜禽养殖业污染物排放标准》中集约化畜禽养殖业干清粪工艺最高允许排水量为冬季1.2m</w:t>
      </w:r>
      <w:r>
        <w:rPr>
          <w:rFonts w:hint="eastAsia"/>
          <w:color w:val="auto"/>
          <w:vertAlign w:val="superscript"/>
        </w:rPr>
        <w:t>3</w:t>
      </w:r>
      <w:r>
        <w:rPr>
          <w:rFonts w:hint="eastAsia"/>
          <w:color w:val="auto"/>
        </w:rPr>
        <w:t>/(百头•天)，夏季1.8m</w:t>
      </w:r>
      <w:r>
        <w:rPr>
          <w:rFonts w:hint="eastAsia"/>
          <w:color w:val="auto"/>
          <w:vertAlign w:val="superscript"/>
        </w:rPr>
        <w:t>3</w:t>
      </w:r>
      <w:r>
        <w:rPr>
          <w:rFonts w:hint="eastAsia"/>
          <w:color w:val="auto"/>
        </w:rPr>
        <w:t>/(百头•天)。</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olor w:val="auto"/>
        </w:rPr>
      </w:pPr>
      <w:r>
        <w:rPr>
          <w:rFonts w:hint="eastAsia"/>
          <w:b/>
          <w:bCs/>
          <w:color w:val="auto"/>
          <w:sz w:val="21"/>
          <w:szCs w:val="21"/>
        </w:rPr>
        <w:t>表2.8-6 水污染物排放标准</w:t>
      </w:r>
      <w:r>
        <w:rPr>
          <w:rFonts w:hint="eastAsia"/>
          <w:b/>
          <w:bCs/>
          <w:color w:val="auto"/>
          <w:sz w:val="21"/>
          <w:szCs w:val="21"/>
        </w:rPr>
        <w:tab/>
      </w:r>
      <w:r>
        <w:rPr>
          <w:rFonts w:hint="eastAsia"/>
          <w:b/>
          <w:bCs/>
          <w:color w:val="auto"/>
          <w:sz w:val="21"/>
          <w:szCs w:val="21"/>
        </w:rPr>
        <w:t>（单位：mg/L）</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55"/>
        <w:gridCol w:w="2686"/>
        <w:gridCol w:w="2480"/>
        <w:gridCol w:w="248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9" w:hRule="atLeast"/>
        </w:trPr>
        <w:tc>
          <w:tcPr>
            <w:tcW w:w="395" w:type="pct"/>
            <w:tcBorders>
              <w:left w:val="nil"/>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1617" w:type="pct"/>
            <w:tcBorders>
              <w:left w:val="single" w:color="000000" w:sz="6" w:space="0"/>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1493"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GB5084-2005 旱作标准</w:t>
            </w:r>
          </w:p>
        </w:tc>
        <w:tc>
          <w:tcPr>
            <w:tcW w:w="1494"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lang w:val="en-US" w:eastAsia="zh-CN"/>
              </w:rPr>
              <w:t>DB44/613-2009</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12"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1617" w:type="pct"/>
            <w:tcBorders>
              <w:top w:val="single" w:color="000000" w:sz="12"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5"/>
                <w:sz w:val="21"/>
                <w:szCs w:val="21"/>
              </w:rPr>
              <w:t>水温（℃）</w:t>
            </w:r>
          </w:p>
        </w:tc>
        <w:tc>
          <w:tcPr>
            <w:tcW w:w="1493" w:type="pct"/>
            <w:tcBorders>
              <w:top w:val="single" w:color="000000" w:sz="12"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35</w:t>
            </w:r>
          </w:p>
        </w:tc>
        <w:tc>
          <w:tcPr>
            <w:tcW w:w="2482" w:type="dxa"/>
            <w:tcBorders>
              <w:top w:val="single" w:color="000000" w:sz="12"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5.5-8.5</w:t>
            </w:r>
          </w:p>
        </w:tc>
        <w:tc>
          <w:tcPr>
            <w:tcW w:w="2482" w:type="dxa"/>
            <w:tcBorders>
              <w:top w:val="single" w:color="000000" w:sz="6"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COD</w:t>
            </w:r>
            <w:r>
              <w:rPr>
                <w:rFonts w:hint="eastAsia" w:ascii="Times New Roman" w:hAnsi="Times New Roman" w:cs="Times New Roman"/>
                <w:b w:val="0"/>
                <w:bCs/>
                <w:position w:val="2"/>
                <w:sz w:val="21"/>
                <w:szCs w:val="21"/>
                <w:lang w:val="en-US" w:eastAsia="zh-CN"/>
              </w:rPr>
              <w:t>cr</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400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SS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200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氨氮</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总磷</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7"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LAS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9</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粪大肠菌群数（个/100mL）</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1000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1" w:hRule="atLeast"/>
        </w:trPr>
        <w:tc>
          <w:tcPr>
            <w:tcW w:w="395" w:type="pct"/>
            <w:tcBorders>
              <w:top w:val="single" w:color="000000" w:sz="6" w:space="0"/>
              <w:left w:val="nil"/>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1617" w:type="pct"/>
            <w:tcBorders>
              <w:top w:val="single" w:color="000000" w:sz="6" w:space="0"/>
              <w:left w:val="single" w:color="000000" w:sz="6" w:space="0"/>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蛔虫卵（个/L）</w:t>
            </w:r>
          </w:p>
        </w:tc>
        <w:tc>
          <w:tcPr>
            <w:tcW w:w="1493"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w w:val="100"/>
                <w:sz w:val="21"/>
                <w:szCs w:val="21"/>
              </w:rPr>
              <w:t>2</w:t>
            </w:r>
            <w:r>
              <w:rPr>
                <w:rFonts w:hint="eastAsia" w:ascii="Times New Roman" w:hAnsi="Times New Roman" w:cs="Times New Roman"/>
                <w:b w:val="0"/>
                <w:bCs/>
                <w:w w:val="100"/>
                <w:sz w:val="21"/>
                <w:szCs w:val="21"/>
                <w:lang w:val="en-US" w:eastAsia="zh-CN"/>
              </w:rPr>
              <w:t>.0</w:t>
            </w:r>
          </w:p>
        </w:tc>
        <w:tc>
          <w:tcPr>
            <w:tcW w:w="1494"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lang w:val="en-US" w:eastAsia="zh-CN"/>
              </w:rPr>
            </w:pPr>
            <w:r>
              <w:rPr>
                <w:rFonts w:hint="eastAsia" w:ascii="Times New Roman" w:hAnsi="Times New Roman" w:cs="Times New Roman"/>
                <w:b w:val="0"/>
                <w:bCs/>
                <w:w w:val="100"/>
                <w:sz w:val="21"/>
                <w:szCs w:val="21"/>
                <w:lang w:val="en-US" w:eastAsia="zh-CN"/>
              </w:rPr>
              <w:t>2.0</w:t>
            </w:r>
          </w:p>
        </w:tc>
      </w:tr>
    </w:tbl>
    <w:p>
      <w:pPr>
        <w:pStyle w:val="6"/>
      </w:pPr>
      <w:r>
        <w:rPr>
          <w:rFonts w:hint="eastAsia"/>
          <w:lang w:eastAsia="zh-CN"/>
        </w:rPr>
        <w:t>大气污染物排放标准</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color w:val="auto"/>
          <w:lang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执行《恶臭污染物排放标准》（GB14554-93）标准；臭气浓度执行《畜禽养殖业污染物排放标准》（DB44/613-2009）标准；食堂油烟执行《饮食业油烟排放标准（试行）》（GB18483-2001），具体详见下表</w:t>
      </w:r>
      <w:r>
        <w:rPr>
          <w:rFonts w:hint="eastAsia"/>
          <w:color w:val="auto"/>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color w:val="auto"/>
          <w:sz w:val="21"/>
          <w:szCs w:val="21"/>
          <w:lang w:val="en-US" w:eastAsia="zh-CN"/>
        </w:rPr>
      </w:pPr>
      <w:r>
        <w:rPr>
          <w:rFonts w:hint="eastAsia"/>
          <w:b/>
          <w:bCs/>
          <w:color w:val="auto"/>
          <w:sz w:val="21"/>
          <w:szCs w:val="21"/>
        </w:rPr>
        <w:t>表 2.8-7  大气污染物排放标准摘录</w:t>
      </w:r>
      <w:r>
        <w:rPr>
          <w:rFonts w:hint="eastAsia"/>
          <w:b/>
          <w:bCs/>
          <w:color w:val="auto"/>
          <w:sz w:val="21"/>
          <w:szCs w:val="21"/>
          <w:lang w:val="en-US" w:eastAsia="zh-CN"/>
        </w:rPr>
        <w:t xml:space="preserve">   单位：</w:t>
      </w:r>
      <w:r>
        <w:rPr>
          <w:rFonts w:hint="default" w:ascii="Times New Roman" w:hAnsi="Times New Roman" w:eastAsia="宋体" w:cs="Times New Roman"/>
          <w:b/>
          <w:sz w:val="21"/>
          <w:szCs w:val="21"/>
        </w:rPr>
        <w:t>mg/m</w:t>
      </w:r>
      <w:r>
        <w:rPr>
          <w:rFonts w:hint="eastAsia" w:ascii="Times New Roman" w:hAnsi="Times New Roman" w:cs="Times New Roman"/>
          <w:b/>
          <w:sz w:val="21"/>
          <w:szCs w:val="21"/>
          <w:vertAlign w:val="superscript"/>
          <w:lang w:val="en-US" w:eastAsia="zh-CN"/>
        </w:rPr>
        <w:t>3</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904"/>
        <w:gridCol w:w="1035"/>
        <w:gridCol w:w="1799"/>
        <w:gridCol w:w="2012"/>
        <w:gridCol w:w="15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2" w:hRule="atLeast"/>
        </w:trPr>
        <w:tc>
          <w:tcPr>
            <w:tcW w:w="1146" w:type="pct"/>
            <w:tcBorders>
              <w:top w:val="single" w:color="000000" w:sz="12"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污染源</w:t>
            </w:r>
          </w:p>
        </w:tc>
        <w:tc>
          <w:tcPr>
            <w:tcW w:w="623" w:type="pct"/>
            <w:tcBorders>
              <w:top w:val="single" w:color="000000" w:sz="12" w:space="0"/>
              <w:left w:val="single" w:color="000000" w:sz="6" w:space="0"/>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污染因子</w:t>
            </w:r>
          </w:p>
        </w:tc>
        <w:tc>
          <w:tcPr>
            <w:tcW w:w="1083"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最高允许排放浓度</w:t>
            </w:r>
          </w:p>
        </w:tc>
        <w:tc>
          <w:tcPr>
            <w:tcW w:w="1211"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4"/>
                <w:sz w:val="21"/>
                <w:szCs w:val="21"/>
              </w:rPr>
              <w:t>无组织排放</w:t>
            </w:r>
            <w:r>
              <w:rPr>
                <w:rFonts w:hint="default" w:ascii="Times New Roman" w:hAnsi="Times New Roman" w:eastAsia="宋体" w:cs="Times New Roman"/>
                <w:b w:val="0"/>
                <w:bCs/>
                <w:sz w:val="21"/>
                <w:szCs w:val="21"/>
              </w:rPr>
              <w:t>浓度限值</w:t>
            </w:r>
          </w:p>
        </w:tc>
        <w:tc>
          <w:tcPr>
            <w:tcW w:w="935" w:type="pct"/>
            <w:tcBorders>
              <w:top w:val="single" w:color="000000" w:sz="12"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选用标准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84" w:hRule="atLeast"/>
        </w:trPr>
        <w:tc>
          <w:tcPr>
            <w:tcW w:w="1146" w:type="pc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食堂油烟</w:t>
            </w:r>
          </w:p>
        </w:tc>
        <w:tc>
          <w:tcPr>
            <w:tcW w:w="62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油烟浓度</w:t>
            </w:r>
          </w:p>
        </w:tc>
        <w:tc>
          <w:tcPr>
            <w:tcW w:w="108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w w:val="100"/>
                <w:sz w:val="21"/>
                <w:szCs w:val="21"/>
              </w:rPr>
              <w:t>2</w:t>
            </w:r>
            <w:r>
              <w:rPr>
                <w:rFonts w:hint="eastAsia" w:ascii="Times New Roman" w:hAnsi="Times New Roman" w:cs="Times New Roman"/>
                <w:w w:val="100"/>
                <w:sz w:val="21"/>
                <w:szCs w:val="21"/>
                <w:lang w:val="en-US" w:eastAsia="zh-CN"/>
              </w:rPr>
              <w:t>.0</w:t>
            </w:r>
          </w:p>
        </w:tc>
        <w:tc>
          <w:tcPr>
            <w:tcW w:w="1211"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935" w:type="pc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GB18483-2001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49" w:hRule="atLeast"/>
        </w:trPr>
        <w:tc>
          <w:tcPr>
            <w:tcW w:w="1146"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猪</w:t>
            </w:r>
            <w:r>
              <w:rPr>
                <w:rFonts w:hint="default" w:ascii="Times New Roman" w:hAnsi="Times New Roman" w:eastAsia="宋体" w:cs="Times New Roman"/>
                <w:spacing w:val="-9"/>
                <w:sz w:val="21"/>
                <w:szCs w:val="21"/>
              </w:rPr>
              <w:t>舍、污水</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pacing w:val="-9"/>
                <w:sz w:val="21"/>
                <w:szCs w:val="21"/>
              </w:rPr>
              <w:t>处理</w:t>
            </w:r>
            <w:r>
              <w:rPr>
                <w:rFonts w:hint="eastAsia" w:ascii="Times New Roman" w:hAnsi="Times New Roman" w:cs="Times New Roman"/>
                <w:spacing w:val="-9"/>
                <w:sz w:val="21"/>
                <w:szCs w:val="21"/>
                <w:lang w:eastAsia="zh-CN"/>
              </w:rPr>
              <w:t>设施、</w:t>
            </w:r>
            <w:r>
              <w:rPr>
                <w:rFonts w:hint="eastAsia" w:ascii="Times New Roman" w:hAnsi="Times New Roman" w:cs="Times New Roman"/>
                <w:spacing w:val="-9"/>
                <w:sz w:val="21"/>
                <w:szCs w:val="21"/>
                <w:lang w:val="en-US" w:eastAsia="zh-CN"/>
              </w:rPr>
              <w:t>异位发酵床</w:t>
            </w: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0.06</w:t>
            </w:r>
          </w:p>
        </w:tc>
        <w:tc>
          <w:tcPr>
            <w:tcW w:w="935"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GB14554-93</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0" w:hRule="atLeast"/>
        </w:trPr>
        <w:tc>
          <w:tcPr>
            <w:tcW w:w="1146"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NH</w:t>
            </w:r>
            <w:r>
              <w:rPr>
                <w:rFonts w:hint="default" w:ascii="Times New Roman" w:hAnsi="Times New Roman" w:eastAsia="宋体" w:cs="Times New Roman"/>
                <w:sz w:val="21"/>
                <w:szCs w:val="21"/>
                <w:vertAlign w:val="subscript"/>
              </w:rPr>
              <w:t>3</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935"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2" w:hRule="atLeast"/>
        </w:trPr>
        <w:tc>
          <w:tcPr>
            <w:tcW w:w="1769" w:type="pct"/>
            <w:gridSpan w:val="2"/>
            <w:tcBorders>
              <w:top w:val="single" w:color="000000" w:sz="4"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083"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11"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60</w:t>
            </w:r>
            <w:r>
              <w:rPr>
                <w:rFonts w:hint="default" w:ascii="Times New Roman" w:hAnsi="Times New Roman" w:eastAsia="宋体" w:cs="Times New Roman"/>
                <w:sz w:val="21"/>
                <w:szCs w:val="21"/>
              </w:rPr>
              <w:t>（无量纲）</w:t>
            </w:r>
          </w:p>
        </w:tc>
        <w:tc>
          <w:tcPr>
            <w:tcW w:w="935" w:type="pct"/>
            <w:tcBorders>
              <w:top w:val="single" w:color="000000" w:sz="4"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DB44/613-2009</w:t>
            </w:r>
          </w:p>
        </w:tc>
      </w:tr>
    </w:tbl>
    <w:p>
      <w:pPr>
        <w:pStyle w:val="6"/>
      </w:pPr>
      <w:r>
        <w:rPr>
          <w:rFonts w:hint="eastAsia"/>
          <w:lang w:eastAsia="zh-CN"/>
        </w:rPr>
        <w:t>噪声排放标准</w:t>
      </w:r>
    </w:p>
    <w:p>
      <w:pPr>
        <w:pStyle w:val="8"/>
        <w:rPr>
          <w:rFonts w:hint="eastAsia" w:eastAsia="宋体"/>
          <w:color w:val="auto"/>
          <w:lang w:eastAsia="zh-CN"/>
        </w:rPr>
      </w:pPr>
      <w:r>
        <w:rPr>
          <w:rFonts w:hint="eastAsia"/>
          <w:color w:val="auto"/>
        </w:rPr>
        <w:t>项目施工期厂界噪声执行《建筑施工场界环境噪声排放标准》（GB12523-2011）标准要求：昼间≤70dB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；营运期厂界噪声执行《工业企业厂界环境噪声排放标准》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rPr>
        <w:t>1类标准：昼间≤55dB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，夜间≤45dB</w:t>
      </w:r>
      <w:r>
        <w:rPr>
          <w:rFonts w:hint="eastAsia"/>
          <w:color w:val="auto"/>
          <w:lang w:eastAsia="zh-CN"/>
        </w:rPr>
        <w:t>（</w:t>
      </w:r>
      <w:r>
        <w:rPr>
          <w:rFonts w:hint="eastAsia"/>
          <w:color w:val="auto"/>
          <w:lang w:val="en-US" w:eastAsia="zh-CN"/>
        </w:rPr>
        <w:t>A</w:t>
      </w:r>
      <w:r>
        <w:rPr>
          <w:rFonts w:hint="eastAsia"/>
          <w:color w:val="auto"/>
          <w:lang w:eastAsia="zh-CN"/>
        </w:rPr>
        <w:t>）。</w:t>
      </w:r>
    </w:p>
    <w:p>
      <w:pPr>
        <w:pStyle w:val="129"/>
        <w:rPr>
          <w:rFonts w:hint="default" w:eastAsia="宋体"/>
          <w:b/>
          <w:bCs/>
          <w:sz w:val="21"/>
          <w:szCs w:val="21"/>
          <w:lang w:val="en-US" w:eastAsia="zh-CN"/>
        </w:rPr>
      </w:pPr>
      <w:r>
        <w:rPr>
          <w:rFonts w:hint="eastAsia"/>
          <w:b/>
          <w:bCs/>
          <w:sz w:val="21"/>
          <w:szCs w:val="21"/>
        </w:rPr>
        <w:t>表</w:t>
      </w:r>
      <w:r>
        <w:rPr>
          <w:rFonts w:hint="eastAsia"/>
          <w:b/>
          <w:bCs/>
          <w:sz w:val="21"/>
          <w:szCs w:val="21"/>
          <w:lang w:val="en-US" w:eastAsia="zh-CN"/>
        </w:rPr>
        <w:t>2.8-</w:t>
      </w:r>
      <w:r>
        <w:rPr>
          <w:rFonts w:hint="eastAsia"/>
          <w:b/>
          <w:bCs/>
          <w:sz w:val="21"/>
          <w:szCs w:val="21"/>
        </w:rPr>
        <w:t>8  施工期噪声污染控制标准值一览表</w:t>
      </w:r>
      <w:r>
        <w:rPr>
          <w:rFonts w:hint="eastAsia"/>
          <w:b/>
          <w:bCs/>
          <w:sz w:val="21"/>
          <w:szCs w:val="21"/>
          <w:lang w:val="en-US" w:eastAsia="zh-CN"/>
        </w:rPr>
        <w:t xml:space="preserve">   单位：dB（A）</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530"/>
        <w:gridCol w:w="3210"/>
        <w:gridCol w:w="109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7" w:type="pct"/>
            <w:tcBorders>
              <w:top w:val="single" w:color="auto" w:sz="12" w:space="0"/>
              <w:left w:val="nil"/>
              <w:bottom w:val="single" w:color="auto" w:sz="12" w:space="0"/>
            </w:tcBorders>
            <w:noWrap w:val="0"/>
            <w:vAlign w:val="center"/>
          </w:tcPr>
          <w:p>
            <w:pPr>
              <w:jc w:val="center"/>
            </w:pPr>
            <w:r>
              <w:t>标准号</w:t>
            </w:r>
          </w:p>
        </w:tc>
        <w:tc>
          <w:tcPr>
            <w:tcW w:w="1884" w:type="pct"/>
            <w:tcBorders>
              <w:top w:val="single" w:color="auto" w:sz="12" w:space="0"/>
              <w:bottom w:val="single" w:color="auto" w:sz="12" w:space="0"/>
            </w:tcBorders>
            <w:noWrap w:val="0"/>
            <w:vAlign w:val="center"/>
          </w:tcPr>
          <w:p>
            <w:pPr>
              <w:jc w:val="center"/>
            </w:pPr>
            <w:r>
              <w:t>控制标准</w:t>
            </w:r>
          </w:p>
        </w:tc>
        <w:tc>
          <w:tcPr>
            <w:tcW w:w="645"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7" w:type="pct"/>
            <w:tcBorders>
              <w:top w:val="single" w:color="auto" w:sz="12" w:space="0"/>
              <w:left w:val="nil"/>
              <w:bottom w:val="single" w:color="auto" w:sz="12" w:space="0"/>
            </w:tcBorders>
            <w:noWrap w:val="0"/>
            <w:vAlign w:val="center"/>
          </w:tcPr>
          <w:p>
            <w:pPr>
              <w:jc w:val="center"/>
            </w:pPr>
            <w:r>
              <w:rPr>
                <w:szCs w:val="21"/>
                <w:lang w:val="zh-CN"/>
              </w:rPr>
              <w:t>GB12523-2011</w:t>
            </w:r>
          </w:p>
        </w:tc>
        <w:tc>
          <w:tcPr>
            <w:tcW w:w="1884" w:type="pct"/>
            <w:tcBorders>
              <w:top w:val="single" w:color="auto" w:sz="12" w:space="0"/>
              <w:bottom w:val="single" w:color="auto" w:sz="12" w:space="0"/>
            </w:tcBorders>
            <w:noWrap w:val="0"/>
            <w:vAlign w:val="center"/>
          </w:tcPr>
          <w:p>
            <w:pPr>
              <w:jc w:val="center"/>
            </w:pPr>
            <w:r>
              <w:rPr>
                <w:szCs w:val="21"/>
                <w:lang w:val="zh-CN"/>
              </w:rPr>
              <w:t>建筑施工场界环境噪声排放标准</w:t>
            </w:r>
          </w:p>
        </w:tc>
        <w:tc>
          <w:tcPr>
            <w:tcW w:w="645"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rPr>
            </w:pPr>
            <w:r>
              <w:rPr>
                <w:rFonts w:hint="eastAsia"/>
              </w:rPr>
              <w:t>70</w:t>
            </w:r>
          </w:p>
        </w:tc>
        <w:tc>
          <w:tcPr>
            <w:tcW w:w="407" w:type="pct"/>
            <w:tcBorders>
              <w:top w:val="single" w:color="auto" w:sz="12" w:space="0"/>
              <w:bottom w:val="single" w:color="auto" w:sz="12" w:space="0"/>
            </w:tcBorders>
            <w:noWrap w:val="0"/>
            <w:vAlign w:val="center"/>
          </w:tcPr>
          <w:p>
            <w:pPr>
              <w:jc w:val="center"/>
              <w:rPr>
                <w:rFonts w:hint="eastAsia"/>
              </w:rPr>
            </w:pPr>
            <w:r>
              <w:rPr>
                <w:rFonts w:hint="eastAsia"/>
              </w:rPr>
              <w:t>55</w:t>
            </w:r>
          </w:p>
        </w:tc>
        <w:tc>
          <w:tcPr>
            <w:tcW w:w="748" w:type="pct"/>
            <w:tcBorders>
              <w:top w:val="single" w:color="auto" w:sz="12" w:space="0"/>
              <w:bottom w:val="single" w:color="auto" w:sz="12" w:space="0"/>
              <w:right w:val="nil"/>
            </w:tcBorders>
            <w:noWrap w:val="0"/>
            <w:vAlign w:val="center"/>
          </w:tcPr>
          <w:p>
            <w:pPr>
              <w:jc w:val="center"/>
              <w:rPr>
                <w:rFonts w:hint="eastAsia"/>
              </w:rPr>
            </w:pPr>
            <w:r>
              <w:rPr>
                <w:rFonts w:hint="eastAsia"/>
              </w:rPr>
              <w:t>/</w:t>
            </w:r>
          </w:p>
        </w:tc>
      </w:tr>
    </w:tbl>
    <w:p>
      <w:pPr>
        <w:pStyle w:val="129"/>
        <w:rPr>
          <w:rFonts w:hint="eastAsia"/>
          <w:b/>
          <w:bCs/>
          <w:sz w:val="21"/>
          <w:szCs w:val="21"/>
        </w:rPr>
      </w:pPr>
      <w:r>
        <w:rPr>
          <w:rFonts w:hint="eastAsia"/>
          <w:b/>
          <w:bCs/>
          <w:sz w:val="21"/>
          <w:szCs w:val="21"/>
        </w:rPr>
        <w:t>表</w:t>
      </w:r>
      <w:r>
        <w:rPr>
          <w:rFonts w:hint="eastAsia"/>
          <w:b/>
          <w:bCs/>
          <w:sz w:val="21"/>
          <w:szCs w:val="21"/>
          <w:lang w:val="en-US" w:eastAsia="zh-CN"/>
        </w:rPr>
        <w:t>2.8</w:t>
      </w:r>
      <w:r>
        <w:rPr>
          <w:rFonts w:hint="eastAsia"/>
          <w:b/>
          <w:bCs/>
          <w:sz w:val="21"/>
          <w:szCs w:val="21"/>
        </w:rPr>
        <w:t>-9  运营期噪声污染控制标准值一览表   单位：dB</w:t>
      </w:r>
      <w:r>
        <w:rPr>
          <w:rFonts w:hint="eastAsia"/>
          <w:b/>
          <w:bCs/>
          <w:sz w:val="21"/>
          <w:szCs w:val="21"/>
          <w:lang w:eastAsia="zh-CN"/>
        </w:rPr>
        <w:t>（</w:t>
      </w:r>
      <w:r>
        <w:rPr>
          <w:rFonts w:hint="eastAsia"/>
          <w:b/>
          <w:bCs/>
          <w:sz w:val="21"/>
          <w:szCs w:val="21"/>
          <w:lang w:val="en-US" w:eastAsia="zh-CN"/>
        </w:rPr>
        <w:t>A</w:t>
      </w:r>
      <w:r>
        <w:rPr>
          <w:rFonts w:hint="eastAsia"/>
          <w:b/>
          <w:bCs/>
          <w:sz w:val="21"/>
          <w:szCs w:val="21"/>
          <w:lang w:eastAsia="zh-CN"/>
        </w:rPr>
        <w:t>）</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525"/>
        <w:gridCol w:w="3245"/>
        <w:gridCol w:w="106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5" w:type="pct"/>
            <w:tcBorders>
              <w:top w:val="single" w:color="auto" w:sz="12" w:space="0"/>
              <w:left w:val="nil"/>
              <w:bottom w:val="single" w:color="auto" w:sz="12" w:space="0"/>
            </w:tcBorders>
            <w:noWrap w:val="0"/>
            <w:vAlign w:val="center"/>
          </w:tcPr>
          <w:p>
            <w:pPr>
              <w:jc w:val="center"/>
            </w:pPr>
            <w:r>
              <w:t>标准号</w:t>
            </w:r>
          </w:p>
        </w:tc>
        <w:tc>
          <w:tcPr>
            <w:tcW w:w="1904" w:type="pct"/>
            <w:tcBorders>
              <w:top w:val="single" w:color="auto" w:sz="12" w:space="0"/>
              <w:bottom w:val="single" w:color="auto" w:sz="12" w:space="0"/>
            </w:tcBorders>
            <w:noWrap w:val="0"/>
            <w:vAlign w:val="center"/>
          </w:tcPr>
          <w:p>
            <w:pPr>
              <w:jc w:val="center"/>
            </w:pPr>
            <w:r>
              <w:t>控制标准</w:t>
            </w:r>
          </w:p>
        </w:tc>
        <w:tc>
          <w:tcPr>
            <w:tcW w:w="627"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5" w:type="pct"/>
            <w:tcBorders>
              <w:top w:val="single" w:color="auto" w:sz="12" w:space="0"/>
              <w:left w:val="nil"/>
              <w:bottom w:val="single" w:color="auto" w:sz="12" w:space="0"/>
            </w:tcBorders>
            <w:noWrap w:val="0"/>
            <w:vAlign w:val="center"/>
          </w:tcPr>
          <w:p>
            <w:pPr>
              <w:jc w:val="center"/>
            </w:pPr>
            <w:r>
              <w:t>GB12348-2008</w:t>
            </w:r>
          </w:p>
        </w:tc>
        <w:tc>
          <w:tcPr>
            <w:tcW w:w="1904" w:type="pct"/>
            <w:tcBorders>
              <w:top w:val="single" w:color="auto" w:sz="12" w:space="0"/>
              <w:bottom w:val="single" w:color="auto" w:sz="12" w:space="0"/>
            </w:tcBorders>
            <w:noWrap w:val="0"/>
            <w:vAlign w:val="center"/>
          </w:tcPr>
          <w:p>
            <w:pPr>
              <w:jc w:val="center"/>
            </w:pPr>
            <w:r>
              <w:t>工业企业厂界环境噪声排放标准</w:t>
            </w:r>
          </w:p>
        </w:tc>
        <w:tc>
          <w:tcPr>
            <w:tcW w:w="627"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55</w:t>
            </w:r>
          </w:p>
        </w:tc>
        <w:tc>
          <w:tcPr>
            <w:tcW w:w="40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45</w:t>
            </w:r>
          </w:p>
        </w:tc>
        <w:tc>
          <w:tcPr>
            <w:tcW w:w="748" w:type="pct"/>
            <w:tcBorders>
              <w:top w:val="single" w:color="auto" w:sz="12" w:space="0"/>
              <w:bottom w:val="single" w:color="auto" w:sz="12" w:space="0"/>
              <w:right w:val="nil"/>
            </w:tcBorders>
            <w:noWrap w:val="0"/>
            <w:vAlign w:val="center"/>
          </w:tcPr>
          <w:p>
            <w:pPr>
              <w:jc w:val="center"/>
            </w:pPr>
            <w:r>
              <w:rPr>
                <w:rFonts w:hint="eastAsia"/>
                <w:lang w:val="en-US" w:eastAsia="zh-CN"/>
              </w:rPr>
              <w:t>1</w:t>
            </w:r>
            <w:r>
              <w:t>类</w:t>
            </w:r>
          </w:p>
        </w:tc>
      </w:tr>
    </w:tbl>
    <w:p>
      <w:pPr>
        <w:pStyle w:val="6"/>
      </w:pPr>
      <w:r>
        <w:rPr>
          <w:rFonts w:hint="eastAsia"/>
          <w:lang w:eastAsia="zh-CN"/>
        </w:rPr>
        <w:t>固体废物</w:t>
      </w:r>
    </w:p>
    <w:p>
      <w:pPr>
        <w:pStyle w:val="8"/>
        <w:rPr>
          <w:rFonts w:hint="eastAsia"/>
          <w:color w:val="auto"/>
        </w:rPr>
      </w:pPr>
      <w:r>
        <w:rPr>
          <w:rFonts w:hint="eastAsia"/>
          <w:color w:val="auto"/>
        </w:rPr>
        <w:t>生活垃圾参照《中华人民共和国固体废物污染环境防治法》中“第三章固体废物污染环境的防治”里面的‘第三节生活垃圾污染环境的防治’有关条款执行；猪粪、污水处理站污泥、废脱硫剂等执行《畜禽养殖业污染物排放标准》（DB44/613-2009）；医疗废物暂存执行《危险废物贮存污染控制标准》（GB18597- 2001）及2013年修改单的要求； 病死猪按《畜禽病害肉尸及其产品无害化处理规程》（GB16548-1996）和《畜禽养殖业污染防治技术规范》（HJ/T81-2001）要求处理。</w:t>
      </w:r>
    </w:p>
    <w:p>
      <w:pPr>
        <w:pStyle w:val="8"/>
        <w:rPr>
          <w:rFonts w:hint="eastAsia"/>
          <w:color w:val="auto"/>
        </w:rPr>
      </w:pPr>
      <w:r>
        <w:rPr>
          <w:rFonts w:hint="eastAsia"/>
          <w:color w:val="auto"/>
        </w:rPr>
        <w:t>本项目建成投产后，每年产生猪粪</w:t>
      </w:r>
      <w:r>
        <w:rPr>
          <w:rFonts w:hint="eastAsia"/>
          <w:color w:val="auto"/>
          <w:lang w:val="en-US" w:eastAsia="zh-CN"/>
        </w:rPr>
        <w:t>4319.775</w:t>
      </w:r>
      <w:r>
        <w:rPr>
          <w:rFonts w:hint="eastAsia"/>
          <w:color w:val="auto"/>
        </w:rPr>
        <w:t>t，根据《畜禽养殖业污染物排放标准》（DB44/613-2009）要求，畜禽养殖业必须设置废渣的固定储存设施和场所，储存场所要有防止粪液渗漏、溢流措施。用于直接还田的畜禽粪便，必须进行无害化处理。禁止直接将废渣倾倒入地表水体或其他环境中。畜禽粪便还田时，不能超过当地的最大农田负荷量，避免造成面源污染和地下水污染。经无害化处理后的废渣，应符合下表的规定。</w:t>
      </w:r>
    </w:p>
    <w:p>
      <w:pPr>
        <w:pStyle w:val="129"/>
        <w:rPr>
          <w:rFonts w:hint="eastAsia"/>
          <w:b/>
          <w:bCs/>
          <w:sz w:val="21"/>
          <w:szCs w:val="21"/>
        </w:rPr>
      </w:pPr>
      <w:r>
        <w:rPr>
          <w:rFonts w:hint="eastAsia"/>
          <w:b/>
          <w:bCs/>
          <w:sz w:val="21"/>
          <w:szCs w:val="21"/>
        </w:rPr>
        <w:t>表2.8-9  集约化养殖业废渣无害化环境标准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246"/>
        <w:gridCol w:w="405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1" w:hRule="atLeast"/>
        </w:trPr>
        <w:tc>
          <w:tcPr>
            <w:tcW w:w="2556" w:type="pct"/>
            <w:tcBorders>
              <w:left w:val="nil"/>
              <w:bottom w:val="single" w:color="000000" w:sz="12"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控制项目</w:t>
            </w:r>
          </w:p>
        </w:tc>
        <w:tc>
          <w:tcPr>
            <w:tcW w:w="2443" w:type="pct"/>
            <w:tcBorders>
              <w:left w:val="single" w:color="000000" w:sz="8"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3" w:hRule="atLeast"/>
        </w:trPr>
        <w:tc>
          <w:tcPr>
            <w:tcW w:w="2556" w:type="pct"/>
            <w:tcBorders>
              <w:top w:val="single" w:color="000000" w:sz="12" w:space="0"/>
              <w:left w:val="nil"/>
              <w:bottom w:val="single" w:color="000000" w:sz="8"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蛔虫卵</w:t>
            </w:r>
          </w:p>
        </w:tc>
        <w:tc>
          <w:tcPr>
            <w:tcW w:w="2443" w:type="pct"/>
            <w:tcBorders>
              <w:top w:val="single" w:color="000000" w:sz="12" w:space="0"/>
              <w:left w:val="single" w:color="000000" w:sz="8" w:space="0"/>
              <w:bottom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死亡率≥95%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2556" w:type="pct"/>
            <w:tcBorders>
              <w:top w:val="single" w:color="000000" w:sz="8" w:space="0"/>
              <w:left w:val="nil"/>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粪大肠菌群数</w:t>
            </w:r>
          </w:p>
        </w:tc>
        <w:tc>
          <w:tcPr>
            <w:tcW w:w="2443" w:type="pct"/>
            <w:tcBorders>
              <w:top w:val="single" w:color="000000" w:sz="8" w:space="0"/>
              <w:left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r>
              <w:rPr>
                <w:rFonts w:hint="eastAsia" w:ascii="Times New Roman" w:hAnsi="Times New Roman" w:cs="Times New Roman"/>
                <w:sz w:val="21"/>
                <w:szCs w:val="21"/>
                <w:vertAlign w:val="superscript"/>
                <w:lang w:val="en-US" w:eastAsia="zh-CN"/>
              </w:rPr>
              <w:t>5</w:t>
            </w:r>
            <w:r>
              <w:rPr>
                <w:rFonts w:hint="default" w:ascii="Times New Roman" w:hAnsi="Times New Roman" w:eastAsia="宋体" w:cs="Times New Roman"/>
                <w:sz w:val="21"/>
                <w:szCs w:val="21"/>
              </w:rPr>
              <w:t>个/kg</w:t>
            </w:r>
          </w:p>
        </w:tc>
      </w:tr>
    </w:tbl>
    <w:p>
      <w:pPr>
        <w:pStyle w:val="8"/>
        <w:rPr>
          <w:rFonts w:hint="eastAsia"/>
          <w:color w:val="auto"/>
        </w:rPr>
      </w:pPr>
      <w:r>
        <w:rPr>
          <w:rFonts w:hint="eastAsia"/>
          <w:color w:val="auto"/>
        </w:rPr>
        <w:t>根据《畜禽养殖业污染防治技术规范》（HJ/T81-2001），对没有充足土地消纳利用粪肥的大中型畜禽养殖场和养殖小区，应建立集中处理畜禽粪便的有机肥厂或处理（置）机制。</w:t>
      </w:r>
    </w:p>
    <w:p>
      <w:pPr>
        <w:pStyle w:val="8"/>
        <w:rPr>
          <w:rFonts w:hint="eastAsia"/>
          <w:color w:val="auto"/>
        </w:rPr>
      </w:pPr>
      <w:r>
        <w:rPr>
          <w:rFonts w:hint="eastAsia"/>
          <w:color w:val="auto"/>
        </w:rPr>
        <w:t>本项目粪污采用“</w:t>
      </w:r>
      <w:r>
        <w:rPr>
          <w:rFonts w:hint="eastAsia"/>
          <w:color w:val="auto"/>
          <w:lang w:val="en-US"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4"/>
      </w:pPr>
      <w:bookmarkStart w:id="30" w:name="_Toc11901"/>
      <w:r>
        <w:rPr>
          <w:rFonts w:hint="eastAsia"/>
          <w:lang w:eastAsia="zh-CN"/>
        </w:rPr>
        <w:t>工程概况</w:t>
      </w:r>
      <w:bookmarkEnd w:id="30"/>
    </w:p>
    <w:p>
      <w:pPr>
        <w:pStyle w:val="5"/>
        <w:ind w:firstLine="562"/>
      </w:pPr>
      <w:r>
        <w:rPr>
          <w:rFonts w:hint="eastAsia"/>
          <w:lang w:eastAsia="zh-CN"/>
        </w:rPr>
        <w:t>项目基本情况</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项目名称：高联村寨下组现代高效化养猪场建设项目。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0000FF"/>
          <w:kern w:val="0"/>
          <w:sz w:val="24"/>
          <w:szCs w:val="24"/>
          <w:lang w:val="en-US" w:eastAsia="zh-CN" w:bidi="ar-SA"/>
        </w:rPr>
      </w:pPr>
      <w:r>
        <w:rPr>
          <w:rFonts w:hint="eastAsia" w:ascii="Times New Roman" w:hAnsi="Times New Roman" w:cs="Times New Roman"/>
          <w:kern w:val="0"/>
          <w:sz w:val="24"/>
          <w:szCs w:val="24"/>
          <w:lang w:val="en-US" w:eastAsia="zh-CN" w:bidi="ar-SA"/>
        </w:rPr>
        <w:t>项目地点：广东省韶关市仁化县丹霞街道高联村寨下组，中心地理坐标 E113.704162°，N25.191894°。工程投资：总投</w:t>
      </w:r>
      <w:r>
        <w:rPr>
          <w:rFonts w:hint="eastAsia" w:ascii="Times New Roman" w:hAnsi="Times New Roman" w:cs="Times New Roman"/>
          <w:color w:val="auto"/>
          <w:kern w:val="0"/>
          <w:sz w:val="24"/>
          <w:szCs w:val="24"/>
          <w:lang w:val="en-US" w:eastAsia="zh-CN" w:bidi="ar-SA"/>
        </w:rPr>
        <w:t>资</w:t>
      </w:r>
      <w:r>
        <w:rPr>
          <w:rFonts w:hint="eastAsia" w:cs="Times New Roman"/>
          <w:color w:val="auto"/>
          <w:kern w:val="0"/>
          <w:sz w:val="24"/>
          <w:szCs w:val="24"/>
          <w:lang w:val="en-US" w:eastAsia="zh-CN" w:bidi="ar-SA"/>
        </w:rPr>
        <w:t>128</w:t>
      </w:r>
      <w:r>
        <w:rPr>
          <w:rFonts w:hint="eastAsia" w:ascii="Times New Roman" w:hAnsi="Times New Roman" w:cs="Times New Roman"/>
          <w:color w:val="auto"/>
          <w:kern w:val="0"/>
          <w:sz w:val="24"/>
          <w:szCs w:val="24"/>
          <w:lang w:val="en-US" w:eastAsia="zh-CN" w:bidi="ar-SA"/>
        </w:rPr>
        <w:t>0万元，环保投资</w:t>
      </w:r>
      <w:r>
        <w:rPr>
          <w:rFonts w:hint="eastAsia" w:cs="Times New Roman"/>
          <w:color w:val="auto"/>
          <w:kern w:val="0"/>
          <w:sz w:val="24"/>
          <w:szCs w:val="24"/>
          <w:lang w:val="en-US" w:eastAsia="zh-CN" w:bidi="ar-SA"/>
        </w:rPr>
        <w:t>106</w:t>
      </w:r>
      <w:r>
        <w:rPr>
          <w:rFonts w:hint="eastAsia" w:ascii="Times New Roman" w:hAnsi="Times New Roman" w:cs="Times New Roman"/>
          <w:color w:val="auto"/>
          <w:kern w:val="0"/>
          <w:sz w:val="24"/>
          <w:szCs w:val="24"/>
          <w:lang w:val="en-US" w:eastAsia="zh-CN" w:bidi="ar-SA"/>
        </w:rPr>
        <w:t>万元。</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占</w:t>
      </w:r>
      <w:r>
        <w:rPr>
          <w:rFonts w:hint="eastAsia" w:ascii="Times New Roman" w:hAnsi="Times New Roman" w:cs="Times New Roman"/>
          <w:color w:val="auto"/>
          <w:kern w:val="0"/>
          <w:sz w:val="24"/>
          <w:szCs w:val="24"/>
          <w:lang w:val="en-US" w:eastAsia="zh-CN" w:bidi="ar-SA"/>
        </w:rPr>
        <w:t>地面积：</w:t>
      </w:r>
      <w:r>
        <w:rPr>
          <w:rFonts w:hint="eastAsia" w:cs="Times New Roman"/>
          <w:color w:val="auto"/>
          <w:kern w:val="0"/>
          <w:sz w:val="24"/>
          <w:szCs w:val="24"/>
          <w:lang w:val="en-US" w:eastAsia="zh-CN" w:bidi="ar-SA"/>
        </w:rPr>
        <w:t>71326</w:t>
      </w:r>
      <w:r>
        <w:rPr>
          <w:rFonts w:hint="eastAsia" w:ascii="Times New Roman" w:hAnsi="Times New Roman" w:cs="Times New Roman"/>
          <w:color w:val="auto"/>
          <w:kern w:val="0"/>
          <w:sz w:val="24"/>
          <w:szCs w:val="24"/>
          <w:lang w:val="en-US" w:eastAsia="zh-CN" w:bidi="ar-SA"/>
        </w:rPr>
        <w:t>m</w:t>
      </w:r>
      <w:r>
        <w:rPr>
          <w:rFonts w:hint="eastAsia" w:ascii="Times New Roman" w:hAnsi="Times New Roman" w:cs="Times New Roman"/>
          <w:color w:val="auto"/>
          <w:kern w:val="0"/>
          <w:sz w:val="24"/>
          <w:szCs w:val="24"/>
          <w:vertAlign w:val="superscript"/>
          <w:lang w:val="en-US" w:eastAsia="zh-CN" w:bidi="ar-SA"/>
        </w:rPr>
        <w:t>2</w:t>
      </w:r>
      <w:r>
        <w:rPr>
          <w:rFonts w:hint="eastAsia" w:ascii="Times New Roman" w:hAnsi="Times New Roman"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劳动定员及工作制度： 本项目劳动定员30人，其中专业人员20人。三班制，每班8小时，年工作365天。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建设后</w:t>
      </w:r>
      <w:r>
        <w:rPr>
          <w:rFonts w:hint="eastAsia" w:ascii="Times New Roman" w:hAnsi="Times New Roman" w:cs="Times New Roman"/>
          <w:color w:val="auto"/>
          <w:kern w:val="0"/>
          <w:sz w:val="24"/>
          <w:szCs w:val="24"/>
          <w:lang w:val="en-US" w:eastAsia="zh-CN" w:bidi="ar-SA"/>
        </w:rPr>
        <w:t>规模：</w:t>
      </w:r>
      <w:r>
        <w:rPr>
          <w:rFonts w:hint="eastAsia" w:cs="Times New Roman"/>
          <w:color w:val="auto"/>
          <w:kern w:val="0"/>
          <w:sz w:val="24"/>
          <w:szCs w:val="24"/>
          <w:lang w:val="en-US" w:eastAsia="zh-CN" w:bidi="ar-SA"/>
        </w:rPr>
        <w:t>项目总占地107亩，项目建设保育舍、育肥舍、连廊、入场用房等，配套职工宿舍、道路、主场室外给排水及电、围墙、料塔基础、机井和水塔等设施。项目建成后，年存档保育猪1855头、育肥猪5500头，</w:t>
      </w:r>
      <w:r>
        <w:rPr>
          <w:rFonts w:hint="eastAsia" w:ascii="Times New Roman" w:hAnsi="Times New Roman" w:cs="Times New Roman"/>
          <w:color w:val="auto"/>
          <w:kern w:val="0"/>
          <w:sz w:val="24"/>
          <w:szCs w:val="24"/>
          <w:lang w:val="en-US" w:eastAsia="zh-CN" w:bidi="ar-SA"/>
        </w:rPr>
        <w:t>年出栏</w:t>
      </w:r>
      <w:r>
        <w:rPr>
          <w:rFonts w:hint="eastAsia" w:cs="Times New Roman"/>
          <w:color w:val="auto"/>
          <w:kern w:val="0"/>
          <w:sz w:val="24"/>
          <w:szCs w:val="24"/>
          <w:lang w:val="en-US" w:eastAsia="zh-CN" w:bidi="ar-SA"/>
        </w:rPr>
        <w:t>商品</w:t>
      </w:r>
      <w:r>
        <w:rPr>
          <w:rFonts w:hint="eastAsia" w:ascii="Times New Roman" w:hAnsi="Times New Roman" w:cs="Times New Roman"/>
          <w:color w:val="auto"/>
          <w:kern w:val="0"/>
          <w:sz w:val="24"/>
          <w:szCs w:val="24"/>
          <w:lang w:val="en-US" w:eastAsia="zh-CN" w:bidi="ar-SA"/>
        </w:rPr>
        <w:t>猪</w:t>
      </w:r>
      <w:r>
        <w:rPr>
          <w:rFonts w:hint="eastAsia" w:cs="Times New Roman"/>
          <w:color w:val="auto"/>
          <w:kern w:val="0"/>
          <w:sz w:val="24"/>
          <w:szCs w:val="24"/>
          <w:lang w:val="en-US" w:eastAsia="zh-CN" w:bidi="ar-SA"/>
        </w:rPr>
        <w:t>18000</w:t>
      </w:r>
      <w:r>
        <w:rPr>
          <w:rFonts w:hint="eastAsia" w:ascii="Times New Roman" w:hAnsi="Times New Roman" w:cs="Times New Roman"/>
          <w:color w:val="auto"/>
          <w:kern w:val="0"/>
          <w:sz w:val="24"/>
          <w:szCs w:val="24"/>
          <w:lang w:val="en-US" w:eastAsia="zh-CN" w:bidi="ar-SA"/>
        </w:rPr>
        <w:t>头。本项目施工期预计为</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个月</w:t>
      </w:r>
      <w:r>
        <w:rPr>
          <w:rFonts w:hint="eastAsia" w:cs="Times New Roman"/>
          <w:color w:val="auto"/>
          <w:kern w:val="0"/>
          <w:sz w:val="24"/>
          <w:szCs w:val="24"/>
          <w:lang w:val="en-US" w:eastAsia="zh-CN" w:bidi="ar-SA"/>
        </w:rPr>
        <w:t>。</w:t>
      </w:r>
    </w:p>
    <w:p>
      <w:pPr>
        <w:pStyle w:val="5"/>
        <w:ind w:firstLine="562"/>
      </w:pPr>
      <w:r>
        <w:rPr>
          <w:rFonts w:hint="eastAsia"/>
          <w:lang w:eastAsia="zh-CN"/>
        </w:rPr>
        <w:t>产品方案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项目建成后，</w:t>
      </w:r>
      <w:r>
        <w:rPr>
          <w:rFonts w:hint="eastAsia" w:cs="Times New Roman"/>
          <w:color w:val="auto"/>
          <w:kern w:val="0"/>
          <w:sz w:val="24"/>
          <w:szCs w:val="24"/>
          <w:lang w:val="en-US" w:eastAsia="zh-CN" w:bidi="ar-SA"/>
        </w:rPr>
        <w:t>从其他猪场外购</w:t>
      </w:r>
      <w:r>
        <w:rPr>
          <w:rFonts w:hint="eastAsia" w:ascii="Times New Roman" w:hAnsi="Times New Roman" w:cs="Times New Roman"/>
          <w:color w:val="auto"/>
          <w:kern w:val="0"/>
          <w:sz w:val="24"/>
          <w:szCs w:val="24"/>
          <w:lang w:val="en-US" w:eastAsia="zh-CN" w:bidi="ar-SA"/>
        </w:rPr>
        <w:t>断奶仔猪进行饲养，年出栏</w:t>
      </w:r>
      <w:r>
        <w:rPr>
          <w:rFonts w:hint="eastAsia" w:cs="Times New Roman"/>
          <w:color w:val="auto"/>
          <w:kern w:val="0"/>
          <w:sz w:val="24"/>
          <w:szCs w:val="24"/>
          <w:lang w:val="en-US" w:eastAsia="zh-CN" w:bidi="ar-SA"/>
        </w:rPr>
        <w:t>商品猪18000</w:t>
      </w:r>
      <w:r>
        <w:rPr>
          <w:rFonts w:hint="eastAsia" w:ascii="Times New Roman" w:hAnsi="Times New Roman" w:cs="Times New Roman"/>
          <w:color w:val="auto"/>
          <w:kern w:val="0"/>
          <w:sz w:val="24"/>
          <w:szCs w:val="24"/>
          <w:lang w:val="en-US" w:eastAsia="zh-CN" w:bidi="ar-SA"/>
        </w:rPr>
        <w:t>头的保育育肥猪场</w:t>
      </w:r>
      <w:r>
        <w:rPr>
          <w:rFonts w:hint="eastAsia"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sz w:val="24"/>
        </w:rPr>
        <w:t>根据《中国养猪大成》中提供的规模化养殖场常年出栏量的计算方法计算，本项目保育</w:t>
      </w:r>
      <w:r>
        <w:rPr>
          <w:rFonts w:hint="eastAsia" w:cs="Times New Roman"/>
          <w:color w:val="auto"/>
          <w:kern w:val="0"/>
          <w:sz w:val="24"/>
          <w:szCs w:val="24"/>
          <w:lang w:val="en-US" w:eastAsia="zh-CN" w:bidi="ar-SA"/>
        </w:rPr>
        <w:t>期</w:t>
      </w:r>
      <w:r>
        <w:rPr>
          <w:rFonts w:hint="eastAsia"/>
          <w:sz w:val="24"/>
        </w:rPr>
        <w:t>存活率取0.95，育肥</w:t>
      </w:r>
      <w:r>
        <w:rPr>
          <w:rFonts w:hint="eastAsia" w:cs="Times New Roman"/>
          <w:color w:val="auto"/>
          <w:kern w:val="0"/>
          <w:sz w:val="24"/>
          <w:szCs w:val="24"/>
          <w:lang w:val="en-US" w:eastAsia="zh-CN" w:bidi="ar-SA"/>
        </w:rPr>
        <w:t>期</w:t>
      </w:r>
      <w:r>
        <w:rPr>
          <w:rFonts w:hint="eastAsia"/>
          <w:sz w:val="24"/>
        </w:rPr>
        <w:t>存活率取0.98</w:t>
      </w:r>
      <w:r>
        <w:rPr>
          <w:rFonts w:hint="eastAsia"/>
          <w:sz w:val="24"/>
          <w:lang w:eastAsia="zh-CN"/>
        </w:rPr>
        <w:t>，</w:t>
      </w:r>
      <w:r>
        <w:rPr>
          <w:rFonts w:hint="eastAsia"/>
          <w:sz w:val="24"/>
        </w:rPr>
        <w:t>保育天数</w:t>
      </w:r>
      <w:r>
        <w:rPr>
          <w:rFonts w:hint="eastAsia"/>
          <w:sz w:val="24"/>
          <w:lang w:val="en-US" w:eastAsia="zh-CN"/>
        </w:rPr>
        <w:t>35天，育肥天数110天。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育肥猪日饲养量＝年出栏育肥猪数÷育肥期存活率÷365</w:t>
      </w:r>
      <w:r>
        <w:rPr>
          <w:rFonts w:hint="eastAsia"/>
          <w:sz w:val="24"/>
        </w:rPr>
        <w:t>≈</w:t>
      </w:r>
      <w:r>
        <w:rPr>
          <w:rFonts w:hint="eastAsia" w:cs="Times New Roman"/>
          <w:color w:val="auto"/>
          <w:kern w:val="0"/>
          <w:sz w:val="24"/>
          <w:szCs w:val="24"/>
          <w:lang w:val="en-US" w:eastAsia="zh-CN" w:bidi="ar-SA"/>
        </w:rPr>
        <w:t>50头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育肥猪存栏量＝育肥猪日饲养量×育肥猪饲养天数=5500头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保育猪日饲养量＝育肥猪日饲养量÷保育期存活率</w:t>
      </w:r>
      <w:r>
        <w:rPr>
          <w:rFonts w:hint="eastAsia"/>
          <w:sz w:val="24"/>
        </w:rPr>
        <w:t>≈</w:t>
      </w:r>
      <w:r>
        <w:rPr>
          <w:rFonts w:hint="eastAsia"/>
          <w:sz w:val="24"/>
          <w:lang w:val="en-US" w:eastAsia="zh-CN"/>
        </w:rPr>
        <w:t>53</w:t>
      </w:r>
      <w:r>
        <w:rPr>
          <w:rFonts w:hint="eastAsia" w:cs="Times New Roman"/>
          <w:color w:val="auto"/>
          <w:kern w:val="0"/>
          <w:sz w:val="24"/>
          <w:szCs w:val="24"/>
          <w:lang w:val="en-US" w:eastAsia="zh-CN" w:bidi="ar-SA"/>
        </w:rPr>
        <w:t>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保育猪存栏量＝保育猪日饲养量×保育猪饲养天数=1855头</w:t>
      </w:r>
    </w:p>
    <w:p>
      <w:pPr>
        <w:pStyle w:val="5"/>
        <w:ind w:firstLine="562"/>
      </w:pPr>
      <w:r>
        <w:rPr>
          <w:rFonts w:hint="eastAsia"/>
          <w:lang w:eastAsia="zh-CN"/>
        </w:rPr>
        <w:t>项目组成及建设内容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项目主要建设保育舍、育肥舍、连廊、入场用房及入舍用房，配套建设职工宿舍、道路、猪场室外给排水及电、围墙、料塔基础、机井和水塔等设施，项目组成及建设内容详见表</w:t>
      </w:r>
      <w:r>
        <w:rPr>
          <w:rFonts w:hint="eastAsia" w:cs="Times New Roman"/>
          <w:color w:val="auto"/>
          <w:kern w:val="0"/>
          <w:sz w:val="24"/>
          <w:szCs w:val="24"/>
          <w:lang w:val="en-US" w:eastAsia="zh-CN" w:bidi="ar-SA"/>
        </w:rPr>
        <w:t>3</w:t>
      </w:r>
      <w:r>
        <w:rPr>
          <w:rFonts w:hint="eastAsia" w:ascii="Times New Roman" w:hAnsi="Times New Roman" w:cs="Times New Roman"/>
          <w:color w:val="auto"/>
          <w:kern w:val="0"/>
          <w:sz w:val="24"/>
          <w:szCs w:val="24"/>
          <w:lang w:val="en-US" w:eastAsia="zh-CN" w:bidi="ar-SA"/>
        </w:rPr>
        <w:t>.1-1。</w:t>
      </w:r>
    </w:p>
    <w:p>
      <w:pPr>
        <w:pStyle w:val="129"/>
        <w:spacing w:before="0" w:beforeLines="0"/>
        <w:ind w:firstLine="0"/>
        <w:rPr>
          <w:rFonts w:hint="eastAsia"/>
          <w:b/>
          <w:bCs/>
          <w:color w:val="auto"/>
          <w:sz w:val="21"/>
          <w:szCs w:val="21"/>
        </w:rPr>
      </w:pPr>
      <w:r>
        <w:rPr>
          <w:b/>
          <w:bCs/>
          <w:color w:val="auto"/>
          <w:sz w:val="21"/>
          <w:szCs w:val="21"/>
        </w:rPr>
        <w:t>表</w:t>
      </w:r>
      <w:r>
        <w:rPr>
          <w:rFonts w:hint="eastAsia"/>
          <w:b/>
          <w:bCs/>
          <w:color w:val="auto"/>
          <w:sz w:val="21"/>
          <w:szCs w:val="21"/>
          <w:lang w:val="en-US" w:eastAsia="zh-CN"/>
        </w:rPr>
        <w:t>3</w:t>
      </w:r>
      <w:r>
        <w:rPr>
          <w:b/>
          <w:bCs/>
          <w:color w:val="auto"/>
          <w:sz w:val="21"/>
          <w:szCs w:val="21"/>
        </w:rPr>
        <w:t>.</w:t>
      </w:r>
      <w:r>
        <w:rPr>
          <w:rFonts w:hint="eastAsia"/>
          <w:b/>
          <w:bCs/>
          <w:color w:val="auto"/>
          <w:sz w:val="21"/>
          <w:szCs w:val="21"/>
          <w:lang w:val="en-US" w:eastAsia="zh-CN"/>
        </w:rPr>
        <w:t>1</w:t>
      </w:r>
      <w:r>
        <w:rPr>
          <w:rFonts w:hint="eastAsia"/>
          <w:b/>
          <w:bCs/>
          <w:color w:val="auto"/>
          <w:sz w:val="21"/>
          <w:szCs w:val="21"/>
        </w:rPr>
        <w:t>-1</w:t>
      </w:r>
      <w:r>
        <w:rPr>
          <w:b/>
          <w:bCs/>
          <w:color w:val="auto"/>
          <w:sz w:val="21"/>
          <w:szCs w:val="21"/>
        </w:rPr>
        <w:t xml:space="preserve"> </w:t>
      </w:r>
      <w:r>
        <w:rPr>
          <w:rFonts w:hint="eastAsia"/>
          <w:b/>
          <w:bCs/>
          <w:color w:val="auto"/>
          <w:sz w:val="21"/>
          <w:szCs w:val="21"/>
        </w:rPr>
        <w:t>拟建工程</w:t>
      </w:r>
      <w:r>
        <w:rPr>
          <w:b/>
          <w:bCs/>
          <w:color w:val="auto"/>
          <w:sz w:val="21"/>
          <w:szCs w:val="21"/>
        </w:rPr>
        <w:t>主要</w:t>
      </w:r>
      <w:r>
        <w:rPr>
          <w:rFonts w:hint="eastAsia"/>
          <w:b/>
          <w:bCs/>
          <w:color w:val="auto"/>
          <w:sz w:val="21"/>
          <w:szCs w:val="21"/>
        </w:rPr>
        <w:t>建设表</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847"/>
        <w:gridCol w:w="1202"/>
        <w:gridCol w:w="63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5" w:hRule="atLeast"/>
          <w:tblHeader/>
          <w:jc w:val="center"/>
        </w:trPr>
        <w:tc>
          <w:tcPr>
            <w:tcW w:w="1217" w:type="pct"/>
            <w:gridSpan w:val="2"/>
            <w:tcBorders>
              <w:bottom w:val="single" w:color="auto" w:sz="12" w:space="0"/>
            </w:tcBorders>
            <w:noWrap w:val="0"/>
            <w:vAlign w:val="center"/>
          </w:tcPr>
          <w:p>
            <w:pPr>
              <w:jc w:val="center"/>
              <w:rPr>
                <w:color w:val="auto"/>
                <w:szCs w:val="21"/>
              </w:rPr>
            </w:pPr>
            <w:r>
              <w:rPr>
                <w:color w:val="auto"/>
                <w:szCs w:val="21"/>
              </w:rPr>
              <w:t>工程名称</w:t>
            </w:r>
          </w:p>
        </w:tc>
        <w:tc>
          <w:tcPr>
            <w:tcW w:w="3782" w:type="pct"/>
            <w:tcBorders>
              <w:bottom w:val="single" w:color="auto" w:sz="12" w:space="0"/>
            </w:tcBorders>
            <w:noWrap w:val="0"/>
            <w:vAlign w:val="center"/>
          </w:tcPr>
          <w:p>
            <w:pPr>
              <w:jc w:val="center"/>
              <w:rPr>
                <w:color w:val="auto"/>
                <w:szCs w:val="21"/>
              </w:rPr>
            </w:pPr>
            <w:r>
              <w:rPr>
                <w:rFonts w:hint="eastAsia"/>
                <w:color w:val="auto"/>
                <w:szCs w:val="21"/>
              </w:rPr>
              <w:t>计划</w:t>
            </w:r>
            <w:r>
              <w:rPr>
                <w:color w:val="auto"/>
                <w:szCs w:val="21"/>
              </w:rPr>
              <w:t>建设内容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主体</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color w:val="auto"/>
                <w:szCs w:val="21"/>
              </w:rPr>
              <w:t>保育舍</w:t>
            </w:r>
          </w:p>
        </w:tc>
        <w:tc>
          <w:tcPr>
            <w:tcW w:w="3782" w:type="pct"/>
            <w:noWrap w:val="0"/>
            <w:vAlign w:val="center"/>
          </w:tcPr>
          <w:p>
            <w:pPr>
              <w:jc w:val="center"/>
              <w:rPr>
                <w:rFonts w:hint="eastAsia"/>
                <w:color w:val="auto"/>
                <w:szCs w:val="21"/>
              </w:rPr>
            </w:pPr>
            <w:r>
              <w:rPr>
                <w:rFonts w:hint="eastAsia"/>
                <w:color w:val="auto"/>
                <w:szCs w:val="21"/>
                <w:lang w:val="en-US" w:eastAsia="zh-CN"/>
              </w:rPr>
              <w:t>4</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615</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2460</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continue"/>
            <w:noWrap w:val="0"/>
            <w:vAlign w:val="center"/>
          </w:tcPr>
          <w:p>
            <w:pPr>
              <w:jc w:val="center"/>
              <w:rPr>
                <w:rFonts w:hint="eastAsia"/>
                <w:color w:val="auto"/>
                <w:szCs w:val="21"/>
              </w:rPr>
            </w:pPr>
          </w:p>
        </w:tc>
        <w:tc>
          <w:tcPr>
            <w:tcW w:w="714" w:type="pct"/>
            <w:noWrap w:val="0"/>
            <w:vAlign w:val="center"/>
          </w:tcPr>
          <w:p>
            <w:pPr>
              <w:jc w:val="center"/>
              <w:rPr>
                <w:color w:val="auto"/>
                <w:szCs w:val="21"/>
              </w:rPr>
            </w:pPr>
            <w:r>
              <w:rPr>
                <w:color w:val="auto"/>
                <w:szCs w:val="21"/>
              </w:rPr>
              <w:t>育肥舍</w:t>
            </w:r>
          </w:p>
        </w:tc>
        <w:tc>
          <w:tcPr>
            <w:tcW w:w="3782" w:type="pct"/>
            <w:noWrap w:val="0"/>
            <w:vAlign w:val="center"/>
          </w:tcPr>
          <w:p>
            <w:pPr>
              <w:jc w:val="center"/>
              <w:rPr>
                <w:rFonts w:hint="eastAsia"/>
                <w:color w:val="auto"/>
                <w:szCs w:val="21"/>
                <w:lang w:val="en-US" w:eastAsia="zh-CN"/>
              </w:rPr>
            </w:pPr>
            <w:r>
              <w:rPr>
                <w:rFonts w:hint="eastAsia"/>
                <w:color w:val="auto"/>
                <w:szCs w:val="21"/>
                <w:lang w:val="en-US" w:eastAsia="zh-CN"/>
              </w:rPr>
              <w:t>8</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1082.4</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8659.2</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503" w:type="pct"/>
            <w:noWrap w:val="0"/>
            <w:vAlign w:val="center"/>
          </w:tcPr>
          <w:p>
            <w:pPr>
              <w:jc w:val="center"/>
              <w:rPr>
                <w:rFonts w:hint="eastAsia"/>
                <w:color w:val="auto"/>
                <w:szCs w:val="21"/>
              </w:rPr>
            </w:pPr>
            <w:r>
              <w:rPr>
                <w:rFonts w:hint="eastAsia"/>
                <w:color w:val="auto"/>
                <w:szCs w:val="21"/>
              </w:rPr>
              <w:t>辅助</w:t>
            </w:r>
          </w:p>
          <w:p>
            <w:pPr>
              <w:jc w:val="center"/>
              <w:rPr>
                <w:rFonts w:hint="eastAsia"/>
                <w:color w:val="auto"/>
                <w:szCs w:val="21"/>
              </w:rPr>
            </w:pPr>
            <w:r>
              <w:rPr>
                <w:rFonts w:hint="eastAsia"/>
                <w:color w:val="auto"/>
                <w:szCs w:val="21"/>
              </w:rPr>
              <w:t>工程</w:t>
            </w:r>
          </w:p>
        </w:tc>
        <w:tc>
          <w:tcPr>
            <w:tcW w:w="4496" w:type="pct"/>
            <w:gridSpan w:val="2"/>
            <w:noWrap w:val="0"/>
            <w:vAlign w:val="center"/>
          </w:tcPr>
          <w:p>
            <w:pPr>
              <w:jc w:val="center"/>
              <w:rPr>
                <w:rFonts w:hint="eastAsia" w:eastAsia="宋体"/>
                <w:color w:val="auto"/>
                <w:szCs w:val="21"/>
                <w:lang w:eastAsia="zh-CN"/>
              </w:rPr>
            </w:pPr>
            <w:r>
              <w:rPr>
                <w:rFonts w:hint="eastAsia"/>
                <w:color w:val="auto"/>
                <w:szCs w:val="21"/>
              </w:rPr>
              <w:t>门卫及</w:t>
            </w:r>
            <w:r>
              <w:rPr>
                <w:color w:val="auto"/>
                <w:szCs w:val="21"/>
              </w:rPr>
              <w:t>消毒室、</w:t>
            </w:r>
            <w:r>
              <w:rPr>
                <w:rFonts w:hint="eastAsia"/>
                <w:color w:val="auto"/>
                <w:szCs w:val="21"/>
              </w:rPr>
              <w:t>进猪台和</w:t>
            </w:r>
            <w:r>
              <w:rPr>
                <w:color w:val="auto"/>
                <w:szCs w:val="21"/>
              </w:rPr>
              <w:t>出猪台</w:t>
            </w:r>
            <w:r>
              <w:rPr>
                <w:rFonts w:hint="eastAsia"/>
                <w:color w:val="auto"/>
                <w:szCs w:val="21"/>
              </w:rPr>
              <w:t>、赶猪通道、饲料仓库、杂物房、食堂、职工宿舍、办公室</w:t>
            </w:r>
            <w:r>
              <w:rPr>
                <w:rFonts w:hint="eastAsia"/>
                <w:color w:val="auto"/>
                <w:szCs w:val="21"/>
                <w:lang w:eastAsia="zh-CN"/>
              </w:rPr>
              <w:t>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公用</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给水设施</w:t>
            </w:r>
          </w:p>
        </w:tc>
        <w:tc>
          <w:tcPr>
            <w:tcW w:w="3782" w:type="pct"/>
            <w:noWrap w:val="0"/>
            <w:vAlign w:val="center"/>
          </w:tcPr>
          <w:p>
            <w:pPr>
              <w:jc w:val="center"/>
              <w:rPr>
                <w:rFonts w:hint="eastAsia"/>
                <w:color w:val="auto"/>
                <w:szCs w:val="21"/>
              </w:rPr>
            </w:pPr>
            <w:r>
              <w:rPr>
                <w:rFonts w:hint="eastAsia"/>
                <w:color w:val="auto"/>
                <w:szCs w:val="21"/>
              </w:rPr>
              <w:t>采用地下水和自来水相结合，设蓄水池一座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排水设施</w:t>
            </w:r>
          </w:p>
        </w:tc>
        <w:tc>
          <w:tcPr>
            <w:tcW w:w="3782" w:type="pct"/>
            <w:noWrap w:val="0"/>
            <w:vAlign w:val="center"/>
          </w:tcPr>
          <w:p>
            <w:pPr>
              <w:jc w:val="center"/>
              <w:rPr>
                <w:rFonts w:hint="eastAsia" w:eastAsia="宋体"/>
                <w:color w:val="auto"/>
                <w:szCs w:val="21"/>
                <w:lang w:eastAsia="zh-CN"/>
              </w:rPr>
            </w:pPr>
            <w:r>
              <w:rPr>
                <w:rFonts w:hint="eastAsia"/>
                <w:color w:val="auto"/>
                <w:szCs w:val="21"/>
              </w:rPr>
              <w:t>清污分流，</w:t>
            </w:r>
            <w:r>
              <w:rPr>
                <w:rFonts w:hint="eastAsia"/>
                <w:color w:val="auto"/>
                <w:szCs w:val="21"/>
                <w:lang w:eastAsia="zh-CN"/>
              </w:rPr>
              <w:t>生活废水经地埋式一体化处理后</w:t>
            </w:r>
            <w:r>
              <w:rPr>
                <w:rFonts w:hint="eastAsia"/>
                <w:color w:val="auto"/>
                <w:kern w:val="44"/>
                <w:szCs w:val="21"/>
                <w:lang w:eastAsia="zh-CN"/>
              </w:rPr>
              <w:t>用于农田及林业的灌溉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采暖通风</w:t>
            </w:r>
          </w:p>
        </w:tc>
        <w:tc>
          <w:tcPr>
            <w:tcW w:w="3782" w:type="pct"/>
            <w:noWrap w:val="0"/>
            <w:vAlign w:val="center"/>
          </w:tcPr>
          <w:p>
            <w:pPr>
              <w:jc w:val="center"/>
              <w:rPr>
                <w:rFonts w:hint="eastAsia"/>
                <w:color w:val="auto"/>
                <w:szCs w:val="21"/>
              </w:rPr>
            </w:pPr>
            <w:r>
              <w:rPr>
                <w:rFonts w:hint="eastAsia"/>
                <w:color w:val="auto"/>
                <w:szCs w:val="21"/>
              </w:rPr>
              <w:t>猪舍采取自然通风和机械通风相结合的方式换气排除异味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降温设施</w:t>
            </w:r>
          </w:p>
        </w:tc>
        <w:tc>
          <w:tcPr>
            <w:tcW w:w="3782" w:type="pct"/>
            <w:noWrap w:val="0"/>
            <w:vAlign w:val="center"/>
          </w:tcPr>
          <w:p>
            <w:pPr>
              <w:jc w:val="center"/>
              <w:rPr>
                <w:rFonts w:hint="eastAsia"/>
                <w:color w:val="auto"/>
                <w:szCs w:val="21"/>
              </w:rPr>
            </w:pPr>
            <w:r>
              <w:rPr>
                <w:rFonts w:hint="eastAsia"/>
                <w:color w:val="auto"/>
                <w:szCs w:val="21"/>
              </w:rPr>
              <w:t>猪舍采取水帘降温设施（仅夏季使用）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供电设施</w:t>
            </w:r>
          </w:p>
        </w:tc>
        <w:tc>
          <w:tcPr>
            <w:tcW w:w="3782" w:type="pct"/>
            <w:noWrap w:val="0"/>
            <w:vAlign w:val="center"/>
          </w:tcPr>
          <w:p>
            <w:pPr>
              <w:jc w:val="center"/>
              <w:rPr>
                <w:rFonts w:hint="eastAsia"/>
                <w:color w:val="auto"/>
                <w:szCs w:val="21"/>
              </w:rPr>
            </w:pPr>
            <w:r>
              <w:rPr>
                <w:rFonts w:hint="eastAsia"/>
                <w:color w:val="auto"/>
                <w:szCs w:val="21"/>
              </w:rPr>
              <w:t>电网输送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1"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环保</w:t>
            </w:r>
          </w:p>
          <w:p>
            <w:pPr>
              <w:jc w:val="center"/>
              <w:rPr>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废水处理</w:t>
            </w:r>
          </w:p>
        </w:tc>
        <w:tc>
          <w:tcPr>
            <w:tcW w:w="3782" w:type="pct"/>
            <w:noWrap w:val="0"/>
            <w:vAlign w:val="center"/>
          </w:tcPr>
          <w:p>
            <w:pPr>
              <w:jc w:val="center"/>
              <w:rPr>
                <w:rFonts w:hint="eastAsia"/>
                <w:color w:val="auto"/>
                <w:szCs w:val="21"/>
              </w:rPr>
            </w:pPr>
            <w:r>
              <w:rPr>
                <w:rFonts w:hint="eastAsia"/>
                <w:color w:val="auto"/>
                <w:kern w:val="44"/>
                <w:szCs w:val="21"/>
                <w:lang w:eastAsia="zh-CN"/>
              </w:rPr>
              <w:t>生活污水</w:t>
            </w:r>
            <w:r>
              <w:rPr>
                <w:rFonts w:hint="eastAsia"/>
                <w:color w:val="auto"/>
                <w:kern w:val="44"/>
                <w:szCs w:val="21"/>
                <w:lang w:val="en-US" w:eastAsia="zh-CN"/>
              </w:rPr>
              <w:t>及冲洗废水</w:t>
            </w:r>
            <w:r>
              <w:rPr>
                <w:rFonts w:hint="eastAsia"/>
                <w:color w:val="auto"/>
                <w:kern w:val="44"/>
                <w:szCs w:val="21"/>
                <w:lang w:eastAsia="zh-CN"/>
              </w:rPr>
              <w:t>经地埋式一体化处理后用于农田及林业的灌溉，</w:t>
            </w:r>
            <w:r>
              <w:rPr>
                <w:rFonts w:hint="eastAsia"/>
                <w:color w:val="auto"/>
                <w:szCs w:val="21"/>
                <w:lang w:eastAsia="zh-CN"/>
              </w:rPr>
              <w:t>猪尿与猪粪便一起经</w:t>
            </w:r>
            <w:r>
              <w:rPr>
                <w:rFonts w:hint="eastAsia"/>
                <w:color w:val="auto"/>
                <w:szCs w:val="21"/>
                <w:lang w:val="en-US" w:eastAsia="zh-CN"/>
              </w:rPr>
              <w:t>异位发酵床</w:t>
            </w:r>
            <w:r>
              <w:rPr>
                <w:rFonts w:hint="eastAsia"/>
                <w:color w:val="auto"/>
                <w:szCs w:val="21"/>
                <w:lang w:eastAsia="zh-CN"/>
              </w:rPr>
              <w:t>处理制成有机肥料外售</w:t>
            </w:r>
            <w:r>
              <w:rPr>
                <w:rFonts w:hint="eastAsia"/>
                <w:color w:val="auto"/>
                <w:kern w:val="44"/>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auto"/>
                <w:szCs w:val="21"/>
              </w:rPr>
            </w:pPr>
          </w:p>
        </w:tc>
        <w:tc>
          <w:tcPr>
            <w:tcW w:w="714" w:type="pct"/>
            <w:vMerge w:val="restart"/>
            <w:noWrap w:val="0"/>
            <w:vAlign w:val="center"/>
          </w:tcPr>
          <w:p>
            <w:pPr>
              <w:jc w:val="center"/>
              <w:rPr>
                <w:rFonts w:hint="eastAsia"/>
                <w:color w:val="auto"/>
                <w:szCs w:val="21"/>
              </w:rPr>
            </w:pPr>
            <w:r>
              <w:rPr>
                <w:rFonts w:hint="eastAsia"/>
                <w:color w:val="auto"/>
                <w:szCs w:val="21"/>
              </w:rPr>
              <w:t>废气处理</w:t>
            </w:r>
          </w:p>
        </w:tc>
        <w:tc>
          <w:tcPr>
            <w:tcW w:w="3782" w:type="pct"/>
            <w:noWrap w:val="0"/>
            <w:vAlign w:val="center"/>
          </w:tcPr>
          <w:p>
            <w:pPr>
              <w:jc w:val="center"/>
              <w:rPr>
                <w:rFonts w:hint="eastAsia" w:eastAsia="宋体"/>
                <w:color w:val="auto"/>
                <w:szCs w:val="21"/>
                <w:lang w:eastAsia="zh-CN"/>
              </w:rPr>
            </w:pPr>
            <w:r>
              <w:rPr>
                <w:rFonts w:hint="eastAsia"/>
                <w:color w:val="auto"/>
                <w:szCs w:val="21"/>
                <w:lang w:eastAsia="zh-CN"/>
              </w:rPr>
              <w:t>污水处理设施喷洒除臭剂，无组织排放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64" w:hRule="atLeast"/>
          <w:jc w:val="center"/>
        </w:trPr>
        <w:tc>
          <w:tcPr>
            <w:tcW w:w="503" w:type="pct"/>
            <w:vMerge w:val="continue"/>
            <w:noWrap w:val="0"/>
            <w:vAlign w:val="center"/>
          </w:tcPr>
          <w:p>
            <w:pPr>
              <w:jc w:val="center"/>
              <w:rPr>
                <w:rFonts w:hint="eastAsia"/>
                <w:color w:val="auto"/>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rPr>
              <w:t>猪舍加强通风、饲料中添加抑臭菌、及时清理；堆粪场喷洒除臭菌、稻草遮盖；</w:t>
            </w:r>
            <w:r>
              <w:rPr>
                <w:rFonts w:hint="eastAsia"/>
                <w:color w:val="auto"/>
                <w:szCs w:val="21"/>
                <w:lang w:eastAsia="zh-CN"/>
              </w:rPr>
              <w:t>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lang w:val="en-US" w:eastAsia="zh-CN"/>
              </w:rPr>
              <w:t>异位发酵床</w:t>
            </w:r>
            <w:r>
              <w:rPr>
                <w:rFonts w:hint="eastAsia"/>
                <w:color w:val="auto"/>
                <w:szCs w:val="21"/>
                <w:lang w:eastAsia="zh-CN"/>
              </w:rPr>
              <w:t>设置负压抽风，抽风出口处喷砂除臭剂，无组织排放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default"/>
                <w:color w:val="auto"/>
                <w:szCs w:val="21"/>
                <w:lang w:val="en-US" w:eastAsia="zh-CN"/>
              </w:rPr>
            </w:pPr>
            <w:r>
              <w:rPr>
                <w:rFonts w:hint="eastAsia"/>
                <w:color w:val="auto"/>
                <w:szCs w:val="21"/>
                <w:lang w:eastAsia="zh-CN"/>
              </w:rPr>
              <w:t>高效油烟净化装置处理后通过烟道至房顶排放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0000FF"/>
                <w:szCs w:val="21"/>
              </w:rPr>
            </w:pPr>
          </w:p>
        </w:tc>
        <w:tc>
          <w:tcPr>
            <w:tcW w:w="714" w:type="pct"/>
            <w:noWrap w:val="0"/>
            <w:vAlign w:val="center"/>
          </w:tcPr>
          <w:p>
            <w:pPr>
              <w:jc w:val="center"/>
              <w:rPr>
                <w:rFonts w:hint="eastAsia"/>
                <w:color w:val="auto"/>
                <w:szCs w:val="21"/>
              </w:rPr>
            </w:pPr>
            <w:r>
              <w:rPr>
                <w:rFonts w:hint="eastAsia"/>
                <w:color w:val="auto"/>
                <w:szCs w:val="21"/>
              </w:rPr>
              <w:t>噪声治理</w:t>
            </w:r>
          </w:p>
        </w:tc>
        <w:tc>
          <w:tcPr>
            <w:tcW w:w="3782" w:type="pct"/>
            <w:noWrap w:val="0"/>
            <w:vAlign w:val="center"/>
          </w:tcPr>
          <w:p>
            <w:pPr>
              <w:jc w:val="center"/>
              <w:rPr>
                <w:rFonts w:hint="eastAsia"/>
                <w:color w:val="auto"/>
                <w:szCs w:val="21"/>
              </w:rPr>
            </w:pPr>
            <w:r>
              <w:rPr>
                <w:rFonts w:hint="eastAsia"/>
                <w:color w:val="auto"/>
                <w:szCs w:val="21"/>
              </w:rPr>
              <w:t>厂房隔音、基座减震、消音器、软连接等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24" w:hRule="atLeast"/>
          <w:jc w:val="center"/>
        </w:trPr>
        <w:tc>
          <w:tcPr>
            <w:tcW w:w="503" w:type="pct"/>
            <w:vMerge w:val="continue"/>
            <w:noWrap w:val="0"/>
            <w:vAlign w:val="center"/>
          </w:tcPr>
          <w:p>
            <w:pPr>
              <w:jc w:val="center"/>
              <w:rPr>
                <w:color w:val="0000FF"/>
              </w:rPr>
            </w:pPr>
          </w:p>
        </w:tc>
        <w:tc>
          <w:tcPr>
            <w:tcW w:w="714" w:type="pct"/>
            <w:vMerge w:val="restart"/>
            <w:noWrap w:val="0"/>
            <w:vAlign w:val="center"/>
          </w:tcPr>
          <w:p>
            <w:pPr>
              <w:jc w:val="center"/>
              <w:rPr>
                <w:rFonts w:hint="eastAsia"/>
                <w:color w:val="auto"/>
              </w:rPr>
            </w:pPr>
            <w:r>
              <w:rPr>
                <w:rFonts w:hint="eastAsia"/>
                <w:color w:val="auto"/>
              </w:rPr>
              <w:t>固废处置</w:t>
            </w:r>
          </w:p>
        </w:tc>
        <w:tc>
          <w:tcPr>
            <w:tcW w:w="3782" w:type="pct"/>
            <w:noWrap w:val="0"/>
            <w:vAlign w:val="center"/>
          </w:tcPr>
          <w:p>
            <w:pPr>
              <w:jc w:val="center"/>
              <w:rPr>
                <w:rFonts w:hint="eastAsia"/>
                <w:color w:val="auto"/>
                <w:szCs w:val="21"/>
              </w:rPr>
            </w:pPr>
            <w:r>
              <w:rPr>
                <w:rFonts w:hint="eastAsia"/>
                <w:color w:val="auto"/>
                <w:szCs w:val="21"/>
                <w:lang w:eastAsia="zh-CN"/>
              </w:rPr>
              <w:t>尿与猪粪便一起经异位发酵床处理制成有机肥料外售；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94"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default" w:eastAsia="宋体"/>
                <w:color w:val="auto"/>
                <w:szCs w:val="21"/>
                <w:lang w:val="en-US" w:eastAsia="zh-CN"/>
              </w:rPr>
            </w:pPr>
            <w:r>
              <w:rPr>
                <w:rFonts w:hint="eastAsia"/>
                <w:color w:val="auto"/>
                <w:szCs w:val="21"/>
                <w:lang w:eastAsia="zh-CN"/>
              </w:rPr>
              <w:t>配套病死猪无害化处理设施</w:t>
            </w:r>
            <w:r>
              <w:rPr>
                <w:rFonts w:hint="eastAsia"/>
                <w:color w:val="auto"/>
                <w:szCs w:val="21"/>
                <w:lang w:val="en-US" w:eastAsia="zh-CN"/>
              </w:rPr>
              <w:t>1套（化制间），用于处理病死猪</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9"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eastAsia"/>
                <w:color w:val="auto"/>
                <w:szCs w:val="21"/>
                <w:lang w:eastAsia="zh-CN"/>
              </w:rPr>
            </w:pPr>
            <w:r>
              <w:rPr>
                <w:rFonts w:hint="eastAsia"/>
                <w:bCs/>
                <w:color w:val="auto"/>
                <w:szCs w:val="21"/>
              </w:rPr>
              <w:t>医疗防疫废物暂存于场内危废暂存间</w:t>
            </w:r>
            <w:r>
              <w:rPr>
                <w:rFonts w:hint="eastAsia"/>
                <w:color w:val="auto"/>
                <w:szCs w:val="21"/>
              </w:rPr>
              <w:t>，</w:t>
            </w:r>
            <w:r>
              <w:rPr>
                <w:rFonts w:hint="eastAsia"/>
                <w:color w:val="auto"/>
                <w:szCs w:val="21"/>
                <w:lang w:eastAsia="zh-CN"/>
              </w:rPr>
              <w:t>定期交有资质的单位处理</w:t>
            </w:r>
            <w:r>
              <w:rPr>
                <w:rFonts w:hint="eastAsia"/>
                <w:color w:val="auto"/>
                <w:szCs w:val="21"/>
              </w:rPr>
              <w:t>。</w:t>
            </w:r>
          </w:p>
        </w:tc>
      </w:tr>
    </w:tbl>
    <w:p>
      <w:pPr>
        <w:pStyle w:val="5"/>
        <w:ind w:firstLine="562"/>
      </w:pPr>
      <w:r>
        <w:rPr>
          <w:rFonts w:hint="eastAsia"/>
          <w:lang w:eastAsia="zh-CN"/>
        </w:rPr>
        <w:t>项目主要原辅料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kern w:val="0"/>
          <w:sz w:val="24"/>
          <w:szCs w:val="24"/>
          <w:lang w:val="en-US" w:eastAsia="zh-CN" w:bidi="ar-SA"/>
        </w:rPr>
        <w:t>项目所使用的饲料均为外购成品，猪场内不设置饲料加工厂。项目主要饲料消耗参数及消耗量见表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.1-</w:t>
      </w: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bCs/>
          <w:kern w:val="0"/>
          <w:sz w:val="21"/>
          <w:szCs w:val="21"/>
          <w:lang w:val="en-US" w:eastAsia="zh-CN" w:bidi="ar-SA"/>
        </w:rPr>
      </w:pPr>
      <w:r>
        <w:rPr>
          <w:rFonts w:hint="eastAsia" w:cs="Times New Roman"/>
          <w:b/>
          <w:bCs/>
          <w:kern w:val="0"/>
          <w:sz w:val="21"/>
          <w:szCs w:val="21"/>
          <w:lang w:val="en-US" w:eastAsia="zh-CN" w:bidi="ar-SA"/>
        </w:rPr>
        <w:t>表3.1-2   项目主要原辅材料消耗一览表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4375"/>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类型</w:t>
            </w:r>
          </w:p>
        </w:tc>
        <w:tc>
          <w:tcPr>
            <w:tcW w:w="2566"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名称</w:t>
            </w:r>
          </w:p>
        </w:tc>
        <w:tc>
          <w:tcPr>
            <w:tcW w:w="1666"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总用量（t/a）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2566"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1666"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FF0000"/>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6564.16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辅料</w:t>
            </w: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兽药（盐酸林可霉素、恩诺沙星注射液等）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消毒剂（聚维酮碘。戊二醛等）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66"/>
              <w:keepNext w:val="0"/>
              <w:keepLines w:val="0"/>
              <w:pageBreakBefore w:val="0"/>
              <w:widowControl w:val="0"/>
              <w:kinsoku/>
              <w:wordWrap/>
              <w:overflowPunct/>
              <w:topLinePunct w:val="0"/>
              <w:bidi w:val="0"/>
              <w:adjustRightInd/>
              <w:snapToGrid/>
              <w:spacing w:line="240" w:lineRule="auto"/>
              <w:ind w:left="0" w:leftChars="0" w:right="0" w:righ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疫苗（口蹄疫、伪狂犬、猪瘟疫苗等）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default" w:ascii="Times New Roman" w:hAnsi="Times New Roman" w:eastAsia="宋体" w:cs="Times New Roman"/>
                <w:color w:val="auto"/>
                <w:sz w:val="21"/>
                <w:szCs w:val="21"/>
              </w:rPr>
              <w:t>除臭剂</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能源</w:t>
            </w:r>
          </w:p>
        </w:tc>
        <w:tc>
          <w:tcPr>
            <w:tcW w:w="2566"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新鲜水</w:t>
            </w:r>
          </w:p>
        </w:tc>
        <w:tc>
          <w:tcPr>
            <w:tcW w:w="1666"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37256.006</w:t>
            </w:r>
          </w:p>
        </w:tc>
      </w:tr>
    </w:tbl>
    <w:p>
      <w:pPr>
        <w:pStyle w:val="5"/>
        <w:ind w:firstLine="562"/>
        <w:rPr>
          <w:rFonts w:hint="eastAsia"/>
          <w:lang w:eastAsia="zh-CN"/>
        </w:rPr>
      </w:pPr>
      <w:r>
        <w:rPr>
          <w:rFonts w:hint="eastAsia"/>
          <w:lang w:eastAsia="zh-CN"/>
        </w:rPr>
        <w:t>项目主要设备、设施清单</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 xml:space="preserve">项目生产设备主要包括保育栏、育肥栏等猪舍养殖设备以及风机、空气过滤机系统等辅助设备，建设项目主要设备见表3.1-3。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表3.1-3   项目主要设备和数量</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074"/>
        <w:gridCol w:w="2131"/>
        <w:gridCol w:w="2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803"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设备名称</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单位</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803"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保育栏</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育肥栏</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瓜分设备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风机、水帘</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料线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空气过滤</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漏缝地板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2</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饲料车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9</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销售中转车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运粪车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病死猪无害化处理设备（化制）</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猪粪有机肥处理设备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高压洗栏系统</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转猪地磅</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w:t>
            </w:r>
          </w:p>
        </w:tc>
        <w:tc>
          <w:tcPr>
            <w:tcW w:w="1803"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发电机</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w:t>
            </w:r>
          </w:p>
        </w:tc>
      </w:tr>
    </w:tbl>
    <w:p>
      <w:pPr>
        <w:pStyle w:val="5"/>
        <w:ind w:firstLine="562"/>
      </w:pPr>
      <w:r>
        <w:rPr>
          <w:rFonts w:hint="eastAsia"/>
          <w:lang w:eastAsia="zh-CN"/>
        </w:rPr>
        <w:t>厂区总平面布置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的总平布置根据生产、防火、防疫等生产工艺流程要求，符合防疫、环保、消防等国家现行有关规定，结合地形、地貌、气象等自然条件，全面合理地、因地制宜地布置各种生产、生活设施，做到交通联系方便，便于组织生产，生产流程顺畅，并留有发展余地，为生产和生活创造良好的条件，此外，为尽可能避免或减少各生产单位的相互干扰和影响，并尽可能减少人流和物流的交叉，各条生产线之间各自独立，自成一体，以利防疫和避免交叉感染。各栋猪舍之间有密闭的连廊，确保防疫安全。各猪舍之间进行绿化，进一步改善生产环境，提高生产效率。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根据场地特点，猪舍四周用围墙隔开，生产区与办公区分开，净道与污道分开（场内运输道路、工作人员通道、赶猪道路）。外来运猪车辆、运输饲料车辆只能到办公区域，设计有专门的生猪中转站和饲料中转站，防止生产区与外来车辆、人员接触。门口设车辆消毒池，生产区人员要进行更衣淋浴消毒后、物资通过熏蒸后才进行入猪场。采用机械刮粪工艺，把粪便集中到</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处理成有机肥，废水经污水处理站处理达标后用于</w:t>
      </w:r>
      <w:r>
        <w:rPr>
          <w:rFonts w:hint="eastAsia" w:cs="Times New Roman"/>
          <w:color w:val="auto"/>
          <w:kern w:val="0"/>
          <w:sz w:val="24"/>
          <w:szCs w:val="24"/>
          <w:lang w:val="en-US" w:eastAsia="zh-CN" w:bidi="ar-SA"/>
        </w:rPr>
        <w:t>厂区农田及林业灌溉</w:t>
      </w:r>
      <w:r>
        <w:rPr>
          <w:rFonts w:hint="eastAsia" w:ascii="Times New Roman" w:hAnsi="Times New Roman" w:cs="Times New Roman"/>
          <w:color w:val="auto"/>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项目总平面布置图详见附图2。</w:t>
      </w:r>
    </w:p>
    <w:p>
      <w:pPr>
        <w:pStyle w:val="5"/>
        <w:ind w:firstLine="562"/>
        <w:rPr>
          <w:rFonts w:hint="eastAsia"/>
          <w:lang w:eastAsia="zh-CN"/>
        </w:rPr>
      </w:pPr>
      <w:r>
        <w:rPr>
          <w:rFonts w:hint="eastAsia"/>
          <w:lang w:eastAsia="zh-CN"/>
        </w:rPr>
        <w:t>公用工程</w:t>
      </w:r>
    </w:p>
    <w:p>
      <w:pPr>
        <w:pStyle w:val="6"/>
      </w:pPr>
      <w:r>
        <w:rPr>
          <w:rFonts w:hint="eastAsia"/>
          <w:lang w:eastAsia="zh-CN"/>
        </w:rPr>
        <w:t>给水工程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default"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项目用水包括猪只饮水、猪舍冲洗用水、员工生活用水等。项目水源来源于厂区自备水井，可满足项目生产及生活用水需求</w:t>
      </w:r>
      <w:r>
        <w:rPr>
          <w:rFonts w:hint="eastAsia" w:cs="Times New Roman"/>
          <w:kern w:val="0"/>
          <w:sz w:val="24"/>
          <w:szCs w:val="24"/>
          <w:lang w:val="en-US" w:eastAsia="zh-CN" w:bidi="ar-SA"/>
        </w:rPr>
        <w:t>。</w:t>
      </w:r>
    </w:p>
    <w:p>
      <w:pPr>
        <w:pStyle w:val="8"/>
        <w:keepNext w:val="0"/>
        <w:keepLines w:val="0"/>
        <w:pageBreakBefore w:val="0"/>
        <w:widowControl w:val="0"/>
        <w:numPr>
          <w:ilvl w:val="0"/>
          <w:numId w:val="14"/>
        </w:numPr>
        <w:kinsoku/>
        <w:wordWrap/>
        <w:overflowPunct/>
        <w:topLinePunct w:val="0"/>
        <w:autoSpaceDE w:val="0"/>
        <w:autoSpaceDN w:val="0"/>
        <w:bidi w:val="0"/>
        <w:adjustRightInd/>
        <w:snapToGrid/>
        <w:spacing w:line="360" w:lineRule="auto"/>
        <w:ind w:left="0" w:firstLine="482"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猪只饮用水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根据《猪的用水管理》、《规</w:t>
      </w:r>
      <w:r>
        <w:rPr>
          <w:rFonts w:hint="eastAsia" w:cs="Times New Roman"/>
          <w:kern w:val="0"/>
          <w:sz w:val="24"/>
          <w:szCs w:val="24"/>
          <w:lang w:val="en-US" w:eastAsia="zh-CN" w:bidi="ar-SA"/>
        </w:rPr>
        <w:t>模</w:t>
      </w:r>
      <w:r>
        <w:rPr>
          <w:rFonts w:hint="default" w:cs="Times New Roman"/>
          <w:kern w:val="0"/>
          <w:sz w:val="24"/>
          <w:szCs w:val="24"/>
          <w:lang w:val="en-US" w:eastAsia="zh-CN" w:bidi="ar-SA"/>
        </w:rPr>
        <w:t>化养猪场的科学用水管理》、《畜禽养殖场污染防治最佳可行技术指南（试行）》编制说明以及原有项目实际运行资料，项目猪只用水情况见表</w:t>
      </w:r>
      <w:r>
        <w:rPr>
          <w:rFonts w:hint="eastAsia" w:cs="Times New Roman"/>
          <w:kern w:val="0"/>
          <w:sz w:val="24"/>
          <w:szCs w:val="24"/>
          <w:lang w:val="en-US" w:eastAsia="zh-CN" w:bidi="ar-SA"/>
        </w:rPr>
        <w:t>3</w:t>
      </w:r>
      <w:r>
        <w:rPr>
          <w:rFonts w:hint="default" w:cs="Times New Roman"/>
          <w:kern w:val="0"/>
          <w:sz w:val="24"/>
          <w:szCs w:val="24"/>
          <w:lang w:val="en-US" w:eastAsia="zh-CN" w:bidi="ar-SA"/>
        </w:rPr>
        <w:t>.1-</w:t>
      </w:r>
      <w:r>
        <w:rPr>
          <w:rFonts w:hint="eastAsia" w:cs="Times New Roman"/>
          <w:kern w:val="0"/>
          <w:sz w:val="24"/>
          <w:szCs w:val="24"/>
          <w:lang w:val="en-US" w:eastAsia="zh-CN" w:bidi="ar-SA"/>
        </w:rPr>
        <w:t>4</w:t>
      </w:r>
      <w:r>
        <w:rPr>
          <w:rFonts w:hint="default"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kern w:val="0"/>
          <w:sz w:val="21"/>
          <w:szCs w:val="21"/>
          <w:lang w:val="en-US" w:eastAsia="zh-CN" w:bidi="ar-SA"/>
        </w:rPr>
      </w:pPr>
      <w:r>
        <w:rPr>
          <w:rFonts w:hint="eastAsia" w:cs="Times New Roman"/>
          <w:b/>
          <w:bCs/>
          <w:kern w:val="0"/>
          <w:sz w:val="21"/>
          <w:szCs w:val="21"/>
          <w:lang w:val="en-US" w:eastAsia="zh-CN" w:bidi="ar-SA"/>
        </w:rPr>
        <w:t>表3.1-4  项目主治饮用水情况一览表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170"/>
        <w:gridCol w:w="1320"/>
        <w:gridCol w:w="2085"/>
        <w:gridCol w:w="1560"/>
        <w:gridCol w:w="1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7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存栏量（头）</w:t>
            </w:r>
          </w:p>
        </w:tc>
        <w:tc>
          <w:tcPr>
            <w:tcW w:w="208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消耗定额（</w:t>
            </w:r>
            <w:r>
              <w:rPr>
                <w:rFonts w:hint="default" w:ascii="Times New Roman" w:hAnsi="Times New Roman" w:cs="Times New Roman"/>
                <w:kern w:val="0"/>
                <w:sz w:val="21"/>
                <w:szCs w:val="21"/>
                <w:vertAlign w:val="baseline"/>
                <w:lang w:val="en-US" w:eastAsia="zh-CN" w:bidi="ar-SA"/>
              </w:rPr>
              <w:t>L/d·头</w:t>
            </w:r>
            <w:r>
              <w:rPr>
                <w:rFonts w:hint="eastAsia" w:cs="Times New Roman"/>
                <w:kern w:val="0"/>
                <w:sz w:val="21"/>
                <w:szCs w:val="21"/>
                <w:vertAlign w:val="baseline"/>
                <w:lang w:val="en-US" w:eastAsia="zh-CN" w:bidi="ar-SA"/>
              </w:rPr>
              <w:t>）</w:t>
            </w:r>
          </w:p>
        </w:tc>
        <w:tc>
          <w:tcPr>
            <w:tcW w:w="156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日消耗量（t/d）</w:t>
            </w:r>
          </w:p>
        </w:tc>
        <w:tc>
          <w:tcPr>
            <w:tcW w:w="160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年消耗量（t/a）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7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1855</w:t>
            </w:r>
          </w:p>
        </w:tc>
        <w:tc>
          <w:tcPr>
            <w:tcW w:w="2085"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56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3.71</w:t>
            </w:r>
          </w:p>
        </w:tc>
        <w:tc>
          <w:tcPr>
            <w:tcW w:w="1606"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1354.15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7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default" w:cs="Times New Roman"/>
                <w:kern w:val="0"/>
                <w:sz w:val="21"/>
                <w:szCs w:val="21"/>
                <w:vertAlign w:val="baseline"/>
                <w:lang w:val="en-US" w:eastAsia="zh-CN" w:bidi="ar-SA"/>
              </w:rPr>
              <w:t>5500</w:t>
            </w:r>
          </w:p>
        </w:tc>
        <w:tc>
          <w:tcPr>
            <w:tcW w:w="2085"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56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606"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1" w:type="dxa"/>
            <w:gridSpan w:val="3"/>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2085"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c>
          <w:tcPr>
            <w:tcW w:w="1560"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58.71</w:t>
            </w:r>
          </w:p>
        </w:tc>
        <w:tc>
          <w:tcPr>
            <w:tcW w:w="1606"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21429.15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由表</w:t>
      </w:r>
      <w:r>
        <w:rPr>
          <w:rFonts w:hint="eastAsia" w:cs="Times New Roman"/>
          <w:kern w:val="0"/>
          <w:sz w:val="24"/>
          <w:szCs w:val="24"/>
          <w:lang w:val="en-US" w:eastAsia="zh-CN" w:bidi="ar-SA"/>
        </w:rPr>
        <w:t>3.1-4</w:t>
      </w:r>
      <w:r>
        <w:rPr>
          <w:rFonts w:hint="default" w:cs="Times New Roman"/>
          <w:kern w:val="0"/>
          <w:sz w:val="24"/>
          <w:szCs w:val="24"/>
          <w:lang w:val="en-US" w:eastAsia="zh-CN" w:bidi="ar-SA"/>
        </w:rPr>
        <w:t>可知，项目猪只饮用水量为</w:t>
      </w:r>
      <w:r>
        <w:rPr>
          <w:rFonts w:hint="eastAsia" w:cs="Times New Roman"/>
          <w:kern w:val="0"/>
          <w:sz w:val="24"/>
          <w:szCs w:val="24"/>
          <w:lang w:val="en-US" w:eastAsia="zh-CN" w:bidi="ar-SA"/>
        </w:rPr>
        <w:t>58.71</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21429.15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（2）猪舍定期清洗水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 xml:space="preserve">项目采用高床全漏缝地板免冲洗干清粪处理工艺，猪舍平时无需冲洗，仅在猪只转移出猪舍后才进行一次冲洗。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保育舍平均60天冲洗一次，每年需冲洗6次；育肥舍平均110天冲洗一次，每年需冲洗3次，猪舍冲洗用水量详见表</w:t>
      </w:r>
      <w:r>
        <w:rPr>
          <w:rFonts w:hint="eastAsia" w:cs="Times New Roman"/>
          <w:kern w:val="0"/>
          <w:sz w:val="24"/>
          <w:szCs w:val="24"/>
          <w:lang w:val="en-US" w:eastAsia="zh-CN" w:bidi="ar-SA"/>
        </w:rPr>
        <w:t>3.1-5</w:t>
      </w:r>
      <w:r>
        <w:rPr>
          <w:rFonts w:hint="default" w:cs="Times New Roman"/>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4"/>
          <w:szCs w:val="24"/>
          <w:lang w:val="en-US" w:eastAsia="zh-CN" w:bidi="ar-SA"/>
        </w:rPr>
      </w:pPr>
      <w:r>
        <w:rPr>
          <w:rFonts w:hint="default" w:cs="Times New Roman"/>
          <w:b/>
          <w:bCs/>
          <w:kern w:val="0"/>
          <w:sz w:val="21"/>
          <w:szCs w:val="21"/>
          <w:lang w:val="en-US" w:eastAsia="zh-CN" w:bidi="ar-SA"/>
        </w:rPr>
        <w:t>表</w:t>
      </w:r>
      <w:r>
        <w:rPr>
          <w:rFonts w:hint="eastAsia" w:cs="Times New Roman"/>
          <w:b/>
          <w:bCs/>
          <w:kern w:val="0"/>
          <w:sz w:val="21"/>
          <w:szCs w:val="21"/>
          <w:lang w:val="en-US" w:eastAsia="zh-CN" w:bidi="ar-SA"/>
        </w:rPr>
        <w:t xml:space="preserve">3.1-5  </w:t>
      </w:r>
      <w:r>
        <w:rPr>
          <w:rFonts w:hint="default" w:cs="Times New Roman"/>
          <w:b/>
          <w:bCs/>
          <w:kern w:val="0"/>
          <w:sz w:val="21"/>
          <w:szCs w:val="21"/>
          <w:lang w:val="en-US" w:eastAsia="zh-CN" w:bidi="ar-SA"/>
        </w:rPr>
        <w:t xml:space="preserve"> 项目猪舍冲洗用水情况一览表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952"/>
        <w:gridCol w:w="1334"/>
        <w:gridCol w:w="1167"/>
        <w:gridCol w:w="1635"/>
        <w:gridCol w:w="1505"/>
        <w:gridCol w:w="1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52"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34"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冲洗用水定额（L/m</w:t>
            </w:r>
            <w:r>
              <w:rPr>
                <w:rFonts w:hint="default" w:ascii="Times New Roman" w:hAnsi="Times New Roman" w:cs="Times New Roman"/>
                <w:kern w:val="0"/>
                <w:sz w:val="21"/>
                <w:szCs w:val="21"/>
                <w:vertAlign w:val="superscript"/>
                <w:lang w:val="en-US" w:eastAsia="zh-CN" w:bidi="ar-SA"/>
              </w:rPr>
              <w:t>2</w:t>
            </w:r>
            <w:r>
              <w:rPr>
                <w:rFonts w:hint="default" w:ascii="Times New Roman" w:hAnsi="Times New Roman" w:cs="Times New Roman"/>
                <w:kern w:val="0"/>
                <w:sz w:val="21"/>
                <w:szCs w:val="21"/>
                <w:vertAlign w:val="baseline"/>
                <w:lang w:val="en-US" w:eastAsia="zh-CN" w:bidi="ar-SA"/>
              </w:rPr>
              <w:t>·</w:t>
            </w:r>
            <w:r>
              <w:rPr>
                <w:rFonts w:hint="eastAsia" w:cs="Times New Roman"/>
                <w:kern w:val="0"/>
                <w:sz w:val="21"/>
                <w:szCs w:val="21"/>
                <w:vertAlign w:val="baseline"/>
                <w:lang w:val="en-US" w:eastAsia="zh-CN" w:bidi="ar-SA"/>
              </w:rPr>
              <w:t>次）</w:t>
            </w:r>
          </w:p>
        </w:tc>
        <w:tc>
          <w:tcPr>
            <w:tcW w:w="1167"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冲洗频率（次/年）</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冲洗面积（m</w:t>
            </w:r>
            <w:r>
              <w:rPr>
                <w:rFonts w:hint="default" w:ascii="Times New Roman" w:hAnsi="Times New Roman"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150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/次）</w:t>
            </w:r>
          </w:p>
        </w:tc>
        <w:tc>
          <w:tcPr>
            <w:tcW w:w="128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冲洗用水总量（m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52"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34"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167"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2460</w:t>
            </w:r>
          </w:p>
        </w:tc>
        <w:tc>
          <w:tcPr>
            <w:tcW w:w="1505"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19.68</w:t>
            </w:r>
          </w:p>
        </w:tc>
        <w:tc>
          <w:tcPr>
            <w:tcW w:w="128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52"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34"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167"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505"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28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259.776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731" w:type="dxa"/>
            <w:gridSpan w:val="5"/>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505"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106.272</w:t>
            </w:r>
          </w:p>
        </w:tc>
        <w:tc>
          <w:tcPr>
            <w:tcW w:w="128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370.856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default" w:cs="Times New Roman"/>
          <w:color w:val="auto"/>
          <w:kern w:val="0"/>
          <w:sz w:val="24"/>
          <w:szCs w:val="24"/>
          <w:lang w:val="en-US" w:eastAsia="zh-CN" w:bidi="ar-SA"/>
        </w:rPr>
        <w:t>综上所述，猪舍单次冲洗用水总量为</w:t>
      </w:r>
      <w:r>
        <w:rPr>
          <w:rFonts w:hint="eastAsia" w:cs="Times New Roman"/>
          <w:color w:val="auto"/>
          <w:kern w:val="0"/>
          <w:sz w:val="24"/>
          <w:szCs w:val="24"/>
          <w:lang w:val="en-US" w:eastAsia="zh-CN" w:bidi="ar-SA"/>
        </w:rPr>
        <w:t>106.272</w:t>
      </w:r>
      <w:r>
        <w:rPr>
          <w:rFonts w:hint="default" w:cs="Times New Roman"/>
          <w:color w:val="auto"/>
          <w:kern w:val="0"/>
          <w:sz w:val="24"/>
          <w:szCs w:val="24"/>
          <w:lang w:val="en-US" w:eastAsia="zh-CN" w:bidi="ar-SA"/>
        </w:rPr>
        <w:t>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w:t>
      </w:r>
      <w:r>
        <w:rPr>
          <w:rFonts w:hint="eastAsia" w:cs="Times New Roman"/>
          <w:color w:val="auto"/>
          <w:kern w:val="0"/>
          <w:sz w:val="24"/>
          <w:szCs w:val="24"/>
          <w:lang w:val="en-US" w:eastAsia="zh-CN" w:bidi="ar-SA"/>
        </w:rPr>
        <w:t>次</w:t>
      </w:r>
      <w:r>
        <w:rPr>
          <w:rFonts w:hint="default" w:cs="Times New Roman"/>
          <w:color w:val="auto"/>
          <w:kern w:val="0"/>
          <w:sz w:val="24"/>
          <w:szCs w:val="24"/>
          <w:lang w:val="en-US" w:eastAsia="zh-CN" w:bidi="ar-SA"/>
        </w:rPr>
        <w:t>，年冲洗用水总量为370.856m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（3）夏季水帘降温用水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夏季猪舍温度较高，当温度达到33℃以上，需开启水帘降温系统，对猪舍进行降温。根据项目设计，项目水帘墙下方设置有循环水池，水帘降温用水循环回用，不外排，水帘降温用水量为</w:t>
      </w:r>
      <w:r>
        <w:rPr>
          <w:rFonts w:hint="eastAsia" w:cs="Times New Roman"/>
          <w:kern w:val="0"/>
          <w:sz w:val="24"/>
          <w:szCs w:val="24"/>
          <w:lang w:val="en-US" w:eastAsia="zh-CN" w:bidi="ar-SA"/>
        </w:rPr>
        <w:t>55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/d。项目水帘装置一般在夏季（3个月，按92天计）开启，则夏季水帘降温总用水量为</w:t>
      </w:r>
      <w:r>
        <w:rPr>
          <w:rFonts w:hint="eastAsia" w:cs="Times New Roman"/>
          <w:kern w:val="0"/>
          <w:sz w:val="24"/>
          <w:szCs w:val="24"/>
          <w:lang w:val="en-US" w:eastAsia="zh-CN" w:bidi="ar-SA"/>
        </w:rPr>
        <w:t>5060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/a。降温用水循环使用，仅需补充蒸发耗损水（损耗率10%），则水帘降温系统需补充新鲜用水量</w:t>
      </w:r>
      <w:r>
        <w:rPr>
          <w:rFonts w:hint="eastAsia" w:cs="Times New Roman"/>
          <w:kern w:val="0"/>
          <w:sz w:val="24"/>
          <w:szCs w:val="24"/>
          <w:lang w:val="en-US" w:eastAsia="zh-CN" w:bidi="ar-SA"/>
        </w:rPr>
        <w:t>506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（4）员工生活用水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项目劳动定员</w:t>
      </w:r>
      <w:r>
        <w:rPr>
          <w:rFonts w:hint="eastAsia" w:cs="Times New Roman"/>
          <w:kern w:val="0"/>
          <w:sz w:val="24"/>
          <w:szCs w:val="24"/>
          <w:lang w:val="en-US" w:eastAsia="zh-CN" w:bidi="ar-SA"/>
        </w:rPr>
        <w:t>30</w:t>
      </w:r>
      <w:r>
        <w:rPr>
          <w:rFonts w:hint="default" w:cs="Times New Roman"/>
          <w:kern w:val="0"/>
          <w:sz w:val="24"/>
          <w:szCs w:val="24"/>
          <w:lang w:val="en-US" w:eastAsia="zh-CN" w:bidi="ar-SA"/>
        </w:rPr>
        <w:t>人，均在场区内住宿。项目员工日常办公生活时生活用水参考《建筑给水排水设计</w:t>
      </w:r>
      <w:r>
        <w:rPr>
          <w:rFonts w:hint="eastAsia" w:cs="Times New Roman"/>
          <w:kern w:val="0"/>
          <w:sz w:val="24"/>
          <w:szCs w:val="24"/>
          <w:lang w:val="en-US" w:eastAsia="zh-CN" w:bidi="ar-SA"/>
        </w:rPr>
        <w:t>标准</w:t>
      </w:r>
      <w:r>
        <w:rPr>
          <w:rFonts w:hint="default" w:cs="Times New Roman"/>
          <w:kern w:val="0"/>
          <w:sz w:val="24"/>
          <w:szCs w:val="24"/>
          <w:lang w:val="en-US" w:eastAsia="zh-CN" w:bidi="ar-SA"/>
        </w:rPr>
        <w:t>》（GB50015-</w:t>
      </w:r>
      <w:r>
        <w:rPr>
          <w:rFonts w:hint="eastAsia" w:cs="Times New Roman"/>
          <w:kern w:val="0"/>
          <w:sz w:val="24"/>
          <w:szCs w:val="24"/>
          <w:lang w:val="en-US" w:eastAsia="zh-CN" w:bidi="ar-SA"/>
        </w:rPr>
        <w:t>2019</w:t>
      </w:r>
      <w:r>
        <w:rPr>
          <w:rFonts w:hint="default" w:cs="Times New Roman"/>
          <w:kern w:val="0"/>
          <w:sz w:val="24"/>
          <w:szCs w:val="24"/>
          <w:lang w:val="en-US" w:eastAsia="zh-CN" w:bidi="ar-SA"/>
        </w:rPr>
        <w:t>）中员工用水定额，</w:t>
      </w:r>
      <w:r>
        <w:rPr>
          <w:rFonts w:hint="eastAsia" w:cs="Times New Roman"/>
          <w:kern w:val="0"/>
          <w:sz w:val="24"/>
          <w:szCs w:val="24"/>
          <w:lang w:val="en-US" w:eastAsia="zh-CN" w:bidi="ar-SA"/>
        </w:rPr>
        <w:t>猪场</w:t>
      </w:r>
      <w:r>
        <w:rPr>
          <w:rFonts w:hint="default" w:cs="Times New Roman"/>
          <w:kern w:val="0"/>
          <w:sz w:val="24"/>
          <w:szCs w:val="24"/>
          <w:lang w:val="en-US" w:eastAsia="zh-CN" w:bidi="ar-SA"/>
        </w:rPr>
        <w:t>员工按0.2m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/人·d计，项目年运行365d，项目员工生活用水量为</w:t>
      </w:r>
      <w:r>
        <w:rPr>
          <w:rFonts w:hint="eastAsia" w:cs="Times New Roman"/>
          <w:kern w:val="0"/>
          <w:sz w:val="24"/>
          <w:szCs w:val="24"/>
          <w:lang w:val="en-US" w:eastAsia="zh-CN" w:bidi="ar-SA"/>
        </w:rPr>
        <w:t>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2190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（5）车辆冲洗用水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拟建项目同时生产区出入口和办公生活区出入口均设置消毒池对进出人员和车辆进行消毒。拟建项目设置1个车辆清洁水池，车辆清洁水每天更换一次。清洁池容积</w:t>
      </w:r>
      <w:r>
        <w:rPr>
          <w:rFonts w:hint="eastAsia" w:cs="Times New Roman"/>
          <w:kern w:val="0"/>
          <w:sz w:val="24"/>
          <w:szCs w:val="24"/>
          <w:lang w:val="en-US" w:eastAsia="zh-CN" w:bidi="ar-SA"/>
        </w:rPr>
        <w:t>约4</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，车辆清洁用水为4m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/d，即1460m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（6）消毒用水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为营造安全卫生的养殖环境，减少动物疫病的发生，保证产品质量，项目定期对生产区道路进行消毒。项目消毒池无外排废水，只定期加入清水和药剂，项目消毒剂年用量约</w:t>
      </w:r>
      <w:r>
        <w:rPr>
          <w:rFonts w:hint="eastAsia" w:cs="Times New Roman"/>
          <w:kern w:val="0"/>
          <w:sz w:val="24"/>
          <w:szCs w:val="24"/>
          <w:lang w:val="en-US" w:eastAsia="zh-CN" w:bidi="ar-SA"/>
        </w:rPr>
        <w:t>0.5</w:t>
      </w:r>
      <w:r>
        <w:rPr>
          <w:rFonts w:hint="default" w:cs="Times New Roman"/>
          <w:kern w:val="0"/>
          <w:sz w:val="24"/>
          <w:szCs w:val="24"/>
          <w:lang w:val="en-US" w:eastAsia="zh-CN" w:bidi="ar-SA"/>
        </w:rPr>
        <w:t>t，以1</w:t>
      </w:r>
      <w:r>
        <w:rPr>
          <w:rFonts w:hint="default" w:ascii="Times New Roman" w:hAnsi="Times New Roman" w:cs="Times New Roman"/>
          <w:kern w:val="0"/>
          <w:sz w:val="24"/>
          <w:szCs w:val="24"/>
          <w:lang w:val="en-US" w:eastAsia="zh-CN" w:bidi="ar-SA"/>
        </w:rPr>
        <w:t>：</w:t>
      </w:r>
      <w:r>
        <w:rPr>
          <w:rFonts w:hint="default" w:cs="Times New Roman"/>
          <w:kern w:val="0"/>
          <w:sz w:val="24"/>
          <w:szCs w:val="24"/>
          <w:lang w:val="en-US" w:eastAsia="zh-CN" w:bidi="ar-SA"/>
        </w:rPr>
        <w:t>1000的稀释比例进行稀释，则需加入的水量为</w:t>
      </w:r>
      <w:r>
        <w:rPr>
          <w:rFonts w:hint="eastAsia" w:cs="Times New Roman"/>
          <w:kern w:val="0"/>
          <w:sz w:val="24"/>
          <w:szCs w:val="24"/>
          <w:lang w:val="en-US" w:eastAsia="zh-CN" w:bidi="ar-SA"/>
        </w:rPr>
        <w:t>5</w:t>
      </w:r>
      <w:r>
        <w:rPr>
          <w:rFonts w:hint="default" w:cs="Times New Roman"/>
          <w:kern w:val="0"/>
          <w:sz w:val="24"/>
          <w:szCs w:val="24"/>
          <w:lang w:val="en-US" w:eastAsia="zh-CN" w:bidi="ar-SA"/>
        </w:rPr>
        <w:t>00m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/a，全部蒸发损耗。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（7）绿化用水</w:t>
      </w:r>
    </w:p>
    <w:p>
      <w:pPr>
        <w:adjustRightInd w:val="0"/>
        <w:snapToGrid w:val="0"/>
        <w:spacing w:line="500" w:lineRule="exact"/>
        <w:ind w:firstLine="480" w:firstLineChars="200"/>
        <w:rPr>
          <w:rFonts w:hint="eastAsia" w:hAnsi="宋体"/>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w:t>
      </w:r>
      <w:r>
        <w:rPr>
          <w:bCs/>
          <w:sz w:val="24"/>
        </w:rPr>
        <w:t>m</w:t>
      </w:r>
      <w:r>
        <w:rPr>
          <w:bCs/>
          <w:sz w:val="24"/>
          <w:vertAlign w:val="superscript"/>
        </w:rPr>
        <w:t>3</w:t>
      </w:r>
      <w:r>
        <w:rPr>
          <w:bCs/>
          <w:sz w:val="24"/>
        </w:rPr>
        <w:t>/d</w:t>
      </w:r>
      <w:r>
        <w:rPr>
          <w:rFonts w:hint="eastAsia"/>
          <w:bCs/>
          <w:sz w:val="24"/>
        </w:rPr>
        <w:t>（</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p>
    <w:p>
      <w:pPr>
        <w:pStyle w:val="6"/>
      </w:pPr>
      <w:r>
        <w:rPr>
          <w:rFonts w:hint="eastAsia"/>
          <w:lang w:eastAsia="zh-CN"/>
        </w:rPr>
        <w:t>排水工程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本项目采取雨污分流方式，雨水收集管网与污水收集管网相互独立，项目场区内各建筑四周及道路两侧均设置雨水排水沟。初期雨水经截流后进入雨水收集池，初期雨水经</w:t>
      </w:r>
      <w:r>
        <w:rPr>
          <w:rFonts w:hint="eastAsia" w:cs="Times New Roman"/>
          <w:kern w:val="0"/>
          <w:sz w:val="24"/>
          <w:szCs w:val="24"/>
          <w:lang w:val="en-US" w:eastAsia="zh-CN" w:bidi="ar-SA"/>
        </w:rPr>
        <w:t>沉淀池收集沉淀后</w:t>
      </w:r>
      <w:r>
        <w:rPr>
          <w:rFonts w:hint="default" w:cs="Times New Roman"/>
          <w:kern w:val="0"/>
          <w:sz w:val="24"/>
          <w:szCs w:val="24"/>
          <w:lang w:val="en-US" w:eastAsia="zh-CN" w:bidi="ar-SA"/>
        </w:rPr>
        <w:t xml:space="preserve">用于厂区内植被浇灌，后期雨水则直接排入周边地表自然消纳。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eastAsia" w:cs="Times New Roman"/>
          <w:kern w:val="0"/>
          <w:sz w:val="24"/>
          <w:szCs w:val="24"/>
          <w:lang w:val="en-US" w:eastAsia="zh-CN" w:bidi="ar-SA"/>
        </w:rPr>
        <w:t>项目场地内的各种猪舍均接有排污水管和排粪管，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w:t>
      </w:r>
      <w:r>
        <w:rPr>
          <w:rFonts w:hint="eastAsia" w:cs="Times New Roman"/>
          <w:color w:val="auto"/>
          <w:kern w:val="0"/>
          <w:sz w:val="24"/>
          <w:szCs w:val="24"/>
          <w:lang w:val="en-US" w:eastAsia="zh-CN" w:bidi="ar-SA"/>
        </w:rPr>
        <w:t>（GB5084-2005）旱作水质标准严者后</w:t>
      </w:r>
      <w:r>
        <w:rPr>
          <w:rFonts w:hint="eastAsia"/>
          <w:color w:val="auto"/>
        </w:rPr>
        <w:t>用于附近林业和农田的灌溉</w:t>
      </w:r>
      <w:r>
        <w:rPr>
          <w:rFonts w:hint="eastAsia" w:cs="Times New Roman"/>
          <w:color w:val="auto"/>
          <w:kern w:val="0"/>
          <w:sz w:val="24"/>
          <w:szCs w:val="24"/>
          <w:lang w:val="en-US" w:eastAsia="zh-CN" w:bidi="ar-SA"/>
        </w:rPr>
        <w:t>，不外排。</w:t>
      </w:r>
    </w:p>
    <w:p>
      <w:pPr>
        <w:pStyle w:val="6"/>
      </w:pPr>
      <w:r>
        <w:rPr>
          <w:rFonts w:hint="eastAsia"/>
          <w:lang w:eastAsia="zh-CN"/>
        </w:rPr>
        <w:t>供电工程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项目设计使用电压为220V/380V，从附近电网接入，可满足生产、生活用电要求</w:t>
      </w:r>
      <w:r>
        <w:rPr>
          <w:rFonts w:hint="eastAsia" w:cs="Times New Roman"/>
          <w:kern w:val="0"/>
          <w:sz w:val="24"/>
          <w:szCs w:val="24"/>
          <w:lang w:val="en-US" w:eastAsia="zh-CN" w:bidi="ar-SA"/>
        </w:rPr>
        <w:t>，年用量200万kw·h/a</w:t>
      </w:r>
      <w:r>
        <w:rPr>
          <w:rFonts w:hint="default" w:cs="Times New Roman"/>
          <w:kern w:val="0"/>
          <w:sz w:val="24"/>
          <w:szCs w:val="24"/>
          <w:lang w:val="en-US" w:eastAsia="zh-CN" w:bidi="ar-SA"/>
        </w:rPr>
        <w:t>；配置2台400kW的备用发电机，以备停电时供电。</w:t>
      </w:r>
    </w:p>
    <w:p>
      <w:pPr>
        <w:pStyle w:val="6"/>
      </w:pPr>
      <w:r>
        <w:rPr>
          <w:rFonts w:hint="eastAsia"/>
          <w:lang w:eastAsia="zh-CN"/>
        </w:rPr>
        <w:t>消防工程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本项目室外消防用水采用低压给水系统，由消防水池供给。室内消防用水采用常高压给水系统，由给水管道直接供水。各栏舍和生活区的宿舍、办公楼内采用单口室内消火栓，消火栓按间距不大于30m，同时保证有两股水柱到达室内任何地方。另外，各栏舍和办公楼每层设一定数量的手提式干粉灭火器。</w:t>
      </w:r>
    </w:p>
    <w:p>
      <w:pPr>
        <w:pStyle w:val="6"/>
      </w:pPr>
      <w:r>
        <w:rPr>
          <w:rFonts w:hint="eastAsia"/>
          <w:lang w:eastAsia="zh-CN"/>
        </w:rPr>
        <w:t>通风工程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为了保持良好的空气、防暑降温及排除湿气，项目采取自然通风和排风扇相结合的方式进行换气，夏季设置有水帘降温等设备，改善养猪生产的环境条件，保证猪只生长期间良好的通风环境</w:t>
      </w:r>
    </w:p>
    <w:p>
      <w:pPr>
        <w:pStyle w:val="6"/>
      </w:pPr>
      <w:r>
        <w:rPr>
          <w:rFonts w:hint="eastAsia"/>
          <w:lang w:eastAsia="zh-CN"/>
        </w:rPr>
        <w:t>运输工程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所在地交通便利，“村村通”公路已贯穿全村。项目进厂的原材料和出厂的商品猪全部采取公路运输的方式，场区道路在设计时将人流、物流分开，防止交叉污染，并严格限制进厂的车辆。车辆进入养殖区前，需经过门口的消毒池</w:t>
      </w:r>
      <w:r>
        <w:rPr>
          <w:rFonts w:hint="eastAsia" w:cs="Times New Roman"/>
          <w:kern w:val="0"/>
          <w:sz w:val="24"/>
          <w:szCs w:val="24"/>
          <w:lang w:val="en-US" w:eastAsia="zh-CN" w:bidi="ar-SA"/>
        </w:rPr>
        <w:t>。</w:t>
      </w:r>
    </w:p>
    <w:p>
      <w:pPr>
        <w:pStyle w:val="6"/>
      </w:pPr>
      <w:r>
        <w:rPr>
          <w:rFonts w:hint="eastAsia"/>
          <w:lang w:eastAsia="zh-CN"/>
        </w:rPr>
        <w:t>卫生防疫工程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卫生防疫是规模化猪场的生命线，也是规模化猪场成败的关键点。为此必须严格执行国家《动物防疫法》，做到以防为主，防治结合，制度健全，责任到人。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（1）</w:t>
      </w:r>
      <w:r>
        <w:rPr>
          <w:rFonts w:hint="eastAsia" w:ascii="Times New Roman" w:hAnsi="Times New Roman" w:cs="Times New Roman"/>
          <w:kern w:val="0"/>
          <w:sz w:val="24"/>
          <w:szCs w:val="24"/>
          <w:lang w:val="en-US" w:eastAsia="zh-CN" w:bidi="ar-SA"/>
        </w:rPr>
        <w:t>防疫制度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更衣换鞋制度：凡是进入饲养场的工作人员，一律更衣换鞋。消毒制度：凡进入饲养场的人和车辆等都需经过消毒；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防疫隔离制度：凡新引进的猪种在场外隔离二个月以上，隔离观察期间进行测温和血清学及微生物检查，确认健康无病后才能进场</w:t>
      </w:r>
      <w:r>
        <w:rPr>
          <w:rFonts w:hint="eastAsia"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免疫程序管理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制定一套合理的免疫程序，做到“以防为主、防治结合”。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诊疗程序管理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配备专职兽医，加强防治结合。要求兽医每天进入各猪舍观察猪群，发现病情做好记录并向技术部门备案，一旦发现疫情，做到早、严、快、小，并向上级部门汇报</w:t>
      </w:r>
    </w:p>
    <w:p>
      <w:pPr>
        <w:pStyle w:val="4"/>
        <w:rPr>
          <w:color w:val="auto"/>
        </w:rPr>
      </w:pPr>
      <w:bookmarkStart w:id="31" w:name="_Toc5558"/>
      <w:r>
        <w:rPr>
          <w:rFonts w:hint="eastAsia"/>
          <w:color w:val="auto"/>
          <w:lang w:eastAsia="zh-CN"/>
        </w:rPr>
        <w:t>环境影响评价方法</w:t>
      </w:r>
      <w:bookmarkEnd w:id="24"/>
      <w:bookmarkEnd w:id="31"/>
    </w:p>
    <w:p>
      <w:pPr>
        <w:pStyle w:val="5"/>
        <w:ind w:firstLine="562"/>
      </w:pPr>
      <w:r>
        <w:rPr>
          <w:rFonts w:hint="eastAsia"/>
          <w:lang w:eastAsia="zh-CN"/>
        </w:rPr>
        <w:t>评价工作内容</w:t>
      </w:r>
    </w:p>
    <w:p>
      <w:pPr>
        <w:pStyle w:val="9"/>
        <w:rPr>
          <w:rFonts w:hint="eastAsia"/>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rFonts w:hint="eastAsia"/>
          <w:color w:val="auto"/>
        </w:rPr>
        <w:t>对拟建项目进行工程分析；</w:t>
      </w:r>
    </w:p>
    <w:p>
      <w:pPr>
        <w:pStyle w:val="9"/>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调查项目所在地区的地表水环境、地下水环境、空气环境、声环境、土壤环境、生态环境现状以及建设项目区周边环境状况；</w:t>
      </w:r>
    </w:p>
    <w:p>
      <w:pPr>
        <w:pStyle w:val="9"/>
        <w:rPr>
          <w:rFonts w:hint="eastAsia"/>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rFonts w:hint="eastAsia"/>
          <w:color w:val="auto"/>
        </w:rPr>
        <w:t>对拟建项目污染源进行调查分析，确定污染物种类、排放量、排放方式和排放去向；</w:t>
      </w:r>
    </w:p>
    <w:p>
      <w:pPr>
        <w:pStyle w:val="9"/>
        <w:rPr>
          <w:rFonts w:hint="eastAsia"/>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rFonts w:hint="eastAsia"/>
          <w:color w:val="auto"/>
        </w:rPr>
        <w:t>对拟建项目施工期和营运期对环境的影响分析，重点是本项目运行期大气环境影响；</w:t>
      </w:r>
    </w:p>
    <w:p>
      <w:pPr>
        <w:pStyle w:val="9"/>
        <w:rPr>
          <w:rFonts w:hint="eastAsia"/>
          <w:color w:val="auto"/>
        </w:rPr>
      </w:pPr>
      <w:r>
        <w:rPr>
          <w:rFonts w:hint="eastAsia"/>
          <w:color w:val="auto"/>
          <w:lang w:eastAsia="zh-CN"/>
        </w:rPr>
        <w:t>（</w:t>
      </w:r>
      <w:r>
        <w:rPr>
          <w:rFonts w:hint="eastAsia"/>
          <w:color w:val="auto"/>
          <w:lang w:val="en-US" w:eastAsia="zh-CN"/>
        </w:rPr>
        <w:t>5</w:t>
      </w:r>
      <w:r>
        <w:rPr>
          <w:rFonts w:hint="eastAsia"/>
          <w:color w:val="auto"/>
          <w:lang w:eastAsia="zh-CN"/>
        </w:rPr>
        <w:t>）</w:t>
      </w:r>
      <w:r>
        <w:rPr>
          <w:rFonts w:hint="eastAsia"/>
          <w:color w:val="auto"/>
        </w:rPr>
        <w:t>结合总体规划，分析拟建项目营运后产生的环境效益、社会效应和经济效益，论证项目建设与当地总体规划的相容性。</w:t>
      </w:r>
    </w:p>
    <w:p>
      <w:pPr>
        <w:pStyle w:val="5"/>
        <w:ind w:firstLine="562"/>
      </w:pPr>
      <w:r>
        <w:rPr>
          <w:rFonts w:hint="eastAsia"/>
          <w:lang w:eastAsia="zh-CN"/>
        </w:rPr>
        <w:t>评价工作重点</w:t>
      </w:r>
    </w:p>
    <w:p>
      <w:pPr>
        <w:pStyle w:val="9"/>
        <w:rPr>
          <w:rFonts w:hint="eastAsia"/>
          <w:color w:val="auto"/>
          <w:lang w:eastAsia="zh-CN"/>
        </w:rPr>
      </w:pPr>
      <w:r>
        <w:rPr>
          <w:rFonts w:hint="eastAsia"/>
          <w:color w:val="auto"/>
        </w:rPr>
        <w:t>本次环评评价重点主要在项目工程分析、环境影响评价、污染防治措施技术、环境风险评价等</w:t>
      </w:r>
      <w:r>
        <w:rPr>
          <w:rFonts w:hint="eastAsia"/>
          <w:color w:val="auto"/>
          <w:lang w:eastAsia="zh-CN"/>
        </w:rPr>
        <w:t>。</w:t>
      </w:r>
    </w:p>
    <w:p>
      <w:pPr>
        <w:rPr>
          <w:rFonts w:hint="eastAsia"/>
          <w:color w:val="auto"/>
          <w:lang w:eastAsia="zh-CN"/>
        </w:rPr>
      </w:pPr>
      <w:r>
        <w:rPr>
          <w:rFonts w:hint="eastAsia"/>
          <w:color w:val="auto"/>
          <w:lang w:eastAsia="zh-CN"/>
        </w:rPr>
        <w:br w:type="page"/>
      </w:r>
    </w:p>
    <w:p>
      <w:pPr>
        <w:pStyle w:val="3"/>
        <w:jc w:val="center"/>
      </w:pPr>
      <w:bookmarkStart w:id="32" w:name="_Toc28159"/>
      <w:bookmarkStart w:id="33" w:name="_Toc346282484"/>
      <w:r>
        <w:rPr>
          <w:rFonts w:hint="eastAsia"/>
          <w:lang w:eastAsia="zh-CN"/>
        </w:rPr>
        <w:t>建设项目概况</w:t>
      </w:r>
      <w:bookmarkEnd w:id="32"/>
    </w:p>
    <w:p>
      <w:pPr>
        <w:pStyle w:val="4"/>
      </w:pPr>
      <w:bookmarkStart w:id="34" w:name="_Toc3229"/>
      <w:bookmarkStart w:id="35" w:name="_Toc22266"/>
      <w:r>
        <w:rPr>
          <w:rFonts w:hint="eastAsia"/>
          <w:lang w:eastAsia="zh-CN"/>
        </w:rPr>
        <w:t>项目工艺流程分析</w:t>
      </w:r>
      <w:bookmarkEnd w:id="34"/>
      <w:bookmarkEnd w:id="35"/>
    </w:p>
    <w:p>
      <w:pPr>
        <w:pStyle w:val="5"/>
        <w:ind w:firstLine="562"/>
      </w:pPr>
      <w:r>
        <w:rPr>
          <w:rFonts w:hint="eastAsia"/>
          <w:lang w:eastAsia="zh-CN"/>
        </w:rPr>
        <w:t>养殖工艺流程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本项目采用集约化养殖方式饲养生猪，按照现代化养猪要求设计养殖工艺流程，实行流水生产工艺，养殖工艺流程及产污节点详见</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.2-1。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29" o:spt="75" type="#_x0000_t75" style="height:72pt;width:293.25pt;" o:ole="t" filled="f" o:preferrelative="t" stroked="f" coordsize="21600,21600">
            <v:path/>
            <v:fill on="f" focussize="0,0"/>
            <v:stroke on="f"/>
            <v:imagedata r:id="rId32" o:title=""/>
            <o:lock v:ext="edit" aspectratio="f"/>
            <w10:wrap type="none"/>
            <w10:anchorlock/>
          </v:shape>
          <o:OLEObject Type="Embed" ProgID="Visio.Drawing.11" ShapeID="_x0000_i1029" DrawAspect="Content" ObjectID="_1468075729" r:id="rId31">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.2-1 </w:t>
      </w:r>
      <w:r>
        <w:rPr>
          <w:rFonts w:hint="eastAsia" w:ascii="宋体" w:hAnsi="宋体" w:eastAsia="宋体"/>
          <w:b/>
          <w:bCs/>
          <w:color w:val="000000"/>
          <w:sz w:val="21"/>
          <w:szCs w:val="21"/>
        </w:rPr>
        <w:t>主要养殖工艺流程图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2"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工艺流程简介：</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断奶仔猪保育阶段</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外购</w:t>
      </w:r>
      <w:r>
        <w:rPr>
          <w:rFonts w:hint="eastAsia" w:ascii="Times New Roman" w:hAnsi="Times New Roman" w:cs="Times New Roman"/>
          <w:kern w:val="0"/>
          <w:sz w:val="24"/>
          <w:szCs w:val="24"/>
          <w:lang w:val="en-US" w:eastAsia="zh-CN" w:bidi="ar-SA"/>
        </w:rPr>
        <w:t>断奶仔猪</w:t>
      </w:r>
      <w:r>
        <w:rPr>
          <w:rFonts w:hint="eastAsia" w:cs="Times New Roman"/>
          <w:kern w:val="0"/>
          <w:sz w:val="24"/>
          <w:szCs w:val="24"/>
          <w:lang w:val="en-US" w:eastAsia="zh-CN" w:bidi="ar-SA"/>
        </w:rPr>
        <w:t>到场后</w:t>
      </w:r>
      <w:r>
        <w:rPr>
          <w:rFonts w:hint="eastAsia" w:ascii="Times New Roman" w:hAnsi="Times New Roman" w:cs="Times New Roman"/>
          <w:kern w:val="0"/>
          <w:sz w:val="24"/>
          <w:szCs w:val="24"/>
          <w:lang w:val="en-US" w:eastAsia="zh-CN" w:bidi="ar-SA"/>
        </w:rPr>
        <w:t xml:space="preserve">，进入保育舍，达到60日龄，预计体重达到20kg以上。 </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育肥养殖工艺流程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将60日龄的仔猪由保育舍转入育肥舍，饲养15周后，预计体重可达100kg以上时出栏上市。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本项目生猪养殖过程主要污染物为猪排泄的粪、尿，栏舍无组织排放的臭气、猪只叫声、病死猪及分娩废弃物。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（3）饲养方式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猪舍拟采用目前最先进的全环境控制、全自动喂料系统和全空气过滤、分连廊饲养等工艺设计。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采用国外最先进的瘦肉型饲养模式，猪舍墙体采用外侧贴4cm保温材料，吊顶使用0.4mmPE膜+10cm保温棉隔热保温，屋面与吊顶使用镀铝锌板，使用寿命30年以上，使用红外线热成像仪检测猪舍密封性；采用大跨度高床免冲水、水盘式饮水器、中水回用、机械刮粪工艺等先进工艺技术；采用全程空气过滤技术，猪舍全密闭连廊相连，采用机械通风、水帘降温、自动输料、三级严密生物安全体系，常年温度控制在26℃，湿度控制在75%左右，确保了整个猪群的健康，保持种猪PRRS，猪伪狂犬病、猪瘟阴性。</w:t>
      </w:r>
    </w:p>
    <w:p>
      <w:pPr>
        <w:pStyle w:val="5"/>
        <w:ind w:firstLine="562"/>
      </w:pPr>
      <w:r>
        <w:rPr>
          <w:rFonts w:hint="eastAsia"/>
          <w:lang w:eastAsia="zh-CN"/>
        </w:rPr>
        <w:t>猪粪处理流程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猪舍采用全漏缝地板；猪粪通过机械刮粪系统收集后，定期投入</w:t>
      </w:r>
      <w:r>
        <w:rPr>
          <w:rFonts w:hint="eastAsia" w:cs="Times New Roman"/>
          <w:kern w:val="0"/>
          <w:sz w:val="24"/>
          <w:szCs w:val="24"/>
          <w:lang w:val="en-US" w:eastAsia="zh-CN" w:bidi="ar-SA"/>
        </w:rPr>
        <w:t>“异位发酵床”</w:t>
      </w:r>
      <w:r>
        <w:rPr>
          <w:rFonts w:hint="eastAsia" w:ascii="Times New Roman" w:hAnsi="Times New Roman" w:cs="Times New Roman"/>
          <w:kern w:val="0"/>
          <w:sz w:val="24"/>
          <w:szCs w:val="24"/>
          <w:lang w:val="en-US" w:eastAsia="zh-CN" w:bidi="ar-SA"/>
        </w:rPr>
        <w:t>发酵处理，可直接生产优质有机肥</w:t>
      </w:r>
      <w:r>
        <w:rPr>
          <w:rFonts w:hint="eastAsia" w:cs="Times New Roman"/>
          <w:kern w:val="0"/>
          <w:sz w:val="24"/>
          <w:szCs w:val="24"/>
          <w:lang w:val="en-US" w:eastAsia="zh-CN" w:bidi="ar-SA"/>
        </w:rPr>
        <w:t>料，制成的有机肥料用于外售。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default"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技术原理：有机肥发酵剂按一定比例参拌锯末、谷壳、木屑等材料。将这些垫料铺设成一定厚度的发酵床，使垫料和猪粪尿充分混合，通过微生物的分解发酵，使猪粪尿中的有机物质得到充分的分解和转化，达到讲解、消化猪粪尿，除异味、杀菌消毒除虫目的，最终产出富含有机质以及具备解氮、解鳞、解钾能力的有益菌菌群的生物有机肥。整个养殖过程无废水排放，发酵床垫料淘汰后作为有机肥出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养殖是指养猪与粪污发酵分开，猪不接触垫料，猪舍外建垫料发酵舍，垫料铺在发酵舍内，猪场粪污收集后利用潜泵均匀喷在垫料上进行生物菌发酵的粪污处理方法。与传统的发酵床养殖相比，异位发酵床养殖消除了疾病传播风险，同时也克服了发酵床的高温对猪造成的应激。</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猪粪工艺流程见图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.2-2。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0" o:spt="75" type="#_x0000_t75" style="height:70.5pt;width:273.75pt;" o:ole="t" filled="f" o:preferrelative="t" stroked="f" coordsize="21600,21600">
            <v:path/>
            <v:fill on="f" focussize="0,0"/>
            <v:stroke on="f"/>
            <v:imagedata r:id="rId34" o:title=""/>
            <o:lock v:ext="edit" aspectratio="f"/>
            <w10:wrap type="none"/>
            <w10:anchorlock/>
          </v:shape>
          <o:OLEObject Type="Embed" ProgID="Visio.Drawing.11" ShapeID="_x0000_i1030" DrawAspect="Content" ObjectID="_1468075730" r:id="rId33">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猪粪处理</w:t>
      </w:r>
      <w:r>
        <w:rPr>
          <w:rFonts w:hint="eastAsia" w:ascii="宋体" w:hAnsi="宋体" w:eastAsia="宋体"/>
          <w:b/>
          <w:bCs/>
          <w:color w:val="000000"/>
          <w:sz w:val="21"/>
          <w:szCs w:val="21"/>
        </w:rPr>
        <w:t>工艺图</w:t>
      </w:r>
    </w:p>
    <w:p>
      <w:pPr>
        <w:pStyle w:val="5"/>
        <w:ind w:firstLine="562"/>
      </w:pPr>
      <w:r>
        <w:rPr>
          <w:rFonts w:hint="eastAsia"/>
          <w:lang w:eastAsia="zh-CN"/>
        </w:rPr>
        <w:t>污水处理流程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生活污水经地埋式一体化生化处理达到《畜禽养殖业污染物排放标准》（DB44/613-2009）中集约化畜禽养殖业水污染物最高日排放浓度和《农田灌溉水质标准》（GB5084-2005）</w:t>
      </w:r>
      <w:r>
        <w:rPr>
          <w:rFonts w:hint="eastAsia" w:cs="Times New Roman"/>
          <w:color w:val="auto"/>
          <w:kern w:val="0"/>
          <w:sz w:val="24"/>
          <w:szCs w:val="24"/>
          <w:lang w:val="en-US" w:eastAsia="zh-CN" w:bidi="ar-SA"/>
        </w:rPr>
        <w:t>中旱作标准的最严值后全部用于附近林业和农田的灌溉，不外排。</w:t>
      </w:r>
      <w:r>
        <w:rPr>
          <w:rFonts w:hint="eastAsia" w:cs="Times New Roman"/>
          <w:kern w:val="0"/>
          <w:sz w:val="24"/>
          <w:szCs w:val="24"/>
          <w:lang w:val="en-US" w:eastAsia="zh-CN" w:bidi="ar-SA"/>
        </w:rPr>
        <w:t>生活污水处理流程如图3.2-3。</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cs="Times New Roman"/>
          <w:kern w:val="0"/>
          <w:sz w:val="24"/>
          <w:szCs w:val="24"/>
          <w:lang w:val="en-US" w:eastAsia="zh-CN" w:bidi="ar-SA"/>
        </w:rPr>
        <w:object>
          <v:shape id="_x0000_i1031" o:spt="75" type="#_x0000_t75" style="height:103.25pt;width:294.75pt;" o:ole="t" filled="f" o:preferrelative="t" stroked="f" coordsize="21600,21600">
            <v:path/>
            <v:fill on="f" focussize="0,0"/>
            <v:stroke on="f"/>
            <v:imagedata r:id="rId36" o:title=""/>
            <o:lock v:ext="edit" aspectratio="f"/>
            <w10:wrap type="none"/>
            <w10:anchorlock/>
          </v:shape>
          <o:OLEObject Type="Embed" ProgID="Visio.Drawing.11" ShapeID="_x0000_i1031" DrawAspect="Content" ObjectID="_1468075731" r:id="rId35">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5"/>
        <w:ind w:firstLine="562"/>
      </w:pPr>
      <w:r>
        <w:rPr>
          <w:rFonts w:hint="eastAsia"/>
          <w:lang w:eastAsia="zh-CN"/>
        </w:rPr>
        <w:t>病死猪无害化处理工艺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病死动物尸体属于《国家危险废物目录》（2016年）中为防治动物传染而需要收集和处置的废物（废物代码为900-001-01），但根据环境保护部关于危害动物无害化处理有关意见的复函：《动物防疫法》明确要求病害动物应当按照国务院兽医主管部门的规定进行无害化处理，不得随意处置。由于法律位阶高于部门规章，因此病害动物无害化处理执行《动物防疫法》，病害动物按照《畜禽养殖业污染治理工程技术规范》（HJ497-2009）、《畜禽养殖业污染防治技术规范》（HJ/T81-2001）、《病害动物和病害动物产品生物安全处理规程》（GB16548-2006）、《畜禽病害肉尸及其产品无害化处理规程》（GB16548-1996）及《农业部关于进一步加强病死动物无害化处理监管工程的通知》（农医发〔2012〕12号）进行无害化处理，不再按照危险废物进行处置。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拟建项目配套病死猪无害处理设备1套，设备使用电能，利用高温实现无害化处理，并通过微生物发酵产生的脂肪酶、蛋白酶等物质降解动物有机体。即在高温化制杀菌的基础上，采用物料（选取农村常用的锯末、稻壳、秸秆等农副产品作为垫料）对产生的油脂进行吸附处理，可消除高温化制后产生的油脂，彻底解决高温化制后产生油脂的繁琐处理过程带来的处理成本增加的难题；同时，添加的辅料还可以改善物料的通透性，为后续的生物降解提供条件。在高温化制基础上利用微生物自身的增殖进行生物降解处理，可达到显著的减量化目的。病死猪及废弃物处理后生产成有机肥，做到无害化处理，资源化利用。 </w:t>
      </w:r>
    </w:p>
    <w:p>
      <w:pPr>
        <w:pStyle w:val="4"/>
      </w:pPr>
      <w:bookmarkStart w:id="36" w:name="_Toc7049"/>
      <w:bookmarkStart w:id="37" w:name="_Toc13174"/>
      <w:r>
        <w:rPr>
          <w:rFonts w:hint="eastAsia"/>
          <w:lang w:eastAsia="zh-CN"/>
        </w:rPr>
        <w:t>施工期污染源分析</w:t>
      </w:r>
      <w:bookmarkEnd w:id="36"/>
      <w:bookmarkEnd w:id="37"/>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本项目施工期预计为</w:t>
      </w:r>
      <w:r>
        <w:rPr>
          <w:rFonts w:hint="eastAsia" w:cs="Times New Roman"/>
          <w:kern w:val="0"/>
          <w:sz w:val="24"/>
          <w:szCs w:val="24"/>
          <w:lang w:val="en-US" w:eastAsia="zh-CN" w:bidi="ar-SA"/>
        </w:rPr>
        <w:t>8</w:t>
      </w:r>
      <w:r>
        <w:rPr>
          <w:rFonts w:hint="eastAsia" w:ascii="Times New Roman" w:hAnsi="Times New Roman" w:cs="Times New Roman"/>
          <w:kern w:val="0"/>
          <w:sz w:val="24"/>
          <w:szCs w:val="24"/>
          <w:lang w:val="en-US" w:eastAsia="zh-CN" w:bidi="ar-SA"/>
        </w:rPr>
        <w:t xml:space="preserve">个月，项目建设施工过程的基本程序为：土方开挖、基础工程、回填施工、主体工程、装饰施工和竣工验收。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施工期对外环境的影响主要体现在施工扬尘、施工机械及车辆废气影响；施工废水影响、施工机械、运输物料车辆噪声和施工固体废物堆放影响以及施工过程对局部生态环境产生不利影响。项目施工流程及污染物排放节点详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2" o:spt="75" type="#_x0000_t75" style="height:75.1pt;width:280.5pt;" o:ole="t" filled="f" o:preferrelative="t" stroked="f" coordsize="21600,21600">
            <v:path/>
            <v:fill on="f" focussize="0,0"/>
            <v:stroke on="f"/>
            <v:imagedata r:id="rId38" o:title=""/>
            <o:lock v:ext="edit" aspectratio="f"/>
            <w10:wrap type="none"/>
            <w10:anchorlock/>
          </v:shape>
          <o:OLEObject Type="Embed" ProgID="Visio.Drawing.11" ShapeID="_x0000_i1032" DrawAspect="Content" ObjectID="_1468075732" r:id="rId37">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val="0"/>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color w:val="000000"/>
          <w:sz w:val="21"/>
          <w:szCs w:val="21"/>
        </w:rPr>
        <w:t>图</w:t>
      </w:r>
      <w:r>
        <w:rPr>
          <w:rFonts w:hint="default" w:ascii="Times New Roman" w:hAnsi="Times New Roman" w:eastAsia="宋体" w:cs="Times New Roman"/>
          <w:b/>
          <w:bCs/>
          <w:color w:val="000000"/>
          <w:sz w:val="21"/>
          <w:szCs w:val="21"/>
          <w:lang w:val="en-US" w:eastAsia="zh-CN"/>
        </w:rPr>
        <w:t>3</w:t>
      </w:r>
      <w:r>
        <w:rPr>
          <w:rFonts w:hint="default" w:ascii="Times New Roman" w:hAnsi="Times New Roman" w:eastAsia="宋体" w:cs="Times New Roman"/>
          <w:b/>
          <w:bCs/>
          <w:color w:val="000000"/>
          <w:sz w:val="21"/>
          <w:szCs w:val="21"/>
        </w:rPr>
        <w:t xml:space="preserve">.3-1 项目施工期流程及产污节点图 </w:t>
      </w:r>
    </w:p>
    <w:p>
      <w:pPr>
        <w:pStyle w:val="5"/>
        <w:ind w:firstLine="562"/>
      </w:pPr>
      <w:r>
        <w:rPr>
          <w:rFonts w:hint="eastAsia"/>
          <w:lang w:eastAsia="zh-CN"/>
        </w:rPr>
        <w:t>施工期大气污染源分析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项目施工期产生的空气污染主要来自于施工过程产生的扬尘、运输车辆和施工机械排放的废气。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2" w:firstLineChars="200"/>
        <w:jc w:val="both"/>
        <w:textAlignment w:val="auto"/>
        <w:rPr>
          <w:rFonts w:hint="eastAsia" w:ascii="Times New Roman" w:hAnsi="Times New Roman" w:cs="Times New Roman"/>
          <w:kern w:val="0"/>
          <w:sz w:val="24"/>
          <w:szCs w:val="24"/>
          <w:lang w:val="en-US" w:eastAsia="zh-CN" w:bidi="ar-SA"/>
        </w:rPr>
      </w:pPr>
      <w:r>
        <w:rPr>
          <w:rFonts w:hint="eastAsia" w:cs="Times New Roman"/>
          <w:b/>
          <w:bCs/>
          <w:kern w:val="0"/>
          <w:sz w:val="24"/>
          <w:szCs w:val="24"/>
          <w:lang w:val="en-US" w:eastAsia="zh-CN" w:bidi="ar-SA"/>
        </w:rPr>
        <w:t>（1）扬尘</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由于挖取土、填方、推土及搬运泥土和水泥、石灰、沙石等的装卸、运输、拌合过程中有大量尘埃散逸到环境空气中。同时，道路施工时运送物料的汽车运行，在自然风力的作用下土堆、料堆、暂时闲置的裸露施工作业等都会引起扬尘污染，尤其是在风速较大或装卸、汽车行驶速度较快的情况下，扬尘的污染尤为突出。这些大气污染物点较分散，源高一般在15m以下，属于无组织排放，主要污染因子为TSP。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根据类比，受到施工扬尘影响的区域主要是在施工场地的范围内，场地下风向也将受到一定影响，但影响范围不超过下风向200m，100m外不会造成TSP浓度的明显超标。施工扬尘对周围环境的影响情况见表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表3.3-1   施工扬尘对周围环境的影响（TSP浓度单位：mg/m</w:t>
      </w:r>
      <w:r>
        <w:rPr>
          <w:rFonts w:hint="default" w:ascii="Times New Roman" w:hAnsi="Times New Roman" w:eastAsia="宋体" w:cs="Times New Roman"/>
          <w:b/>
          <w:bCs/>
          <w:kern w:val="0"/>
          <w:sz w:val="21"/>
          <w:szCs w:val="21"/>
          <w:vertAlign w:val="superscript"/>
          <w:lang w:val="en-US" w:eastAsia="zh-CN" w:bidi="ar-SA"/>
        </w:rPr>
        <w:t>3</w:t>
      </w:r>
      <w:r>
        <w:rPr>
          <w:rFonts w:hint="default" w:ascii="Times New Roman" w:hAnsi="Times New Roman" w:eastAsia="宋体" w:cs="Times New Roman"/>
          <w:b/>
          <w:bCs/>
          <w:kern w:val="0"/>
          <w:sz w:val="21"/>
          <w:szCs w:val="21"/>
          <w:lang w:val="en-US" w:eastAsia="zh-CN" w:bidi="ar-SA"/>
        </w:rPr>
        <w:t>）</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下风向距离m</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风俗＜3m/s</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风俗3~5m/s</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风俗5~8m/s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0.44</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0.16</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249"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w:t>
            </w:r>
          </w:p>
        </w:tc>
        <w:tc>
          <w:tcPr>
            <w:tcW w:w="1249"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0.06</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r>
    </w:tbl>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2"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运输车辆动力扬尘</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据有关调查显示，运输车辆行驶产生的扬尘，与道路路面及车辆行驶速度有关。在完全干燥的情况下，可按经验公式计算：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position w:val="-18"/>
          <w:sz w:val="24"/>
          <w:szCs w:val="24"/>
          <w:lang w:val="en-US" w:eastAsia="zh-CN" w:bidi="ar-SA"/>
        </w:rPr>
        <w:object>
          <v:shape id="_x0000_i1033" o:spt="75" type="#_x0000_t75" style="height:26pt;width:162pt;" o:ole="t" filled="f" o:preferrelative="t" stroked="f" coordsize="21600,21600">
            <v:path/>
            <v:fill on="f" focussize="0,0"/>
            <v:stroke on="f"/>
            <v:imagedata r:id="rId40" o:title=""/>
            <o:lock v:ext="edit" aspectratio="t"/>
            <w10:wrap type="none"/>
            <w10:anchorlock/>
          </v:shape>
          <o:OLEObject Type="Embed" ProgID="Equation.KSEE3" ShapeID="_x0000_i1033" DrawAspect="Content" ObjectID="_1468075733" r:id="rId39">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式中： </w:t>
      </w:r>
      <w:r>
        <w:rPr>
          <w:rFonts w:hint="eastAsia" w:cs="Times New Roman"/>
          <w:kern w:val="0"/>
          <w:sz w:val="24"/>
          <w:szCs w:val="24"/>
          <w:lang w:val="en-US" w:eastAsia="zh-CN" w:bidi="ar-SA"/>
        </w:rPr>
        <w:t xml:space="preserve"> </w:t>
      </w:r>
      <w:r>
        <w:rPr>
          <w:rFonts w:hint="eastAsia" w:ascii="Times New Roman" w:hAnsi="Times New Roman" w:cs="Times New Roman"/>
          <w:kern w:val="0"/>
          <w:sz w:val="24"/>
          <w:szCs w:val="24"/>
          <w:lang w:val="en-US" w:eastAsia="zh-CN" w:bidi="ar-SA"/>
        </w:rPr>
        <w:t xml:space="preserve">Q—汽车行驶时的扬尘，kg/km•辆；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V—汽车速度，km/h；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W—汽车载重量，t；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P—道路表面粉尘量，kg/m</w:t>
      </w:r>
      <w:r>
        <w:rPr>
          <w:rFonts w:hint="eastAsia" w:ascii="Times New Roman" w:hAnsi="Times New Roman" w:cs="Times New Roman"/>
          <w:kern w:val="0"/>
          <w:sz w:val="24"/>
          <w:szCs w:val="24"/>
          <w:vertAlign w:val="superscript"/>
          <w:lang w:val="en-US" w:eastAsia="zh-CN" w:bidi="ar-SA"/>
        </w:rPr>
        <w:t>2</w:t>
      </w:r>
      <w:r>
        <w:rPr>
          <w:rFonts w:hint="eastAsia" w:ascii="Times New Roman" w:hAnsi="Times New Roman" w:cs="Times New Roman"/>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kern w:val="0"/>
          <w:sz w:val="24"/>
          <w:szCs w:val="24"/>
          <w:lang w:val="en-US" w:eastAsia="zh-CN" w:bidi="ar-SA"/>
        </w:rPr>
        <w:t>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.3-2中为一辆10吨卡车，通过一段长度为1km的路面时，不同路面清洁程度，不同行驶速度情况下的扬尘量。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ascii="Times New Roman" w:hAnsi="Times New Roman" w:cs="Times New Roman"/>
          <w:b/>
          <w:bCs/>
          <w:kern w:val="0"/>
          <w:sz w:val="21"/>
          <w:szCs w:val="21"/>
          <w:lang w:val="en-US" w:eastAsia="zh-CN" w:bidi="ar-SA"/>
        </w:rPr>
        <w:t>表3.3-2 在不同车速和地面清洁程度的汽车扬尘 单位：kg/辆•m</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车速</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5（km/hr）</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0.051</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0.086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0.116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0.144</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0.232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0.341</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0.153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0.257</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0.433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0.512</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20（km/hr）</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0.255</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0.429</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0.582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0.722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0.853</w:t>
            </w:r>
          </w:p>
        </w:tc>
        <w:tc>
          <w:tcPr>
            <w:tcW w:w="714"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1.435</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.3-2可知，在同样路面清洁程度条件下，车速越快，扬尘量越大；在同样车速情况下，路面越脏，扬尘量越大。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2" w:firstLine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（3）施工机械尾气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项目运送施工材料、设施的重型车辆，挖掘机、推土机等施工机械主要以柴油为燃料，这些车辆和机械在行驶和运行时排放的尾气包含的有害物质主要有CO、THC、SO</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 xml:space="preserve">、NOx等，加上重型车辆和机械尾气排放量较大，故尾气排放也会使项目所在区域的大气环境受到污染。项目施工机械均较为分散，机械数量不大，产生的燃油尾气量不大。 </w:t>
      </w:r>
    </w:p>
    <w:p>
      <w:pPr>
        <w:pStyle w:val="5"/>
        <w:ind w:firstLine="562"/>
      </w:pPr>
      <w:r>
        <w:rPr>
          <w:rFonts w:hint="eastAsia"/>
          <w:lang w:eastAsia="zh-CN"/>
        </w:rPr>
        <w:t>施工期废水污染源分析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项目施工期废水污染源主要包括各种运输车辆及施工机械所产生的清洗废水、施工过程的建筑排水以及施工人员的生活污水。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（1）</w:t>
      </w:r>
      <w:r>
        <w:rPr>
          <w:rFonts w:hint="eastAsia" w:ascii="Times New Roman" w:hAnsi="Times New Roman" w:cs="Times New Roman"/>
          <w:b/>
          <w:bCs/>
          <w:kern w:val="0"/>
          <w:sz w:val="24"/>
          <w:szCs w:val="24"/>
          <w:lang w:val="en-US" w:eastAsia="zh-CN" w:bidi="ar-SA"/>
        </w:rPr>
        <w:t xml:space="preserve">施工废水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项目施工期为</w:t>
      </w:r>
      <w:r>
        <w:rPr>
          <w:rFonts w:hint="eastAsia" w:cs="Times New Roman"/>
          <w:kern w:val="0"/>
          <w:sz w:val="24"/>
          <w:szCs w:val="24"/>
          <w:lang w:val="en-US" w:eastAsia="zh-CN" w:bidi="ar-SA"/>
        </w:rPr>
        <w:t>8</w:t>
      </w:r>
      <w:r>
        <w:rPr>
          <w:rFonts w:hint="default" w:ascii="Times New Roman" w:hAnsi="Times New Roman" w:eastAsia="宋体" w:cs="Times New Roman"/>
          <w:kern w:val="0"/>
          <w:sz w:val="24"/>
          <w:szCs w:val="24"/>
          <w:lang w:val="en-US" w:eastAsia="zh-CN" w:bidi="ar-SA"/>
        </w:rPr>
        <w:t>个月（按</w:t>
      </w:r>
      <w:r>
        <w:rPr>
          <w:rFonts w:hint="eastAsia" w:cs="Times New Roman"/>
          <w:kern w:val="0"/>
          <w:sz w:val="24"/>
          <w:szCs w:val="24"/>
          <w:lang w:val="en-US" w:eastAsia="zh-CN" w:bidi="ar-SA"/>
        </w:rPr>
        <w:t>240</w:t>
      </w:r>
      <w:r>
        <w:rPr>
          <w:rFonts w:hint="default" w:ascii="Times New Roman" w:hAnsi="Times New Roman" w:eastAsia="宋体" w:cs="Times New Roman"/>
          <w:kern w:val="0"/>
          <w:sz w:val="24"/>
          <w:szCs w:val="24"/>
          <w:lang w:val="en-US" w:eastAsia="zh-CN" w:bidi="ar-SA"/>
        </w:rPr>
        <w:t>天计），施工平均人数每天按50人计，均不在施工场地食宿；施工人员生活用水量按80L/人·d计，则生活用水量为4m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960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/a。生活污水产生量按用水量的80%计，则污水产生量为3.2m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/a。根据类比资料，施工生活污水的主要污染因子为COD、BOD、SS和NH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-N等。项目施工期产生的废水水量及经过处理前后水质情况见表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.3-3。施工人员生活污水经化粪池处理后</w:t>
      </w:r>
      <w:r>
        <w:rPr>
          <w:rFonts w:hint="eastAsia" w:cs="Times New Roman"/>
          <w:kern w:val="0"/>
          <w:sz w:val="24"/>
          <w:szCs w:val="24"/>
          <w:lang w:val="en-US" w:eastAsia="zh-CN" w:bidi="ar-SA"/>
        </w:rPr>
        <w:t>回用绿化</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表3.3-3   生活污水各污染物产排情况</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9"/>
        <w:gridCol w:w="1421"/>
        <w:gridCol w:w="1421"/>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污染物</w:t>
            </w:r>
          </w:p>
        </w:tc>
        <w:tc>
          <w:tcPr>
            <w:tcW w:w="644"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废水量</w:t>
            </w:r>
          </w:p>
        </w:tc>
        <w:tc>
          <w:tcPr>
            <w:tcW w:w="8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COD</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BOD</w:t>
            </w:r>
            <w:r>
              <w:rPr>
                <w:rFonts w:hint="eastAsia" w:ascii="Times New Roman" w:hAnsi="Times New Roman" w:cs="Times New Roman"/>
                <w:kern w:val="0"/>
                <w:sz w:val="21"/>
                <w:szCs w:val="21"/>
                <w:vertAlign w:val="subscript"/>
                <w:lang w:val="en-US" w:eastAsia="zh-CN" w:bidi="ar-SA"/>
              </w:rPr>
              <w:t>5</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SS</w:t>
            </w:r>
          </w:p>
        </w:tc>
        <w:tc>
          <w:tcPr>
            <w:tcW w:w="833" w:type="pct"/>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r>
              <w:rPr>
                <w:rFonts w:hint="eastAsia" w:ascii="Times New Roman" w:hAnsi="Times New Roman" w:cs="Times New Roman"/>
                <w:kern w:val="0"/>
                <w:sz w:val="21"/>
                <w:szCs w:val="21"/>
                <w:vertAlign w:val="baseline"/>
                <w:lang w:val="en-US" w:eastAsia="zh-CN" w:bidi="ar-SA"/>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产生浓度（mg/L）</w:t>
            </w:r>
          </w:p>
        </w:tc>
        <w:tc>
          <w:tcPr>
            <w:tcW w:w="644" w:type="pct"/>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w:t>
            </w:r>
          </w:p>
        </w:tc>
        <w:tc>
          <w:tcPr>
            <w:tcW w:w="8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产生量（t/a）</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0.173</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浓度（mg/L）</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bottom w:val="single" w:color="auto" w:sz="12" w:space="0"/>
            </w:tcBorders>
            <w:vAlign w:val="top"/>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量（t/a）</w:t>
            </w:r>
          </w:p>
        </w:tc>
        <w:tc>
          <w:tcPr>
            <w:tcW w:w="644" w:type="pct"/>
            <w:vMerge w:val="continue"/>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0.144</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bl>
    <w:p>
      <w:pPr>
        <w:pStyle w:val="5"/>
        <w:ind w:firstLine="562"/>
      </w:pPr>
      <w:r>
        <w:rPr>
          <w:rFonts w:hint="eastAsia"/>
          <w:lang w:eastAsia="zh-CN"/>
        </w:rPr>
        <w:t>施工期噪声污染源分析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的噪声源主要是施工机械噪声、施工作业噪声以及交通噪声。在施工过程中，土石方开挖、钻孔、砂石料破碎、混凝土搅拌和浇筑、大型机械设备和运输车辆的运行等都将产生较强的噪声，且这些噪声均为间歇性非稳定声源。参考类比调查资料，项目主要施工机械噪声值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 xml:space="preserve">.3-4。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表3.3-4   各种施工机械噪声值   单位：dB（A）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211"/>
        <w:gridCol w:w="1629"/>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挖掘机</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装载机</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推土机</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混凝土搅拌机</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捣振器</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卡车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90.0</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95.0</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82.0</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b/>
          <w:bCs/>
          <w:kern w:val="0"/>
          <w:sz w:val="18"/>
          <w:szCs w:val="18"/>
          <w:lang w:val="en-US" w:eastAsia="zh-CN" w:bidi="ar-SA"/>
        </w:rPr>
        <w:t>注：监测距离为距声源1m。</w:t>
      </w:r>
    </w:p>
    <w:p>
      <w:pPr>
        <w:pStyle w:val="5"/>
        <w:ind w:firstLine="562"/>
      </w:pPr>
      <w:r>
        <w:rPr>
          <w:rFonts w:hint="eastAsia"/>
          <w:lang w:eastAsia="zh-CN"/>
        </w:rPr>
        <w:t>施工期固体废物污染源分析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项目施工期产生的固体废物主要包括建筑垃圾、废弃土方和施工人员产生的生活垃圾。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 xml:space="preserve">生活垃圾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项目场地施工人员拟定50人，生活垃圾产生量以1.0kg/(d·人)计，生活垃圾产生量为50kg/d，</w:t>
      </w:r>
      <w:r>
        <w:rPr>
          <w:rFonts w:hint="eastAsia" w:ascii="Times New Roman" w:hAnsi="Times New Roman"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 xml:space="preserve">t/a。施工期生活垃圾应采用定点收集方式，设立专门的容器加以收集，并运往附近村屯的生活垃圾处理点处置。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2"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（2）建筑垃圾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过程中产生的建筑垃圾包括砂土、石块、水泥、碎木料、锯木屑、废金属、钢筋、铁丝、土石方等杂物。建筑垃圾的产生量与施工水平、管理水平、建筑类型有直接的联系，建筑垃圾产生量采用建筑面积发展预测法进行计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jc w:val="center"/>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Js = Qs × Cs</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式中： Js —年建筑垃圾产生量（t/a）；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1200" w:firstLineChars="5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 Qs —年建筑面积（m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1440" w:firstLineChars="6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Cs —年平均每平方米建筑面积建筑垃圾产生量（t/a·m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根据同类工程调查，每平方米建筑面积将产生2~5kg左右的建筑垃圾，本次评价取每平方米建筑面积产生2.0kg建筑垃圾。对于可以回收利用的建筑材料，如废金属、废钢筋、废铁丝、废砖块、废木材等应尽量回收利用；其他不能回收利用的建筑材料运至市政指定地点堆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（3）废弃土方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根据项目施工设计，本项目取土和弃土基本在用地区域内进行，在高处取土，弃土用于填平地基、景观绿化用途和场地内凹凸不平之处。本项目施工场地土石方经场内平衡后，挖填方平衡，弃方量为零</w:t>
      </w:r>
    </w:p>
    <w:p>
      <w:pPr>
        <w:pStyle w:val="5"/>
        <w:ind w:firstLine="562"/>
      </w:pPr>
      <w:r>
        <w:rPr>
          <w:rFonts w:hint="eastAsia"/>
          <w:lang w:eastAsia="zh-CN"/>
        </w:rPr>
        <w:t>施工期生态环境影响分析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施工期生态影响主要表现为植被破坏、水土流失等。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（1）植被破坏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根据调查，项目现状占地类型主要为</w:t>
      </w:r>
      <w:r>
        <w:rPr>
          <w:rFonts w:hint="eastAsia" w:ascii="Times New Roman" w:hAnsi="Times New Roman" w:cs="Times New Roman"/>
          <w:kern w:val="0"/>
          <w:sz w:val="24"/>
          <w:szCs w:val="24"/>
          <w:lang w:val="en-US" w:eastAsia="zh-CN" w:bidi="ar-SA"/>
        </w:rPr>
        <w:t>林地、农用地</w:t>
      </w:r>
      <w:r>
        <w:rPr>
          <w:rFonts w:hint="default" w:ascii="Times New Roman" w:hAnsi="Times New Roman" w:eastAsia="宋体" w:cs="Times New Roman"/>
          <w:kern w:val="0"/>
          <w:sz w:val="24"/>
          <w:szCs w:val="24"/>
          <w:lang w:val="en-US" w:eastAsia="zh-CN" w:bidi="ar-SA"/>
        </w:rPr>
        <w:t>，植被类型单一。施工期场地平整、基础开挖等施工活动将铲除地表原有植被，造成地表裸露，破坏地表植被和结构，使原有的生态结构发生一定变化，从而对生态环境产生一定影响，同时由于拟建项目占用农地将减少区域农作物产量及生物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（2）水土流失</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施工期间进行基础施工及局部场地平整将会造成一定程度的水土流失，主要体现在： </w:t>
      </w:r>
    </w:p>
    <w:p>
      <w:pPr>
        <w:pStyle w:val="8"/>
        <w:keepNext w:val="0"/>
        <w:keepLines w:val="0"/>
        <w:pageBreakBefore w:val="0"/>
        <w:widowControl w:val="0"/>
        <w:numPr>
          <w:ilvl w:val="0"/>
          <w:numId w:val="16"/>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裸露地表：该项目在施工过程中，将进行较大面积的开挖，使地表土壤裸露，造成水土流失。如果再配合长时间的降雨天气，造成的水土流失量将会加重。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2）施工过程中的挖填方临时土堆：项目施工会产生开挖与填方，中间过程会产生土方的临时堆存，土堆的斜坡坡面因种种原因通常不进行碾压处理，土质疏松，容易造成水土流失。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针对本项目的实际情况，建设单位拟采取以下生态减缓措补偿施、水土流失保持措施：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1）施工前做好土石方平衡，严格控制施工线路，施工范围，避免对施工区外的生态环境造成破坏，减少土石方的开挖。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2）建设所需物料尽量堆放在场区，减少对土地的占用，减少对生态的影响。</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3）禁止建筑垃圾乱堆乱放，占压施工场地以外土地。在加快施工进度的前提下，施工完毕后进行覆土绿化，破坏的植被进行及时恢复。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4）设置导流系统：及时做好排水导流工作，减轻水流对裸露地表的冲刷。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5）施工时间选择：项目应合理安排施工，尽量将土石方开挖期避开大规模的降雨天气，并尽量缩短挖方时间，尽量在雨季到来之前完成挖方工程。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6）项目所在地挖方、填方应尽量平衡，剥离土石方就地消化为填土石方。对开挖的土壤分层堆放，分层回填，以保护植被生长层，恢复土壤生产力。</w:t>
      </w:r>
    </w:p>
    <w:p>
      <w:pPr>
        <w:pStyle w:val="4"/>
      </w:pPr>
      <w:bookmarkStart w:id="38" w:name="_Toc20717"/>
      <w:bookmarkStart w:id="39" w:name="_Toc2699"/>
      <w:r>
        <w:rPr>
          <w:rFonts w:hint="eastAsia"/>
          <w:lang w:eastAsia="zh-CN"/>
        </w:rPr>
        <w:t>营运期污染源分析</w:t>
      </w:r>
      <w:bookmarkEnd w:id="38"/>
      <w:bookmarkEnd w:id="39"/>
    </w:p>
    <w:p>
      <w:pPr>
        <w:pStyle w:val="5"/>
        <w:ind w:firstLine="562"/>
      </w:pPr>
      <w:r>
        <w:rPr>
          <w:rFonts w:hint="eastAsia"/>
          <w:lang w:eastAsia="zh-CN"/>
        </w:rPr>
        <w:t>营运期大气污染源分析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本项目建成运营后，大气污染物主要来源于猪舍、污水处理</w:t>
      </w:r>
      <w:r>
        <w:rPr>
          <w:rFonts w:hint="eastAsia" w:cs="Times New Roman"/>
          <w:kern w:val="0"/>
          <w:sz w:val="24"/>
          <w:szCs w:val="24"/>
          <w:lang w:val="en-US" w:eastAsia="zh-CN" w:bidi="ar-SA"/>
        </w:rPr>
        <w:t>设施及异位发酵床</w:t>
      </w:r>
      <w:r>
        <w:rPr>
          <w:rFonts w:hint="eastAsia" w:ascii="Times New Roman" w:hAnsi="Times New Roman" w:cs="Times New Roman"/>
          <w:kern w:val="0"/>
          <w:sz w:val="24"/>
          <w:szCs w:val="24"/>
          <w:lang w:val="en-US" w:eastAsia="zh-CN" w:bidi="ar-SA"/>
        </w:rPr>
        <w:t>产生的恶臭气体、员工食堂产生的油烟废气以及柴油发电机产生的尾气等。</w:t>
      </w:r>
    </w:p>
    <w:p>
      <w:pPr>
        <w:pStyle w:val="6"/>
      </w:pPr>
      <w:r>
        <w:rPr>
          <w:rFonts w:hint="eastAsia"/>
          <w:lang w:eastAsia="zh-CN"/>
        </w:rPr>
        <w:t>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恶臭臭气是许多单一臭气物质相互作用的产物。目前，已鉴定出在猪粪尿中有恶臭成分220种，这些物质都是产生生化反应的中间产物或终端产物，其中包括了多种挥发性有机酸、醇类物质、醛类物质、不流动气体、酯类物质、胺类物质、硫化物、硫醇以及含氮杂环类物质。在粪便中还发现80多种含氮化合物，其中有10种与恶臭味有关，其中对环境危害较大的是氨气、硫化氢等。鉴于目前的环境标准和监测手段，此次评价仅以其中的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S和NH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进行计算和分析。主要恶臭物质的理化性质见表3.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-1   恶臭物质理化特征</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恶臭物质</w:t>
            </w:r>
          </w:p>
        </w:tc>
        <w:tc>
          <w:tcPr>
            <w:tcW w:w="213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分子式</w:t>
            </w:r>
          </w:p>
        </w:tc>
        <w:tc>
          <w:tcPr>
            <w:tcW w:w="213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嗅阈值（ppm）</w:t>
            </w:r>
          </w:p>
        </w:tc>
        <w:tc>
          <w:tcPr>
            <w:tcW w:w="213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臭气特征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氨</w:t>
            </w:r>
          </w:p>
        </w:tc>
        <w:tc>
          <w:tcPr>
            <w:tcW w:w="213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1.54</w:t>
            </w:r>
          </w:p>
        </w:tc>
        <w:tc>
          <w:tcPr>
            <w:tcW w:w="2131"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硫化氢</w:t>
            </w:r>
          </w:p>
        </w:tc>
        <w:tc>
          <w:tcPr>
            <w:tcW w:w="213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H</w:t>
            </w:r>
            <w:r>
              <w:rPr>
                <w:rFonts w:hint="eastAsia" w:ascii="Times New Roman" w:hAnsi="Times New Roman" w:cs="Times New Roman"/>
                <w:kern w:val="0"/>
                <w:sz w:val="21"/>
                <w:szCs w:val="21"/>
                <w:vertAlign w:val="subscript"/>
                <w:lang w:val="en-US" w:eastAsia="zh-CN" w:bidi="ar-SA"/>
              </w:rPr>
              <w:t>2</w:t>
            </w:r>
            <w:r>
              <w:rPr>
                <w:rFonts w:hint="eastAsia" w:ascii="Times New Roman" w:hAnsi="Times New Roman" w:cs="Times New Roman"/>
                <w:kern w:val="0"/>
                <w:sz w:val="21"/>
                <w:szCs w:val="21"/>
                <w:vertAlign w:val="baseline"/>
                <w:lang w:val="en-US" w:eastAsia="zh-CN" w:bidi="ar-SA"/>
              </w:rPr>
              <w:t>S</w:t>
            </w: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0.0041</w:t>
            </w:r>
          </w:p>
        </w:tc>
        <w:tc>
          <w:tcPr>
            <w:tcW w:w="213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（1）猪舍恶臭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内的氨气来源主要分为两种：一种胃肠道内的氨，来源于粪尿、肠胃消化物等，尿氮主要是以尿素形式存在，很容易被脲酶水解，催化生成氨气和二氧化碳。粪氮主要是以有机物形式存在，不容易分解，但也是氨气形成过程中氮的一个来源。另一种是舍内环境氨，是通过堆积的粪尿、饲料残渣和垫草等有机物腐败分解而产生的。在垫料潮湿、酸碱度适宜和温度高、粪便多而有相当空气的情况下，氨气产生更快。畜禽舍中氨气的含量取决于舍内温度、饲养密度、通风情况、地面结构、饲养管理水平、粪污清除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猪舍采用全漏缝地板免冲洗工艺饲养，猪舍内通过通风系统进行空气流动，猪舍的风扇将空气排到室外，室外的空气就会自动的从屋檐下方进入到室内，通风的效率较高，并通过通风和水帘来达到降温效果，项目采用氨基酸平衡的低蛋白饲料，并添加EM菌对生猪进行喂养，从源头上减少了臭味气体的产生。定期对猪舍和粪堆喷洒EM菌，可除臭、驱蚊蝇，改善饲养环境。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恶臭属于面源污染，无组织扩散，目前较难统计出较准确的产生量。项目参考中国环境科学学会学术年会论文集（2010）天津市环境影响评价中心孙艳青等人发布的论文《养猪场恶臭影响量化分析及控制对策研究》，确定养猪场猪舍恶臭气体的排放源强系数如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-2  猪舍NH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S排放源强系数表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3615"/>
        <w:gridCol w:w="3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3615" w:type="dxa"/>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NH</w:t>
            </w:r>
            <w:r>
              <w:rPr>
                <w:rFonts w:hint="default" w:ascii="Times New Roman" w:hAnsi="Times New Roman" w:eastAsia="宋体" w:cs="Times New Roman"/>
                <w:b w:val="0"/>
                <w:bCs w:val="0"/>
                <w:kern w:val="0"/>
                <w:sz w:val="21"/>
                <w:szCs w:val="21"/>
                <w:vertAlign w:val="subscript"/>
                <w:lang w:val="en-US" w:eastAsia="zh-CN" w:bidi="ar-SA"/>
              </w:rPr>
              <w:t>3</w:t>
            </w:r>
            <w:r>
              <w:rPr>
                <w:rFonts w:hint="default" w:ascii="Times New Roman" w:hAnsi="Times New Roman" w:eastAsia="宋体" w:cs="Times New Roman"/>
                <w:b w:val="0"/>
                <w:bCs w:val="0"/>
                <w:kern w:val="0"/>
                <w:sz w:val="21"/>
                <w:szCs w:val="21"/>
                <w:lang w:val="en-US" w:eastAsia="zh-CN" w:bidi="ar-SA"/>
              </w:rPr>
              <w:t>排放</w:t>
            </w:r>
            <w:r>
              <w:rPr>
                <w:rFonts w:hint="eastAsia" w:cs="Times New Roman"/>
                <w:b w:val="0"/>
                <w:bCs w:val="0"/>
                <w:kern w:val="0"/>
                <w:sz w:val="21"/>
                <w:szCs w:val="21"/>
                <w:lang w:val="en-US" w:eastAsia="zh-CN" w:bidi="ar-SA"/>
              </w:rPr>
              <w:t>强度（g/(头·d））</w:t>
            </w:r>
          </w:p>
        </w:tc>
        <w:tc>
          <w:tcPr>
            <w:tcW w:w="3796" w:type="dxa"/>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H</w:t>
            </w:r>
            <w:r>
              <w:rPr>
                <w:rFonts w:hint="default" w:ascii="Times New Roman" w:hAnsi="Times New Roman" w:eastAsia="宋体" w:cs="Times New Roman"/>
                <w:b w:val="0"/>
                <w:bCs w:val="0"/>
                <w:kern w:val="0"/>
                <w:sz w:val="21"/>
                <w:szCs w:val="21"/>
                <w:vertAlign w:val="subscript"/>
                <w:lang w:val="en-US" w:eastAsia="zh-CN" w:bidi="ar-SA"/>
              </w:rPr>
              <w:t>2</w:t>
            </w:r>
            <w:r>
              <w:rPr>
                <w:rFonts w:hint="default" w:ascii="Times New Roman" w:hAnsi="Times New Roman" w:eastAsia="宋体" w:cs="Times New Roman"/>
                <w:b w:val="0"/>
                <w:bCs w:val="0"/>
                <w:kern w:val="0"/>
                <w:sz w:val="21"/>
                <w:szCs w:val="21"/>
                <w:lang w:val="en-US" w:eastAsia="zh-CN" w:bidi="ar-SA"/>
              </w:rPr>
              <w:t>S排放</w:t>
            </w:r>
            <w:r>
              <w:rPr>
                <w:rFonts w:hint="eastAsia" w:cs="Times New Roman"/>
                <w:b w:val="0"/>
                <w:bCs w:val="0"/>
                <w:kern w:val="0"/>
                <w:sz w:val="21"/>
                <w:szCs w:val="21"/>
                <w:lang w:val="en-US" w:eastAsia="zh-CN" w:bidi="ar-SA"/>
              </w:rPr>
              <w:t>强度（g/(头·d））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3615" w:type="dxa"/>
            <w:tcBorders>
              <w:top w:val="single" w:color="auto" w:sz="12" w:space="0"/>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0.3</w:t>
            </w:r>
          </w:p>
        </w:tc>
        <w:tc>
          <w:tcPr>
            <w:tcW w:w="3796" w:type="dxa"/>
            <w:tcBorders>
              <w:top w:val="single" w:color="auto" w:sz="12" w:space="0"/>
              <w:bottom w:val="single" w:color="auto" w:sz="4"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4"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3615" w:type="dxa"/>
            <w:tcBorders>
              <w:top w:val="single" w:color="auto" w:sz="4"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3796" w:type="dxa"/>
            <w:tcBorders>
              <w:top w:val="single" w:color="auto" w:sz="4"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0.07</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拟建项目常年</w:t>
      </w:r>
      <w:r>
        <w:rPr>
          <w:rFonts w:hint="eastAsia" w:cs="Times New Roman"/>
          <w:kern w:val="0"/>
          <w:sz w:val="24"/>
          <w:szCs w:val="24"/>
          <w:lang w:val="en-US" w:eastAsia="zh-CN" w:bidi="ar-SA"/>
        </w:rPr>
        <w:t>保育猪</w:t>
      </w:r>
      <w:r>
        <w:rPr>
          <w:rFonts w:hint="eastAsia" w:ascii="Times New Roman" w:hAnsi="Times New Roman" w:cs="Times New Roman"/>
          <w:kern w:val="0"/>
          <w:sz w:val="24"/>
          <w:szCs w:val="24"/>
          <w:lang w:val="en-US" w:eastAsia="zh-CN" w:bidi="ar-SA"/>
        </w:rPr>
        <w:t>存栏量为</w:t>
      </w:r>
      <w:r>
        <w:rPr>
          <w:rFonts w:hint="eastAsia" w:cs="Times New Roman"/>
          <w:kern w:val="0"/>
          <w:sz w:val="24"/>
          <w:szCs w:val="24"/>
          <w:lang w:val="en-US" w:eastAsia="zh-CN" w:bidi="ar-SA"/>
        </w:rPr>
        <w:t>1855</w:t>
      </w:r>
      <w:r>
        <w:rPr>
          <w:rFonts w:hint="eastAsia" w:ascii="Times New Roman" w:hAnsi="Times New Roman" w:cs="Times New Roman"/>
          <w:kern w:val="0"/>
          <w:sz w:val="24"/>
          <w:szCs w:val="24"/>
          <w:lang w:val="en-US" w:eastAsia="zh-CN" w:bidi="ar-SA"/>
        </w:rPr>
        <w:t>头</w:t>
      </w:r>
      <w:r>
        <w:rPr>
          <w:rFonts w:hint="eastAsia" w:cs="Times New Roman"/>
          <w:kern w:val="0"/>
          <w:sz w:val="24"/>
          <w:szCs w:val="24"/>
          <w:lang w:val="en-US" w:eastAsia="zh-CN" w:bidi="ar-SA"/>
        </w:rPr>
        <w:t>、育肥猪</w:t>
      </w:r>
      <w:r>
        <w:rPr>
          <w:rFonts w:hint="eastAsia" w:ascii="Times New Roman" w:hAnsi="Times New Roman" w:cs="Times New Roman"/>
          <w:kern w:val="0"/>
          <w:sz w:val="24"/>
          <w:szCs w:val="24"/>
          <w:lang w:val="en-US" w:eastAsia="zh-CN" w:bidi="ar-SA"/>
        </w:rPr>
        <w:t>存栏量</w:t>
      </w:r>
      <w:r>
        <w:rPr>
          <w:rFonts w:hint="eastAsia" w:cs="Times New Roman"/>
          <w:kern w:val="0"/>
          <w:sz w:val="24"/>
          <w:szCs w:val="24"/>
          <w:lang w:val="en-US" w:eastAsia="zh-CN" w:bidi="ar-SA"/>
        </w:rPr>
        <w:t>5500头</w:t>
      </w:r>
      <w:r>
        <w:rPr>
          <w:rFonts w:hint="eastAsia" w:ascii="Times New Roman" w:hAnsi="Times New Roman" w:cs="Times New Roman"/>
          <w:kern w:val="0"/>
          <w:sz w:val="24"/>
          <w:szCs w:val="24"/>
          <w:lang w:val="en-US" w:eastAsia="zh-CN" w:bidi="ar-SA"/>
        </w:rPr>
        <w:t>，则猪舍NH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 3.3-3   项目各猪舍</w:t>
      </w:r>
      <w:r>
        <w:rPr>
          <w:rFonts w:hint="default" w:ascii="Times New Roman" w:hAnsi="Times New Roman" w:eastAsia="宋体" w:cs="Times New Roman"/>
          <w:b/>
          <w:bCs/>
          <w:kern w:val="0"/>
          <w:sz w:val="21"/>
          <w:szCs w:val="21"/>
          <w:lang w:val="en-US" w:eastAsia="zh-CN" w:bidi="ar-SA"/>
        </w:rPr>
        <w:t>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w:t>
      </w:r>
      <w:r>
        <w:rPr>
          <w:rFonts w:hint="eastAsia" w:cs="Times New Roman"/>
          <w:b/>
          <w:bCs/>
          <w:kern w:val="0"/>
          <w:sz w:val="21"/>
          <w:szCs w:val="21"/>
          <w:lang w:val="en-US" w:eastAsia="zh-CN" w:bidi="ar-SA"/>
        </w:rPr>
        <w:t>排放源强产生情况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142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数量（头）</w:t>
            </w:r>
          </w:p>
        </w:tc>
        <w:tc>
          <w:tcPr>
            <w:tcW w:w="2840" w:type="dxa"/>
            <w:gridSpan w:val="2"/>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NH</w:t>
            </w:r>
            <w:r>
              <w:rPr>
                <w:rFonts w:hint="eastAsia" w:cs="Times New Roman"/>
                <w:kern w:val="0"/>
                <w:sz w:val="21"/>
                <w:szCs w:val="21"/>
                <w:vertAlign w:val="subscript"/>
                <w:lang w:val="en-US" w:eastAsia="zh-CN" w:bidi="ar-SA"/>
              </w:rPr>
              <w:t>3</w:t>
            </w:r>
            <w:r>
              <w:rPr>
                <w:rFonts w:hint="eastAsia" w:cs="Times New Roman"/>
                <w:kern w:val="0"/>
                <w:sz w:val="21"/>
                <w:szCs w:val="21"/>
                <w:vertAlign w:val="baseline"/>
                <w:lang w:val="en-US" w:eastAsia="zh-CN" w:bidi="ar-SA"/>
              </w:rPr>
              <w:t>产生量</w:t>
            </w:r>
          </w:p>
        </w:tc>
        <w:tc>
          <w:tcPr>
            <w:tcW w:w="2842" w:type="dxa"/>
            <w:gridSpan w:val="2"/>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H</w:t>
            </w:r>
            <w:r>
              <w:rPr>
                <w:rFonts w:hint="eastAsia" w:cs="Times New Roman"/>
                <w:kern w:val="0"/>
                <w:sz w:val="21"/>
                <w:szCs w:val="21"/>
                <w:vertAlign w:val="subscript"/>
                <w:lang w:val="en-US" w:eastAsia="zh-CN" w:bidi="ar-SA"/>
              </w:rPr>
              <w:t>2</w:t>
            </w:r>
            <w:r>
              <w:rPr>
                <w:rFonts w:hint="eastAsia" w:cs="Times New Roman"/>
                <w:kern w:val="0"/>
                <w:sz w:val="21"/>
                <w:szCs w:val="21"/>
                <w:vertAlign w:val="baseline"/>
                <w:lang w:val="en-US" w:eastAsia="zh-CN" w:bidi="ar-SA"/>
              </w:rPr>
              <w:t>S产生量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c>
          <w:tcPr>
            <w:tcW w:w="142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1855</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0.556</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0.203</w:t>
            </w:r>
          </w:p>
        </w:tc>
        <w:tc>
          <w:tcPr>
            <w:tcW w:w="1421"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0.046</w:t>
            </w:r>
          </w:p>
        </w:tc>
        <w:tc>
          <w:tcPr>
            <w:tcW w:w="1421"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5500</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w:t>
            </w:r>
          </w:p>
        </w:tc>
        <w:tc>
          <w:tcPr>
            <w:tcW w:w="1421"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0.385</w:t>
            </w:r>
          </w:p>
        </w:tc>
        <w:tc>
          <w:tcPr>
            <w:tcW w:w="1421"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420" w:type="dxa"/>
            <w:tcBorders>
              <w:top w:val="single" w:color="auto" w:sz="4" w:space="0"/>
              <w:left w:val="nil"/>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7355</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6.056</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2.21</w:t>
            </w:r>
          </w:p>
        </w:tc>
        <w:tc>
          <w:tcPr>
            <w:tcW w:w="1421"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0.431</w:t>
            </w:r>
          </w:p>
        </w:tc>
        <w:tc>
          <w:tcPr>
            <w:tcW w:w="1421" w:type="dxa"/>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0.157</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-3可知，本项目恶臭主要污染源NH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产生量为6.056kg/d（</w:t>
      </w:r>
      <w:r>
        <w:rPr>
          <w:rFonts w:hint="eastAsia" w:cs="Times New Roman"/>
          <w:kern w:val="0"/>
          <w:sz w:val="24"/>
          <w:szCs w:val="24"/>
          <w:lang w:val="en-US" w:eastAsia="zh-CN" w:bidi="ar-SA"/>
        </w:rPr>
        <w:t>0.252</w:t>
      </w:r>
      <w:r>
        <w:rPr>
          <w:rFonts w:hint="eastAsia" w:ascii="Times New Roman" w:hAnsi="Times New Roman" w:cs="Times New Roman"/>
          <w:kern w:val="0"/>
          <w:sz w:val="24"/>
          <w:szCs w:val="24"/>
          <w:lang w:val="en-US" w:eastAsia="zh-CN" w:bidi="ar-SA"/>
        </w:rPr>
        <w:t>kg/h），H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S产生量为0.431kg/d（</w:t>
      </w:r>
      <w:r>
        <w:rPr>
          <w:rFonts w:hint="eastAsia" w:cs="Times New Roman"/>
          <w:kern w:val="0"/>
          <w:sz w:val="24"/>
          <w:szCs w:val="24"/>
          <w:lang w:val="en-US" w:eastAsia="zh-CN" w:bidi="ar-SA"/>
        </w:rPr>
        <w:t>0.018</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根据《集约化猪场NH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的排放系数研究》（代小蓉，浙江大学硕士学位论文，2010年）、《集约化猪场的恶臭排放与扩散研究》（魏波，浙江大学硕士学位论文，2011年）等研究成果表明：①猪舍结构对NH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的转化和损失有很大的影响，猪舍内减少漏缝面积和储粪坑挥发表面积可以减少NH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S的挥发，如将地面50%漏缝面积降到25%，NH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S排放量可下降20%；②及时清粪可以减少NH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 60%以上的排放量。③机械通风方式下平均通风速率较自然通风速率高2~4倍，NH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SS浓度降低33%~88%，降低猪舍环境温度可以减少猪粪中33%~88% 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S的产生量。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另生物除臭剂是畜禽养殖场对猪舍进行喷洒除臭的一种处理药剂，该类生物除臭剂是由乳酸菌、酵母菌、光合菌等多种有益微生物发酵液组成，能快速抑制腐败菌的生存和繁殖，有效吸收和降解氨氮物、硫化氢、甲基硫醇等具恶臭味的有害物质（如万洁芬），该类纯微生物除臭剂对人体及动物无害，对环境不会造成二次污染，消除异味效果显著，根据《自然科学》现代化农业，2011年第6期（总第383期）“微生物除臭剂研究进展”（赵晓锋，隋文志）的资料，经国家环境分析测试中心和陕西环境监测中心测试万洁芬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S的去除效率分别为92.6%和89%，本次评价要求建设单位在猪舍内安装喷雾装置，喷洒生物除臭剂对猪舍进行除臭。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综上，本评价要求建设单位减少猪舍漏缝面积至25%；采用干清粪工艺及时清理粪便，早晚各清一次，保持猪舍清洁，减少猪粪、猪尿在猪舍内的停留时间，猪粪的运输至集污池通过密闭输送管道；通过加强猪舍通风速率进行水帘降温，降低猪舍内温度；对猪舍定期喷洒生物除臭剂对猪舍进行除臭，降低猪舍内恶臭污染物的排放。采取上述措施后，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S的去除率达到98%。则项目运营时NH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S排放量分别约</w:t>
      </w:r>
      <w:r>
        <w:rPr>
          <w:rFonts w:hint="eastAsia" w:cs="Times New Roman"/>
          <w:kern w:val="0"/>
          <w:sz w:val="24"/>
          <w:szCs w:val="24"/>
          <w:lang w:val="en-US" w:eastAsia="zh-CN" w:bidi="ar-SA"/>
        </w:rPr>
        <w:t>0.044</w:t>
      </w:r>
      <w:r>
        <w:rPr>
          <w:rFonts w:hint="eastAsia" w:ascii="Times New Roman" w:hAnsi="Times New Roman" w:cs="Times New Roman"/>
          <w:kern w:val="0"/>
          <w:sz w:val="24"/>
          <w:szCs w:val="24"/>
          <w:lang w:val="en-US" w:eastAsia="zh-CN" w:bidi="ar-SA"/>
        </w:rPr>
        <w:t>t/a、</w:t>
      </w:r>
      <w:r>
        <w:rPr>
          <w:rFonts w:hint="eastAsia" w:cs="Times New Roman"/>
          <w:kern w:val="0"/>
          <w:sz w:val="24"/>
          <w:szCs w:val="24"/>
          <w:lang w:val="en-US" w:eastAsia="zh-CN" w:bidi="ar-SA"/>
        </w:rPr>
        <w:t>0.003</w:t>
      </w:r>
      <w:r>
        <w:rPr>
          <w:rFonts w:hint="eastAsia" w:ascii="Times New Roman" w:hAnsi="Times New Roman" w:cs="Times New Roman"/>
          <w:kern w:val="0"/>
          <w:sz w:val="24"/>
          <w:szCs w:val="24"/>
          <w:lang w:val="en-US" w:eastAsia="zh-CN" w:bidi="ar-SA"/>
        </w:rPr>
        <w:t>t/a，排放速率分别为</w:t>
      </w:r>
      <w:r>
        <w:rPr>
          <w:rFonts w:hint="eastAsia" w:cs="Times New Roman"/>
          <w:kern w:val="0"/>
          <w:sz w:val="24"/>
          <w:szCs w:val="24"/>
          <w:lang w:val="en-US" w:eastAsia="zh-CN" w:bidi="ar-SA"/>
        </w:rPr>
        <w:t>0.005</w:t>
      </w:r>
      <w:r>
        <w:rPr>
          <w:rFonts w:hint="eastAsia" w:ascii="Times New Roman" w:hAnsi="Times New Roman" w:cs="Times New Roman"/>
          <w:kern w:val="0"/>
          <w:sz w:val="24"/>
          <w:szCs w:val="24"/>
          <w:lang w:val="en-US" w:eastAsia="zh-CN" w:bidi="ar-SA"/>
        </w:rPr>
        <w:t>kg/h、0.000</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（2）污水处理设施恶臭</w:t>
      </w:r>
    </w:p>
    <w:p>
      <w:pPr>
        <w:keepNext w:val="0"/>
        <w:keepLines w:val="0"/>
        <w:pageBreakBefore w:val="0"/>
        <w:widowControl w:val="0"/>
        <w:kinsoku/>
        <w:wordWrap/>
        <w:overflowPunct/>
        <w:topLinePunct w:val="0"/>
        <w:bidi w:val="0"/>
        <w:adjustRightInd/>
        <w:snapToGrid/>
        <w:spacing w:line="360" w:lineRule="auto"/>
        <w:ind w:firstLine="480" w:firstLineChars="200"/>
        <w:jc w:val="left"/>
        <w:textAlignment w:val="auto"/>
        <w:rPr>
          <w:rFonts w:hint="eastAsia"/>
          <w:sz w:val="24"/>
        </w:rPr>
      </w:pPr>
      <w:r>
        <w:rPr>
          <w:rFonts w:hint="eastAsia"/>
          <w:sz w:val="24"/>
        </w:rPr>
        <w:t>为减小项目恶臭气体对周边环境的影响，评价要求在恶臭产气区域喷洒除臭剂进行脱臭。本项目污水收集设施位于项目厂区</w:t>
      </w:r>
      <w:r>
        <w:rPr>
          <w:rFonts w:hint="eastAsia"/>
          <w:color w:val="auto"/>
          <w:sz w:val="24"/>
          <w:lang w:eastAsia="zh-CN"/>
        </w:rPr>
        <w:t>北侧</w:t>
      </w:r>
      <w:r>
        <w:rPr>
          <w:rFonts w:hint="eastAsia"/>
          <w:color w:val="auto"/>
          <w:sz w:val="24"/>
        </w:rPr>
        <w:t>，</w:t>
      </w:r>
      <w:r>
        <w:rPr>
          <w:rFonts w:hint="eastAsia"/>
          <w:sz w:val="24"/>
        </w:rPr>
        <w:t>根据类比分析，污水收集设施恶臭产排情况见表3.</w:t>
      </w:r>
      <w:r>
        <w:rPr>
          <w:rFonts w:hint="eastAsia"/>
          <w:sz w:val="24"/>
          <w:lang w:val="en-US" w:eastAsia="zh-CN"/>
        </w:rPr>
        <w:t>3</w:t>
      </w:r>
      <w:r>
        <w:rPr>
          <w:rFonts w:hint="eastAsia"/>
          <w:sz w:val="24"/>
        </w:rPr>
        <w:t>-</w:t>
      </w:r>
      <w:r>
        <w:rPr>
          <w:rFonts w:hint="eastAsia"/>
          <w:sz w:val="24"/>
          <w:lang w:val="en-US" w:eastAsia="zh-CN"/>
        </w:rPr>
        <w:t>4</w:t>
      </w:r>
      <w:r>
        <w:rPr>
          <w:rFonts w:hint="eastAsia"/>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 xml:space="preserve">-4  </w:t>
      </w:r>
      <w:r>
        <w:rPr>
          <w:rFonts w:hint="eastAsia" w:cs="Times New Roman"/>
          <w:b/>
          <w:bCs/>
          <w:kern w:val="0"/>
          <w:sz w:val="21"/>
          <w:szCs w:val="21"/>
          <w:lang w:val="en-US" w:eastAsia="zh-CN" w:bidi="ar-SA"/>
        </w:rPr>
        <w:t>项目</w:t>
      </w:r>
      <w:r>
        <w:rPr>
          <w:rFonts w:hint="default" w:ascii="Times New Roman" w:hAnsi="Times New Roman" w:eastAsia="宋体" w:cs="Times New Roman"/>
          <w:b/>
          <w:bCs/>
          <w:kern w:val="0"/>
          <w:sz w:val="21"/>
          <w:szCs w:val="21"/>
          <w:lang w:val="en-US" w:eastAsia="zh-CN" w:bidi="ar-SA"/>
        </w:rPr>
        <w:t>污水收集设施区域恶臭产排情况</w:t>
      </w:r>
      <w:r>
        <w:rPr>
          <w:rFonts w:hint="eastAsia" w:ascii="Times New Roman" w:hAnsi="Times New Roman" w:cs="Times New Roman"/>
          <w:b/>
          <w:bCs/>
          <w:kern w:val="0"/>
          <w:sz w:val="21"/>
          <w:szCs w:val="21"/>
          <w:lang w:val="en-US" w:eastAsia="zh-CN" w:bidi="ar-SA"/>
        </w:rPr>
        <w:t xml:space="preserve">   单位：</w:t>
      </w:r>
      <w:r>
        <w:rPr>
          <w:rFonts w:hint="eastAsia"/>
          <w:szCs w:val="21"/>
          <w:lang w:val="en-US" w:eastAsia="zh-CN"/>
        </w:rPr>
        <w:t>t</w:t>
      </w:r>
      <w:r>
        <w:rPr>
          <w:rFonts w:hint="eastAsia"/>
          <w:szCs w:val="21"/>
        </w:rPr>
        <w:t>/</w:t>
      </w:r>
      <w:r>
        <w:rPr>
          <w:rFonts w:hint="eastAsia"/>
          <w:szCs w:val="21"/>
          <w:lang w:val="en-US" w:eastAsia="zh-CN"/>
        </w:rPr>
        <w:t>a</w:t>
      </w:r>
    </w:p>
    <w:tbl>
      <w:tblPr>
        <w:tblStyle w:val="63"/>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71"/>
        <w:gridCol w:w="839"/>
        <w:gridCol w:w="1051"/>
        <w:gridCol w:w="4053"/>
        <w:gridCol w:w="867"/>
        <w:gridCol w:w="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trPr>
        <w:tc>
          <w:tcPr>
            <w:tcW w:w="511" w:type="pct"/>
            <w:vMerge w:val="restart"/>
            <w:tcBorders>
              <w:top w:val="single" w:color="000000" w:sz="12" w:space="0"/>
              <w:left w:val="nil"/>
            </w:tcBorders>
            <w:noWrap w:val="0"/>
            <w:vAlign w:val="center"/>
          </w:tcPr>
          <w:p>
            <w:pPr>
              <w:jc w:val="center"/>
              <w:rPr>
                <w:rFonts w:hint="eastAsia"/>
                <w:szCs w:val="21"/>
              </w:rPr>
            </w:pPr>
            <w:r>
              <w:rPr>
                <w:rFonts w:hint="eastAsia"/>
                <w:szCs w:val="21"/>
              </w:rPr>
              <w:t>来源</w:t>
            </w:r>
          </w:p>
        </w:tc>
        <w:tc>
          <w:tcPr>
            <w:tcW w:w="1108" w:type="pct"/>
            <w:gridSpan w:val="2"/>
            <w:tcBorders>
              <w:top w:val="single" w:color="000000" w:sz="12" w:space="0"/>
            </w:tcBorders>
            <w:noWrap w:val="0"/>
            <w:vAlign w:val="center"/>
          </w:tcPr>
          <w:p>
            <w:pPr>
              <w:jc w:val="center"/>
              <w:rPr>
                <w:rFonts w:hint="eastAsia"/>
                <w:szCs w:val="21"/>
              </w:rPr>
            </w:pPr>
            <w:r>
              <w:rPr>
                <w:rFonts w:hint="eastAsia"/>
                <w:szCs w:val="21"/>
              </w:rPr>
              <w:t>污染物产生情况</w:t>
            </w:r>
          </w:p>
        </w:tc>
        <w:tc>
          <w:tcPr>
            <w:tcW w:w="2376" w:type="pct"/>
            <w:vMerge w:val="restart"/>
            <w:tcBorders>
              <w:top w:val="single" w:color="000000" w:sz="12" w:space="0"/>
            </w:tcBorders>
            <w:noWrap w:val="0"/>
            <w:vAlign w:val="center"/>
          </w:tcPr>
          <w:p>
            <w:pPr>
              <w:jc w:val="center"/>
              <w:rPr>
                <w:rFonts w:hint="eastAsia"/>
                <w:szCs w:val="21"/>
              </w:rPr>
            </w:pPr>
            <w:r>
              <w:rPr>
                <w:rFonts w:hint="eastAsia"/>
                <w:szCs w:val="21"/>
              </w:rPr>
              <w:t>拟处理措施</w:t>
            </w:r>
          </w:p>
        </w:tc>
        <w:tc>
          <w:tcPr>
            <w:tcW w:w="1001" w:type="pct"/>
            <w:gridSpan w:val="2"/>
            <w:tcBorders>
              <w:top w:val="single" w:color="000000" w:sz="12" w:space="0"/>
              <w:right w:val="nil"/>
            </w:tcBorders>
            <w:noWrap w:val="0"/>
            <w:vAlign w:val="center"/>
          </w:tcPr>
          <w:p>
            <w:pPr>
              <w:jc w:val="center"/>
              <w:rPr>
                <w:rFonts w:hint="eastAsia"/>
                <w:szCs w:val="21"/>
              </w:rPr>
            </w:pPr>
            <w:r>
              <w:rPr>
                <w:rFonts w:hint="eastAsia"/>
                <w:szCs w:val="21"/>
              </w:rPr>
              <w:t>污染物排放情况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2" w:hRule="atLeast"/>
        </w:trPr>
        <w:tc>
          <w:tcPr>
            <w:tcW w:w="511" w:type="pct"/>
            <w:vMerge w:val="continue"/>
            <w:tcBorders>
              <w:left w:val="nil"/>
              <w:bottom w:val="single" w:color="000000" w:sz="12" w:space="0"/>
            </w:tcBorders>
            <w:noWrap w:val="0"/>
            <w:vAlign w:val="center"/>
          </w:tcPr>
          <w:p>
            <w:pPr>
              <w:jc w:val="center"/>
              <w:rPr>
                <w:rFonts w:hint="eastAsia"/>
                <w:szCs w:val="21"/>
              </w:rPr>
            </w:pPr>
          </w:p>
        </w:tc>
        <w:tc>
          <w:tcPr>
            <w:tcW w:w="492"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616" w:type="pct"/>
            <w:tcBorders>
              <w:bottom w:val="single" w:color="000000" w:sz="12" w:space="0"/>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c>
          <w:tcPr>
            <w:tcW w:w="2376" w:type="pct"/>
            <w:vMerge w:val="continue"/>
            <w:tcBorders>
              <w:bottom w:val="single" w:color="000000" w:sz="12" w:space="0"/>
            </w:tcBorders>
            <w:noWrap w:val="0"/>
            <w:vAlign w:val="center"/>
          </w:tcPr>
          <w:p>
            <w:pPr>
              <w:jc w:val="center"/>
              <w:rPr>
                <w:rFonts w:hint="eastAsia"/>
                <w:szCs w:val="21"/>
              </w:rPr>
            </w:pPr>
          </w:p>
        </w:tc>
        <w:tc>
          <w:tcPr>
            <w:tcW w:w="508"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492" w:type="pct"/>
            <w:tcBorders>
              <w:bottom w:val="single" w:color="000000" w:sz="12" w:space="0"/>
              <w:right w:val="nil"/>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9" w:hRule="atLeast"/>
        </w:trPr>
        <w:tc>
          <w:tcPr>
            <w:tcW w:w="511" w:type="pct"/>
            <w:tcBorders>
              <w:top w:val="single" w:color="000000" w:sz="12" w:space="0"/>
              <w:left w:val="nil"/>
              <w:bottom w:val="single" w:color="000000" w:sz="12" w:space="0"/>
            </w:tcBorders>
            <w:noWrap w:val="0"/>
            <w:vAlign w:val="center"/>
          </w:tcPr>
          <w:p>
            <w:pPr>
              <w:jc w:val="center"/>
              <w:rPr>
                <w:rFonts w:hint="eastAsia"/>
                <w:szCs w:val="21"/>
              </w:rPr>
            </w:pPr>
            <w:r>
              <w:rPr>
                <w:rFonts w:hint="eastAsia"/>
                <w:szCs w:val="21"/>
              </w:rPr>
              <w:t>污水收集设施</w:t>
            </w:r>
          </w:p>
        </w:tc>
        <w:tc>
          <w:tcPr>
            <w:tcW w:w="492"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0.04</w:t>
            </w:r>
          </w:p>
        </w:tc>
        <w:tc>
          <w:tcPr>
            <w:tcW w:w="61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0.002</w:t>
            </w:r>
          </w:p>
        </w:tc>
        <w:tc>
          <w:tcPr>
            <w:tcW w:w="237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恶臭产气区域设置顶棚，喷洒EM除臭剂进行脱臭，处理效率：氨70%，硫化氢70%</w:t>
            </w:r>
          </w:p>
        </w:tc>
        <w:tc>
          <w:tcPr>
            <w:tcW w:w="508"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0.012</w:t>
            </w:r>
          </w:p>
        </w:tc>
        <w:tc>
          <w:tcPr>
            <w:tcW w:w="492" w:type="pct"/>
            <w:tcBorders>
              <w:top w:val="single" w:color="000000" w:sz="12" w:space="0"/>
              <w:bottom w:val="single" w:color="000000" w:sz="12" w:space="0"/>
              <w:right w:val="nil"/>
            </w:tcBorders>
            <w:noWrap w:val="0"/>
            <w:vAlign w:val="center"/>
          </w:tcPr>
          <w:p>
            <w:pPr>
              <w:jc w:val="center"/>
              <w:rPr>
                <w:rFonts w:hint="eastAsia"/>
                <w:szCs w:val="21"/>
              </w:rPr>
            </w:pPr>
            <w:r>
              <w:rPr>
                <w:rFonts w:hint="eastAsia"/>
                <w:szCs w:val="21"/>
              </w:rPr>
              <w:t>0.0006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（3）异位发酵床恶臭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项目异位发酵床将会散发出恶臭气体，主要污染物为</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、H</w:t>
      </w:r>
      <w:r>
        <w:rPr>
          <w:rFonts w:hint="eastAsia" w:ascii="Times New Roman" w:hAnsi="Times New Roman" w:cs="Times New Roman"/>
          <w:color w:val="auto"/>
          <w:kern w:val="0"/>
          <w:sz w:val="24"/>
          <w:szCs w:val="24"/>
          <w:vertAlign w:val="subscript"/>
          <w:lang w:val="en-US" w:eastAsia="zh-CN" w:bidi="ar-SA"/>
        </w:rPr>
        <w:t>2</w:t>
      </w:r>
      <w:r>
        <w:rPr>
          <w:rFonts w:hint="eastAsia" w:ascii="Times New Roman" w:hAnsi="Times New Roman" w:cs="Times New Roman"/>
          <w:color w:val="auto"/>
          <w:kern w:val="0"/>
          <w:sz w:val="24"/>
          <w:szCs w:val="24"/>
          <w:lang w:val="en-US" w:eastAsia="zh-CN" w:bidi="ar-SA"/>
        </w:rPr>
        <w:t>S</w:t>
      </w:r>
      <w:r>
        <w:rPr>
          <w:rFonts w:hint="eastAsia" w:cs="Times New Roman"/>
          <w:color w:val="auto"/>
          <w:kern w:val="0"/>
          <w:sz w:val="24"/>
          <w:szCs w:val="24"/>
          <w:lang w:val="en-US" w:eastAsia="zh-CN" w:bidi="ar-SA"/>
        </w:rPr>
        <w:t>。参考《养殖场恶臭影响量化分析及控制对策研究》中猪粪堆场的恶臭源强，项目异位发酵床NH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产生源强为4.35</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ascii="Times New Roman" w:hAnsi="Times New Roman" w:cs="Times New Roman"/>
          <w:color w:val="auto"/>
          <w:kern w:val="0"/>
          <w:sz w:val="24"/>
          <w:szCs w:val="24"/>
          <w:lang w:val="en-US" w:eastAsia="zh-CN" w:bidi="ar-SA"/>
        </w:rPr>
        <w:t>。通过在发酵周边喷洒</w:t>
      </w:r>
      <w:r>
        <w:rPr>
          <w:rFonts w:hint="eastAsia" w:cs="Times New Roman"/>
          <w:color w:val="auto"/>
          <w:kern w:val="0"/>
          <w:sz w:val="24"/>
          <w:szCs w:val="24"/>
          <w:lang w:val="en-US" w:eastAsia="zh-CN" w:bidi="ar-SA"/>
        </w:rPr>
        <w:t>生物</w:t>
      </w:r>
      <w:r>
        <w:rPr>
          <w:rFonts w:hint="eastAsia" w:ascii="Times New Roman" w:hAnsi="Times New Roman" w:cs="Times New Roman"/>
          <w:color w:val="auto"/>
          <w:kern w:val="0"/>
          <w:sz w:val="24"/>
          <w:szCs w:val="24"/>
          <w:lang w:val="en-US" w:eastAsia="zh-CN" w:bidi="ar-SA"/>
        </w:rPr>
        <w:t>除臭剂等措施可有效减少恶臭产生，且对</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加盖顶棚以减少恶臭挥发。根据《畜禽养殖业污染治理工程技术规范》（HJ497-2009），采用</w:t>
      </w:r>
      <w:r>
        <w:rPr>
          <w:rFonts w:hint="eastAsia" w:cs="Times New Roman"/>
          <w:color w:val="auto"/>
          <w:kern w:val="0"/>
          <w:sz w:val="24"/>
          <w:szCs w:val="24"/>
          <w:lang w:val="en-US" w:eastAsia="zh-CN" w:bidi="ar-SA"/>
        </w:rPr>
        <w:t>生物+物理</w:t>
      </w:r>
      <w:r>
        <w:rPr>
          <w:rFonts w:hint="eastAsia" w:ascii="Times New Roman" w:hAnsi="Times New Roman" w:cs="Times New Roman"/>
          <w:color w:val="auto"/>
          <w:kern w:val="0"/>
          <w:sz w:val="24"/>
          <w:szCs w:val="24"/>
          <w:lang w:val="en-US" w:eastAsia="zh-CN" w:bidi="ar-SA"/>
        </w:rPr>
        <w:t>除臭方法，NH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排放可消减9</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排放量可降为0.087</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S排放量参照NH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排放源强的5%，即0.0044</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。项目异位发酵床面积为780m</w:t>
      </w:r>
      <w:r>
        <w:rPr>
          <w:rFonts w:hint="eastAsia" w:cs="Times New Roman"/>
          <w:color w:val="auto"/>
          <w:kern w:val="0"/>
          <w:sz w:val="24"/>
          <w:szCs w:val="24"/>
          <w:vertAlign w:val="superscript"/>
          <w:lang w:val="en-US" w:eastAsia="zh-CN" w:bidi="ar-SA"/>
        </w:rPr>
        <w:t>2</w:t>
      </w:r>
      <w:r>
        <w:rPr>
          <w:rFonts w:hint="eastAsia" w:cs="Times New Roman"/>
          <w:color w:val="auto"/>
          <w:kern w:val="0"/>
          <w:sz w:val="24"/>
          <w:szCs w:val="24"/>
          <w:lang w:val="en-US" w:eastAsia="zh-CN" w:bidi="ar-SA"/>
        </w:rPr>
        <w:t>，则异位发酵床NH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和H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S排放量分别为0.067kg/d（0.024t/a）、0.0034kg/d（0.0012t/a）。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（4）无害化处理间恶臭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 xml:space="preserve">本项目对病死猪处理采用病死猪无害化处理机（化制法），通过添加生物菌种，经过分切、绞碎、高温发酵、高温杀菌、干燥等处理，处理废气产生量少，对周边环境极小。 </w:t>
      </w:r>
    </w:p>
    <w:p>
      <w:pPr>
        <w:pStyle w:val="6"/>
      </w:pPr>
      <w:r>
        <w:rPr>
          <w:rFonts w:hint="eastAsia" w:cs="Times New Roman"/>
          <w:b/>
          <w:bCs/>
          <w:kern w:val="0"/>
          <w:sz w:val="24"/>
          <w:szCs w:val="24"/>
          <w:lang w:val="en-US" w:eastAsia="zh-CN" w:bidi="ar-SA"/>
        </w:rPr>
        <w:t>食堂油烟</w:t>
      </w:r>
    </w:p>
    <w:p>
      <w:pPr>
        <w:spacing w:line="500" w:lineRule="exact"/>
        <w:ind w:firstLine="480" w:firstLineChars="200"/>
        <w:rPr>
          <w:bCs/>
          <w:sz w:val="24"/>
        </w:rPr>
      </w:pPr>
      <w:r>
        <w:rPr>
          <w:rFonts w:hint="eastAsia"/>
          <w:bCs/>
          <w:sz w:val="24"/>
        </w:rPr>
        <w:t>项目设计的食堂可容纳</w:t>
      </w:r>
      <w:r>
        <w:rPr>
          <w:rFonts w:hint="eastAsia"/>
          <w:bCs/>
          <w:sz w:val="24"/>
          <w:lang w:val="en-US" w:eastAsia="zh-CN"/>
        </w:rPr>
        <w:t>30</w:t>
      </w:r>
      <w:r>
        <w:rPr>
          <w:rFonts w:hint="eastAsia"/>
          <w:bCs/>
          <w:sz w:val="24"/>
        </w:rPr>
        <w:t>人，日提供就餐次数为</w:t>
      </w:r>
      <w:r>
        <w:rPr>
          <w:rFonts w:hint="eastAsia"/>
          <w:bCs/>
          <w:sz w:val="24"/>
          <w:lang w:val="en-US" w:eastAsia="zh-CN"/>
        </w:rPr>
        <w:t>3</w:t>
      </w:r>
      <w:r>
        <w:rPr>
          <w:rFonts w:hint="eastAsia"/>
          <w:bCs/>
          <w:sz w:val="24"/>
        </w:rPr>
        <w:t>次。</w:t>
      </w:r>
      <w:r>
        <w:rPr>
          <w:bCs/>
          <w:sz w:val="24"/>
        </w:rPr>
        <w:t>根据对有关统计资料的类比分析，以每位就餐员工将消耗生食品1.</w:t>
      </w:r>
      <w:r>
        <w:rPr>
          <w:rFonts w:hint="eastAsia"/>
          <w:bCs/>
          <w:sz w:val="24"/>
        </w:rPr>
        <w:t>0</w:t>
      </w:r>
      <w:r>
        <w:rPr>
          <w:bCs/>
          <w:sz w:val="24"/>
        </w:rPr>
        <w:t>kg/人餐，加工每吨生食品将消耗30kg的食用油，</w:t>
      </w:r>
      <w:r>
        <w:rPr>
          <w:rFonts w:hint="eastAsia"/>
          <w:bCs/>
          <w:sz w:val="24"/>
        </w:rPr>
        <w:t>则食用油用量为</w:t>
      </w:r>
      <w:r>
        <w:rPr>
          <w:rFonts w:hint="eastAsia"/>
          <w:bCs/>
          <w:sz w:val="24"/>
          <w:lang w:val="en-US" w:eastAsia="zh-CN"/>
        </w:rPr>
        <w:t>0.986</w:t>
      </w:r>
      <w:r>
        <w:rPr>
          <w:rFonts w:hint="eastAsia"/>
          <w:bCs/>
          <w:sz w:val="24"/>
        </w:rPr>
        <w:t>t/a。</w:t>
      </w:r>
      <w:r>
        <w:rPr>
          <w:bCs/>
          <w:sz w:val="24"/>
        </w:rPr>
        <w:t>烹饪时食用油的挥发量为</w:t>
      </w:r>
      <w:r>
        <w:rPr>
          <w:rFonts w:hint="eastAsia"/>
          <w:bCs/>
          <w:sz w:val="24"/>
          <w:lang w:val="en-US" w:eastAsia="zh-CN"/>
        </w:rPr>
        <w:t>5</w:t>
      </w:r>
      <w:r>
        <w:rPr>
          <w:bCs/>
          <w:sz w:val="24"/>
        </w:rPr>
        <w:t>%，项目油烟产生总量为</w:t>
      </w:r>
      <w:r>
        <w:rPr>
          <w:rFonts w:hint="eastAsia"/>
          <w:bCs/>
          <w:sz w:val="24"/>
          <w:lang w:val="en-US" w:eastAsia="zh-CN"/>
        </w:rPr>
        <w:t>0.049</w:t>
      </w:r>
      <w:r>
        <w:rPr>
          <w:rFonts w:hint="eastAsia"/>
          <w:bCs/>
          <w:sz w:val="24"/>
        </w:rPr>
        <w:t>t</w:t>
      </w:r>
      <w:r>
        <w:rPr>
          <w:bCs/>
          <w:sz w:val="24"/>
        </w:rPr>
        <w:t>/a</w:t>
      </w:r>
      <w:r>
        <w:rPr>
          <w:rFonts w:hint="eastAsia"/>
          <w:bCs/>
          <w:sz w:val="24"/>
        </w:rPr>
        <w:t>（约为</w:t>
      </w:r>
      <w:r>
        <w:rPr>
          <w:rFonts w:hint="eastAsia"/>
          <w:bCs/>
          <w:sz w:val="24"/>
          <w:lang w:val="en-US" w:eastAsia="zh-CN"/>
        </w:rPr>
        <w:t>0.034</w:t>
      </w:r>
      <w:r>
        <w:rPr>
          <w:rFonts w:hint="eastAsia"/>
          <w:bCs/>
          <w:sz w:val="24"/>
        </w:rPr>
        <w:t>kg/h，食堂每天使用时间</w:t>
      </w:r>
      <w:r>
        <w:rPr>
          <w:rFonts w:hint="eastAsia"/>
          <w:bCs/>
          <w:sz w:val="24"/>
          <w:lang w:val="en-US" w:eastAsia="zh-CN"/>
        </w:rPr>
        <w:t>4</w:t>
      </w:r>
      <w:r>
        <w:rPr>
          <w:rFonts w:hint="eastAsia"/>
          <w:bCs/>
          <w:sz w:val="24"/>
        </w:rPr>
        <w:t>h计）</w:t>
      </w:r>
      <w:r>
        <w:rPr>
          <w:bCs/>
          <w:sz w:val="24"/>
        </w:rPr>
        <w:t>。</w:t>
      </w:r>
      <w:r>
        <w:rPr>
          <w:rFonts w:hint="eastAsia"/>
          <w:bCs/>
          <w:sz w:val="24"/>
        </w:rPr>
        <w:t>项目安装油烟排风机</w:t>
      </w:r>
      <w:r>
        <w:rPr>
          <w:rFonts w:hint="eastAsia"/>
          <w:bCs/>
          <w:sz w:val="24"/>
          <w:lang w:val="en-US" w:eastAsia="zh-CN"/>
        </w:rPr>
        <w:t>4</w:t>
      </w:r>
      <w:r>
        <w:rPr>
          <w:rFonts w:hint="eastAsia"/>
          <w:bCs/>
          <w:sz w:val="24"/>
        </w:rPr>
        <w:t>000</w:t>
      </w:r>
      <w:r>
        <w:rPr>
          <w:bCs/>
          <w:sz w:val="24"/>
        </w:rPr>
        <w:t>m</w:t>
      </w:r>
      <w:r>
        <w:rPr>
          <w:bCs/>
          <w:sz w:val="24"/>
          <w:vertAlign w:val="superscript"/>
        </w:rPr>
        <w:t>3</w:t>
      </w:r>
      <w:r>
        <w:rPr>
          <w:bCs/>
          <w:sz w:val="24"/>
        </w:rPr>
        <w:t>/h</w:t>
      </w:r>
      <w:r>
        <w:rPr>
          <w:rFonts w:hint="eastAsia"/>
          <w:bCs/>
          <w:sz w:val="24"/>
        </w:rPr>
        <w:t>，则食堂油烟产生浓度</w:t>
      </w:r>
      <w:r>
        <w:rPr>
          <w:rFonts w:hint="eastAsia"/>
          <w:bCs/>
          <w:sz w:val="24"/>
          <w:lang w:val="en-US" w:eastAsia="zh-CN"/>
        </w:rPr>
        <w:t>8.5</w:t>
      </w:r>
      <w:r>
        <w:rPr>
          <w:rFonts w:hint="eastAsia"/>
          <w:bCs/>
          <w:sz w:val="24"/>
        </w:rPr>
        <w:t>mg/</w:t>
      </w:r>
      <w:r>
        <w:rPr>
          <w:bCs/>
          <w:sz w:val="24"/>
        </w:rPr>
        <w:t>m</w:t>
      </w:r>
      <w:r>
        <w:rPr>
          <w:bCs/>
          <w:sz w:val="24"/>
          <w:vertAlign w:val="superscript"/>
        </w:rPr>
        <w:t>3</w:t>
      </w:r>
      <w:r>
        <w:rPr>
          <w:rFonts w:hint="eastAsia"/>
          <w:bCs/>
          <w:sz w:val="24"/>
        </w:rPr>
        <w:t>，不满足</w:t>
      </w:r>
      <w:r>
        <w:rPr>
          <w:bCs/>
          <w:sz w:val="24"/>
        </w:rPr>
        <w:t>《饮食业油烟排放标准（试行）》</w:t>
      </w:r>
      <w:r>
        <w:rPr>
          <w:rFonts w:hint="eastAsia"/>
          <w:bCs/>
          <w:sz w:val="24"/>
        </w:rPr>
        <w:t>（</w:t>
      </w:r>
      <w:r>
        <w:rPr>
          <w:bCs/>
          <w:sz w:val="24"/>
        </w:rPr>
        <w:t>GB18483-2001</w:t>
      </w:r>
      <w:r>
        <w:rPr>
          <w:rFonts w:hint="eastAsia"/>
          <w:bCs/>
          <w:sz w:val="24"/>
        </w:rPr>
        <w:t>）</w:t>
      </w:r>
      <w:r>
        <w:rPr>
          <w:bCs/>
          <w:sz w:val="24"/>
        </w:rPr>
        <w:t>表2中最高允许排放浓度</w:t>
      </w:r>
      <w:r>
        <w:rPr>
          <w:rFonts w:hint="eastAsia"/>
          <w:bCs/>
          <w:sz w:val="24"/>
        </w:rPr>
        <w:t>“2.0mg/</w:t>
      </w:r>
      <w:r>
        <w:rPr>
          <w:bCs/>
          <w:sz w:val="24"/>
        </w:rPr>
        <w:t>m</w:t>
      </w:r>
      <w:r>
        <w:rPr>
          <w:bCs/>
          <w:sz w:val="24"/>
          <w:vertAlign w:val="superscript"/>
        </w:rPr>
        <w:t>3</w:t>
      </w:r>
      <w:r>
        <w:rPr>
          <w:rFonts w:hint="eastAsia"/>
          <w:bCs/>
          <w:sz w:val="24"/>
        </w:rPr>
        <w:t>”标</w:t>
      </w:r>
      <w:r>
        <w:rPr>
          <w:bCs/>
          <w:sz w:val="24"/>
        </w:rPr>
        <w:t>准。根据《饮食业油烟排放标准（试行）》</w:t>
      </w:r>
      <w:r>
        <w:rPr>
          <w:rFonts w:hint="eastAsia"/>
          <w:bCs/>
          <w:sz w:val="24"/>
        </w:rPr>
        <w:t>（</w:t>
      </w:r>
      <w:r>
        <w:rPr>
          <w:bCs/>
          <w:sz w:val="24"/>
        </w:rPr>
        <w:t>GB18483-2001</w:t>
      </w:r>
      <w:r>
        <w:rPr>
          <w:rFonts w:hint="eastAsia"/>
          <w:bCs/>
          <w:sz w:val="24"/>
        </w:rPr>
        <w:t>）</w:t>
      </w:r>
      <w:r>
        <w:rPr>
          <w:bCs/>
          <w:sz w:val="24"/>
        </w:rPr>
        <w:t>表2中</w:t>
      </w:r>
      <w:r>
        <w:rPr>
          <w:rFonts w:hint="eastAsia"/>
          <w:bCs/>
          <w:sz w:val="24"/>
        </w:rPr>
        <w:t>“</w:t>
      </w:r>
      <w:r>
        <w:rPr>
          <w:rFonts w:hint="eastAsia"/>
          <w:bCs/>
          <w:sz w:val="24"/>
          <w:lang w:eastAsia="zh-CN"/>
        </w:rPr>
        <w:t>小</w:t>
      </w:r>
      <w:r>
        <w:rPr>
          <w:rFonts w:hint="eastAsia"/>
          <w:bCs/>
          <w:sz w:val="24"/>
        </w:rPr>
        <w:t>型”</w:t>
      </w:r>
      <w:r>
        <w:rPr>
          <w:bCs/>
          <w:sz w:val="24"/>
        </w:rPr>
        <w:t>的要求，油烟净化设施的去除率应满足最低去除率</w:t>
      </w:r>
      <w:r>
        <w:rPr>
          <w:rFonts w:hint="eastAsia"/>
          <w:bCs/>
          <w:sz w:val="24"/>
          <w:lang w:val="en-US" w:eastAsia="zh-CN"/>
        </w:rPr>
        <w:t>60</w:t>
      </w:r>
      <w:r>
        <w:rPr>
          <w:bCs/>
          <w:sz w:val="24"/>
        </w:rPr>
        <w:t>%的要求。依据建设单位建设单位提供资料，食堂油烟净化器</w:t>
      </w:r>
      <w:r>
        <w:rPr>
          <w:rFonts w:hint="eastAsia"/>
          <w:bCs/>
          <w:sz w:val="24"/>
        </w:rPr>
        <w:t>将</w:t>
      </w:r>
      <w:r>
        <w:rPr>
          <w:bCs/>
          <w:sz w:val="24"/>
        </w:rPr>
        <w:t>委托相关资质的单位设计、安装、调试</w:t>
      </w:r>
      <w:r>
        <w:rPr>
          <w:rFonts w:hint="eastAsia"/>
          <w:bCs/>
          <w:sz w:val="24"/>
        </w:rPr>
        <w:t>，油烟净化器去除率为85%。</w:t>
      </w:r>
      <w:r>
        <w:rPr>
          <w:bCs/>
          <w:sz w:val="24"/>
        </w:rPr>
        <w:t>油烟经相应设施净化处理后，排放浓度约为</w:t>
      </w:r>
      <w:r>
        <w:rPr>
          <w:rFonts w:hint="eastAsia"/>
          <w:bCs/>
          <w:sz w:val="24"/>
          <w:lang w:val="en-US" w:eastAsia="zh-CN"/>
        </w:rPr>
        <w:t>1.28</w:t>
      </w:r>
      <w:r>
        <w:rPr>
          <w:bCs/>
          <w:sz w:val="24"/>
        </w:rPr>
        <w:t>mg/m</w:t>
      </w:r>
      <w:r>
        <w:rPr>
          <w:bCs/>
          <w:sz w:val="24"/>
          <w:vertAlign w:val="superscript"/>
        </w:rPr>
        <w:t>3</w:t>
      </w:r>
      <w:r>
        <w:rPr>
          <w:bCs/>
          <w:sz w:val="24"/>
        </w:rPr>
        <w:t>，排放量约为</w:t>
      </w:r>
      <w:r>
        <w:rPr>
          <w:rFonts w:hint="eastAsia"/>
          <w:bCs/>
          <w:sz w:val="24"/>
          <w:lang w:val="en-US" w:eastAsia="zh-CN"/>
        </w:rPr>
        <w:t>0.008</w:t>
      </w:r>
      <w:r>
        <w:rPr>
          <w:rFonts w:hint="eastAsia"/>
          <w:bCs/>
          <w:sz w:val="24"/>
        </w:rPr>
        <w:t>t</w:t>
      </w:r>
      <w:r>
        <w:rPr>
          <w:bCs/>
          <w:sz w:val="24"/>
        </w:rPr>
        <w:t>/a，油烟排放浓度将符合《饮食业油烟排放标准（试行）》</w:t>
      </w:r>
      <w:r>
        <w:rPr>
          <w:rFonts w:hint="eastAsia"/>
          <w:bCs/>
          <w:sz w:val="24"/>
        </w:rPr>
        <w:t>（</w:t>
      </w:r>
      <w:r>
        <w:rPr>
          <w:bCs/>
          <w:sz w:val="24"/>
        </w:rPr>
        <w:t>GB18483-2001</w:t>
      </w:r>
      <w:r>
        <w:rPr>
          <w:rFonts w:hint="eastAsia"/>
          <w:bCs/>
          <w:sz w:val="24"/>
        </w:rPr>
        <w:t>）</w:t>
      </w:r>
      <w:r>
        <w:rPr>
          <w:bCs/>
          <w:sz w:val="24"/>
        </w:rPr>
        <w:t>表2最高允许排放浓度</w:t>
      </w:r>
      <w:r>
        <w:rPr>
          <w:rFonts w:hint="eastAsia"/>
          <w:bCs/>
          <w:sz w:val="24"/>
        </w:rPr>
        <w:t>“2.0mg/</w:t>
      </w:r>
      <w:r>
        <w:rPr>
          <w:bCs/>
          <w:sz w:val="24"/>
        </w:rPr>
        <w:t>m</w:t>
      </w:r>
      <w:r>
        <w:rPr>
          <w:bCs/>
          <w:sz w:val="24"/>
          <w:vertAlign w:val="superscript"/>
        </w:rPr>
        <w:t>3</w:t>
      </w:r>
      <w:r>
        <w:rPr>
          <w:rFonts w:hint="eastAsia"/>
          <w:bCs/>
          <w:sz w:val="24"/>
        </w:rPr>
        <w:t>”</w:t>
      </w:r>
      <w:r>
        <w:rPr>
          <w:bCs/>
          <w:sz w:val="24"/>
        </w:rPr>
        <w:t>标准要求。</w:t>
      </w:r>
    </w:p>
    <w:p>
      <w:pPr>
        <w:pStyle w:val="6"/>
      </w:pPr>
      <w:r>
        <w:rPr>
          <w:rFonts w:hint="eastAsia" w:cs="Times New Roman"/>
          <w:b/>
          <w:bCs/>
          <w:kern w:val="0"/>
          <w:sz w:val="24"/>
          <w:szCs w:val="24"/>
          <w:lang w:val="en-US" w:eastAsia="zh-CN" w:bidi="ar-SA"/>
        </w:rPr>
        <w:t>小计</w:t>
      </w:r>
    </w:p>
    <w:p>
      <w:pPr>
        <w:pStyle w:val="19"/>
        <w:rPr>
          <w:rFonts w:hint="default" w:eastAsia="宋体"/>
          <w:bCs/>
          <w:sz w:val="24"/>
          <w:lang w:val="en-US" w:eastAsia="zh-CN"/>
        </w:rPr>
      </w:pPr>
      <w:r>
        <w:rPr>
          <w:rFonts w:hint="eastAsia"/>
          <w:bCs/>
          <w:sz w:val="24"/>
          <w:lang w:eastAsia="zh-CN"/>
        </w:rPr>
        <w:t>本项目大气污染物排放情况见下表</w:t>
      </w:r>
      <w:r>
        <w:rPr>
          <w:rFonts w:hint="eastAsia"/>
          <w:bCs/>
          <w:sz w:val="24"/>
          <w:lang w:val="en-US" w:eastAsia="zh-CN"/>
        </w:rPr>
        <w:t>3.3-5。</w:t>
      </w:r>
    </w:p>
    <w:p>
      <w:pPr>
        <w:keepNext w:val="0"/>
        <w:keepLines w:val="0"/>
        <w:pageBreakBefore w:val="0"/>
        <w:widowControl w:val="0"/>
        <w:kinsoku/>
        <w:wordWrap/>
        <w:overflowPunct/>
        <w:topLinePunct w:val="0"/>
        <w:autoSpaceDE/>
        <w:autoSpaceDN/>
        <w:bidi w:val="0"/>
        <w:adjustRightInd/>
        <w:snapToGrid/>
        <w:jc w:val="center"/>
        <w:textAlignment w:val="auto"/>
        <w:rPr>
          <w:rFonts w:hint="default" w:eastAsia="宋体"/>
          <w:b/>
          <w:bCs w:val="0"/>
          <w:sz w:val="21"/>
          <w:szCs w:val="21"/>
          <w:lang w:val="en-US" w:eastAsia="zh-CN"/>
        </w:rPr>
      </w:pPr>
      <w:r>
        <w:rPr>
          <w:rFonts w:hint="eastAsia"/>
          <w:b/>
          <w:bCs w:val="0"/>
          <w:sz w:val="21"/>
          <w:szCs w:val="21"/>
          <w:lang w:eastAsia="zh-CN"/>
        </w:rPr>
        <w:t>表</w:t>
      </w:r>
      <w:r>
        <w:rPr>
          <w:rFonts w:hint="eastAsia"/>
          <w:b/>
          <w:bCs w:val="0"/>
          <w:sz w:val="21"/>
          <w:szCs w:val="21"/>
          <w:lang w:val="en-US" w:eastAsia="zh-CN"/>
        </w:rPr>
        <w:t>3.3-5   本项目大气污染物排放情况汇总表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327"/>
        <w:gridCol w:w="1155"/>
        <w:gridCol w:w="1170"/>
        <w:gridCol w:w="127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排放源</w:t>
            </w:r>
          </w:p>
        </w:tc>
        <w:tc>
          <w:tcPr>
            <w:tcW w:w="1327"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污染物名称</w:t>
            </w:r>
          </w:p>
        </w:tc>
        <w:tc>
          <w:tcPr>
            <w:tcW w:w="115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产生量</w:t>
            </w:r>
          </w:p>
        </w:tc>
        <w:tc>
          <w:tcPr>
            <w:tcW w:w="1170"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削减量</w:t>
            </w:r>
          </w:p>
        </w:tc>
        <w:tc>
          <w:tcPr>
            <w:tcW w:w="127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排放量</w:t>
            </w:r>
          </w:p>
        </w:tc>
        <w:tc>
          <w:tcPr>
            <w:tcW w:w="2175" w:type="dxa"/>
            <w:tcBorders>
              <w:top w:val="single" w:color="auto" w:sz="12" w:space="0"/>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猪舍</w:t>
            </w:r>
          </w:p>
        </w:tc>
        <w:tc>
          <w:tcPr>
            <w:tcW w:w="1327"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2.21</w:t>
            </w:r>
          </w:p>
        </w:tc>
        <w:tc>
          <w:tcPr>
            <w:tcW w:w="1170"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2.166</w:t>
            </w:r>
          </w:p>
        </w:tc>
        <w:tc>
          <w:tcPr>
            <w:tcW w:w="127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0.044</w:t>
            </w:r>
          </w:p>
        </w:tc>
        <w:tc>
          <w:tcPr>
            <w:tcW w:w="2175" w:type="dxa"/>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0.157</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0.154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0.003</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污水处理设施</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0.012</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0.002</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0.0014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0.0006</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异位发酵床</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b w:val="0"/>
                <w:bCs/>
                <w:color w:val="auto"/>
                <w:sz w:val="21"/>
                <w:szCs w:val="21"/>
                <w:vertAlign w:val="baseline"/>
                <w:lang w:val="en-US" w:eastAsia="zh-CN"/>
              </w:rPr>
              <w:t>1.238</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1.2368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0.0228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0.0012</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w:t>
            </w:r>
          </w:p>
        </w:tc>
        <w:tc>
          <w:tcPr>
            <w:tcW w:w="1327"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食堂油烟</w:t>
            </w:r>
          </w:p>
        </w:tc>
        <w:tc>
          <w:tcPr>
            <w:tcW w:w="115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0.049</w:t>
            </w:r>
          </w:p>
        </w:tc>
        <w:tc>
          <w:tcPr>
            <w:tcW w:w="1170"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0.041</w:t>
            </w:r>
          </w:p>
        </w:tc>
        <w:tc>
          <w:tcPr>
            <w:tcW w:w="127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0.008</w:t>
            </w:r>
          </w:p>
        </w:tc>
        <w:tc>
          <w:tcPr>
            <w:tcW w:w="2175" w:type="dxa"/>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食堂顶部排放</w:t>
            </w:r>
          </w:p>
        </w:tc>
      </w:tr>
    </w:tbl>
    <w:p>
      <w:pPr>
        <w:pStyle w:val="5"/>
        <w:ind w:firstLine="562"/>
      </w:pPr>
      <w:r>
        <w:rPr>
          <w:rFonts w:hint="eastAsia"/>
          <w:lang w:eastAsia="zh-CN"/>
        </w:rPr>
        <w:t>营运期废水污染源分析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运营期产生的废水包括生产废水、职工办公生活污水及初期雨水等。</w:t>
      </w:r>
    </w:p>
    <w:p>
      <w:pPr>
        <w:pStyle w:val="6"/>
      </w:pPr>
      <w:r>
        <w:rPr>
          <w:rFonts w:hint="eastAsia"/>
          <w:lang w:eastAsia="zh-CN"/>
        </w:rPr>
        <w:t>各废水污染源强分析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（1）猪舍废水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项目产生的猪舍废水包括生猪排泄的猪尿、猪舍清洗废水。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1）猪尿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hAnsi="宋体"/>
          <w:b w:val="0"/>
          <w:bCs/>
          <w:sz w:val="24"/>
          <w:szCs w:val="24"/>
        </w:rPr>
      </w:pPr>
      <w:r>
        <w:rPr>
          <w:rFonts w:hint="eastAsia" w:hAnsi="宋体"/>
          <w:b w:val="0"/>
          <w:bCs/>
          <w:sz w:val="24"/>
          <w:szCs w:val="24"/>
        </w:rPr>
        <w:t>根据建设单位提供资料，对比《我国第一次全国污染源普查 畜禽养殖业源产污排污系数手册》中关于不同类型猪只“中南地区畜禽养殖场产污系数”，项目不同类型猪只尿液产生量基本符合普查结果。项目不同猪只尿液产生量见表</w:t>
      </w:r>
      <w:r>
        <w:rPr>
          <w:rFonts w:hint="eastAsia" w:hAnsi="宋体"/>
          <w:b w:val="0"/>
          <w:bCs/>
          <w:sz w:val="24"/>
          <w:szCs w:val="24"/>
          <w:lang w:val="en-US" w:eastAsia="zh-CN"/>
        </w:rPr>
        <w:t>3.3-6</w:t>
      </w:r>
      <w:r>
        <w:rPr>
          <w:rFonts w:hint="eastAsia" w:hAnsi="宋体"/>
          <w:b w:val="0"/>
          <w:bCs/>
          <w:sz w:val="24"/>
          <w:szCs w:val="24"/>
        </w:rPr>
        <w:t>。</w:t>
      </w:r>
    </w:p>
    <w:p>
      <w:pPr>
        <w:jc w:val="center"/>
        <w:rPr>
          <w:rFonts w:hint="eastAsia" w:hAnsi="宋体"/>
          <w:b/>
          <w:szCs w:val="21"/>
        </w:rPr>
      </w:pPr>
      <w:r>
        <w:rPr>
          <w:rFonts w:hAnsi="宋体"/>
          <w:b/>
          <w:szCs w:val="21"/>
        </w:rPr>
        <w:t>表</w:t>
      </w:r>
      <w:r>
        <w:rPr>
          <w:rFonts w:hint="eastAsia"/>
          <w:b/>
          <w:szCs w:val="21"/>
          <w:lang w:val="en-US" w:eastAsia="zh-CN"/>
        </w:rPr>
        <w:t>3.3-6</w:t>
      </w:r>
      <w:r>
        <w:rPr>
          <w:b/>
          <w:szCs w:val="21"/>
        </w:rPr>
        <w:t xml:space="preserve">  </w:t>
      </w:r>
      <w:r>
        <w:rPr>
          <w:rFonts w:hAnsi="宋体"/>
          <w:b/>
          <w:szCs w:val="21"/>
        </w:rPr>
        <w:t>猪只尿液产生量</w:t>
      </w:r>
      <w:r>
        <w:rPr>
          <w:rFonts w:hint="eastAsia" w:hAnsi="宋体"/>
          <w:b/>
          <w:szCs w:val="21"/>
        </w:rPr>
        <w:t xml:space="preserve">  </w:t>
      </w:r>
    </w:p>
    <w:tbl>
      <w:tblPr>
        <w:tblStyle w:val="63"/>
        <w:tblW w:w="4998" w:type="pct"/>
        <w:jc w:val="center"/>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52"/>
        <w:gridCol w:w="1028"/>
        <w:gridCol w:w="1161"/>
        <w:gridCol w:w="1302"/>
        <w:gridCol w:w="3676"/>
      </w:tblGrid>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tcBorders>
              <w:top w:val="single" w:color="auto" w:sz="12" w:space="0"/>
              <w:bottom w:val="single" w:color="auto" w:sz="12" w:space="0"/>
            </w:tcBorders>
            <w:noWrap w:val="0"/>
            <w:vAlign w:val="center"/>
          </w:tcPr>
          <w:p>
            <w:pPr>
              <w:widowControl/>
              <w:spacing w:line="320" w:lineRule="exact"/>
              <w:jc w:val="center"/>
              <w:rPr>
                <w:kern w:val="0"/>
                <w:szCs w:val="21"/>
              </w:rPr>
            </w:pPr>
            <w:r>
              <w:rPr>
                <w:rFonts w:hAnsi="宋体"/>
                <w:kern w:val="0"/>
                <w:szCs w:val="21"/>
              </w:rPr>
              <w:t>猪只类型</w:t>
            </w:r>
          </w:p>
        </w:tc>
        <w:tc>
          <w:tcPr>
            <w:tcW w:w="603" w:type="pct"/>
            <w:tcBorders>
              <w:top w:val="single" w:color="auto" w:sz="12" w:space="0"/>
              <w:bottom w:val="single" w:color="auto" w:sz="12" w:space="0"/>
            </w:tcBorders>
            <w:noWrap w:val="0"/>
            <w:vAlign w:val="center"/>
          </w:tcPr>
          <w:p>
            <w:pPr>
              <w:widowControl/>
              <w:spacing w:line="320" w:lineRule="exact"/>
              <w:jc w:val="center"/>
              <w:rPr>
                <w:rFonts w:hint="eastAsia" w:hAnsi="宋体"/>
                <w:kern w:val="0"/>
                <w:szCs w:val="21"/>
              </w:rPr>
            </w:pPr>
            <w:r>
              <w:rPr>
                <w:rFonts w:hint="eastAsia" w:hAnsi="宋体"/>
                <w:kern w:val="0"/>
                <w:szCs w:val="21"/>
              </w:rPr>
              <w:t>数量（头）</w:t>
            </w:r>
          </w:p>
        </w:tc>
        <w:tc>
          <w:tcPr>
            <w:tcW w:w="681" w:type="pct"/>
            <w:tcBorders>
              <w:top w:val="single" w:color="auto" w:sz="12" w:space="0"/>
              <w:bottom w:val="single" w:color="auto" w:sz="12" w:space="0"/>
              <w:right w:val="single" w:color="auto" w:sz="2" w:space="0"/>
            </w:tcBorders>
            <w:noWrap w:val="0"/>
            <w:vAlign w:val="center"/>
          </w:tcPr>
          <w:p>
            <w:pPr>
              <w:widowControl/>
              <w:spacing w:line="320" w:lineRule="exact"/>
              <w:jc w:val="center"/>
              <w:rPr>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d</w:t>
            </w:r>
            <w:r>
              <w:rPr>
                <w:rFonts w:hAnsi="宋体"/>
                <w:kern w:val="0"/>
                <w:szCs w:val="21"/>
              </w:rPr>
              <w:t>）</w:t>
            </w:r>
          </w:p>
        </w:tc>
        <w:tc>
          <w:tcPr>
            <w:tcW w:w="764" w:type="pct"/>
            <w:tcBorders>
              <w:top w:val="single" w:color="auto" w:sz="12" w:space="0"/>
              <w:bottom w:val="single" w:color="auto" w:sz="12" w:space="0"/>
              <w:right w:val="single" w:color="auto" w:sz="2" w:space="0"/>
            </w:tcBorders>
            <w:noWrap w:val="0"/>
            <w:vAlign w:val="center"/>
          </w:tcPr>
          <w:p>
            <w:pPr>
              <w:widowControl/>
              <w:spacing w:line="320" w:lineRule="exact"/>
              <w:jc w:val="center"/>
              <w:rPr>
                <w:rFonts w:hAnsi="宋体"/>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a</w:t>
            </w:r>
            <w:r>
              <w:rPr>
                <w:rFonts w:hAnsi="宋体"/>
                <w:kern w:val="0"/>
                <w:szCs w:val="21"/>
              </w:rPr>
              <w:t>）</w:t>
            </w:r>
          </w:p>
        </w:tc>
        <w:tc>
          <w:tcPr>
            <w:tcW w:w="2157" w:type="pct"/>
            <w:tcBorders>
              <w:top w:val="single" w:color="auto" w:sz="12" w:space="0"/>
              <w:left w:val="single" w:color="auto" w:sz="2" w:space="0"/>
              <w:bottom w:val="single" w:color="auto" w:sz="12" w:space="0"/>
            </w:tcBorders>
            <w:noWrap w:val="0"/>
            <w:vAlign w:val="center"/>
          </w:tcPr>
          <w:p>
            <w:pPr>
              <w:widowControl/>
              <w:spacing w:line="320" w:lineRule="exact"/>
              <w:jc w:val="center"/>
              <w:rPr>
                <w:rFonts w:hint="eastAsia"/>
                <w:kern w:val="0"/>
                <w:szCs w:val="21"/>
              </w:rPr>
            </w:pPr>
            <w:r>
              <w:rPr>
                <w:rFonts w:hAnsi="宋体"/>
                <w:kern w:val="0"/>
                <w:szCs w:val="21"/>
              </w:rPr>
              <w:t>中南地区猪只尿液产生系数（</w:t>
            </w:r>
            <w:r>
              <w:rPr>
                <w:kern w:val="0"/>
                <w:szCs w:val="21"/>
              </w:rPr>
              <w:t>L/</w:t>
            </w:r>
            <w:r>
              <w:rPr>
                <w:rFonts w:hAnsi="宋体"/>
                <w:kern w:val="0"/>
                <w:szCs w:val="21"/>
              </w:rPr>
              <w:t>头</w:t>
            </w:r>
            <w:r>
              <w:rPr>
                <w:kern w:val="0"/>
                <w:szCs w:val="21"/>
              </w:rPr>
              <w:t>·d</w:t>
            </w:r>
            <w:r>
              <w:rPr>
                <w:rFonts w:hAnsi="宋体"/>
                <w:kern w:val="0"/>
                <w:szCs w:val="21"/>
              </w:rPr>
              <w:t>）</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Ansi="宋体"/>
                <w:kern w:val="0"/>
                <w:szCs w:val="21"/>
              </w:rPr>
            </w:pPr>
            <w:r>
              <w:rPr>
                <w:rFonts w:hAnsi="宋体"/>
                <w:kern w:val="0"/>
                <w:szCs w:val="21"/>
              </w:rPr>
              <w:t>保育</w:t>
            </w:r>
            <w:r>
              <w:rPr>
                <w:rFonts w:hint="eastAsia" w:hAnsi="宋体"/>
                <w:kern w:val="0"/>
                <w:szCs w:val="21"/>
              </w:rPr>
              <w:t>仔</w:t>
            </w:r>
            <w:r>
              <w:rPr>
                <w:rFonts w:hAnsi="宋体"/>
                <w:kern w:val="0"/>
                <w:szCs w:val="21"/>
              </w:rPr>
              <w:t>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1855</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3.49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1273.85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1.88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int="eastAsia" w:hAnsi="宋体"/>
                <w:kern w:val="0"/>
                <w:szCs w:val="21"/>
              </w:rPr>
            </w:pPr>
            <w:r>
              <w:rPr>
                <w:rFonts w:hAnsi="宋体"/>
                <w:kern w:val="0"/>
                <w:szCs w:val="21"/>
              </w:rPr>
              <w:t>育肥猪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5500</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17.49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6383.85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3.18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kern w:val="0"/>
                <w:szCs w:val="21"/>
              </w:rPr>
            </w:pPr>
            <w:r>
              <w:rPr>
                <w:rFonts w:hAnsi="宋体"/>
                <w:kern w:val="0"/>
                <w:szCs w:val="21"/>
              </w:rPr>
              <w:t>合</w:t>
            </w:r>
            <w:r>
              <w:rPr>
                <w:kern w:val="0"/>
                <w:szCs w:val="21"/>
              </w:rPr>
              <w:t xml:space="preserve"> </w:t>
            </w:r>
            <w:r>
              <w:rPr>
                <w:rFonts w:hAnsi="宋体"/>
                <w:kern w:val="0"/>
                <w:szCs w:val="21"/>
              </w:rPr>
              <w:t>计</w:t>
            </w:r>
          </w:p>
        </w:tc>
        <w:tc>
          <w:tcPr>
            <w:tcW w:w="603" w:type="pct"/>
            <w:noWrap w:val="0"/>
            <w:vAlign w:val="center"/>
          </w:tcPr>
          <w:p>
            <w:pPr>
              <w:widowControl/>
              <w:spacing w:line="320" w:lineRule="exact"/>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7355</w:t>
            </w:r>
          </w:p>
        </w:tc>
        <w:tc>
          <w:tcPr>
            <w:tcW w:w="1161"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20.98</w:t>
            </w:r>
          </w:p>
        </w:tc>
        <w:tc>
          <w:tcPr>
            <w:tcW w:w="1302"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7657.7</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由表</w:t>
      </w:r>
      <w:r>
        <w:rPr>
          <w:rFonts w:hint="eastAsia" w:cs="Times New Roman"/>
          <w:kern w:val="0"/>
          <w:sz w:val="24"/>
          <w:szCs w:val="24"/>
          <w:lang w:val="en-US" w:eastAsia="zh-CN" w:bidi="ar-SA"/>
        </w:rPr>
        <w:t>3.3-6</w:t>
      </w:r>
      <w:r>
        <w:rPr>
          <w:rFonts w:hint="default" w:ascii="Times New Roman" w:hAnsi="Times New Roman" w:eastAsia="宋体" w:cs="Times New Roman"/>
          <w:kern w:val="0"/>
          <w:sz w:val="24"/>
          <w:szCs w:val="24"/>
          <w:lang w:val="en-US" w:eastAsia="zh-CN" w:bidi="ar-SA"/>
        </w:rPr>
        <w:t>可知，本项目猪舍排尿量为</w:t>
      </w:r>
      <w:r>
        <w:rPr>
          <w:rFonts w:hint="eastAsia" w:cs="Times New Roman"/>
          <w:kern w:val="0"/>
          <w:sz w:val="24"/>
          <w:szCs w:val="24"/>
          <w:lang w:val="en-US" w:eastAsia="zh-CN" w:bidi="ar-SA"/>
        </w:rPr>
        <w:t>20.98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7657.7</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/a。项目猪尿由专门尿液管道排入污水处理</w:t>
      </w:r>
      <w:r>
        <w:rPr>
          <w:rFonts w:hint="eastAsia" w:cs="Times New Roman"/>
          <w:kern w:val="0"/>
          <w:sz w:val="24"/>
          <w:szCs w:val="24"/>
          <w:lang w:val="en-US" w:eastAsia="zh-CN" w:bidi="ar-SA"/>
        </w:rPr>
        <w:t>设施</w:t>
      </w:r>
      <w:r>
        <w:rPr>
          <w:rFonts w:hint="default" w:ascii="Times New Roman" w:hAnsi="Times New Roman" w:eastAsia="宋体" w:cs="Times New Roman"/>
          <w:kern w:val="0"/>
          <w:sz w:val="24"/>
          <w:szCs w:val="24"/>
          <w:lang w:val="en-US" w:eastAsia="zh-CN" w:bidi="ar-SA"/>
        </w:rPr>
        <w:t>处理。尿液主要含CODcr、BOD</w:t>
      </w:r>
      <w:r>
        <w:rPr>
          <w:rFonts w:hint="default" w:ascii="Times New Roman" w:hAnsi="Times New Roman" w:eastAsia="宋体" w:cs="Times New Roman"/>
          <w:kern w:val="0"/>
          <w:sz w:val="24"/>
          <w:szCs w:val="24"/>
          <w:vertAlign w:val="subscript"/>
          <w:lang w:val="en-US" w:eastAsia="zh-CN" w:bidi="ar-SA"/>
        </w:rPr>
        <w:t>5</w:t>
      </w:r>
      <w:r>
        <w:rPr>
          <w:rFonts w:hint="default" w:ascii="Times New Roman" w:hAnsi="Times New Roman" w:eastAsia="宋体" w:cs="Times New Roman"/>
          <w:kern w:val="0"/>
          <w:sz w:val="24"/>
          <w:szCs w:val="24"/>
          <w:lang w:val="en-US" w:eastAsia="zh-CN" w:bidi="ar-SA"/>
        </w:rPr>
        <w:t>、SS、NH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 xml:space="preserve">-N、TP、粪大肠菌群数等污染物。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2）猪舍冲洗废水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FF0000"/>
          <w:kern w:val="0"/>
          <w:sz w:val="24"/>
          <w:szCs w:val="24"/>
          <w:lang w:val="en-US" w:eastAsia="zh-CN" w:bidi="ar-SA"/>
        </w:rPr>
      </w:pPr>
      <w:r>
        <w:rPr>
          <w:rFonts w:hint="default" w:ascii="Times New Roman" w:hAnsi="Times New Roman" w:eastAsia="宋体" w:cs="Times New Roman"/>
          <w:color w:val="auto"/>
          <w:sz w:val="24"/>
          <w:szCs w:val="24"/>
        </w:rPr>
        <w:t>根据工程分析可知，猪舍单次冲洗用水总量为</w:t>
      </w:r>
      <w:r>
        <w:rPr>
          <w:rFonts w:hint="default" w:ascii="Times New Roman" w:hAnsi="Times New Roman" w:eastAsia="宋体" w:cs="Times New Roman"/>
          <w:color w:val="auto"/>
          <w:sz w:val="24"/>
          <w:szCs w:val="24"/>
          <w:lang w:val="en-US" w:eastAsia="zh-CN"/>
        </w:rPr>
        <w:t>106.272</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/d，年冲洗用水总量为</w:t>
      </w:r>
      <w:r>
        <w:rPr>
          <w:rFonts w:hint="default" w:ascii="Times New Roman" w:hAnsi="Times New Roman" w:eastAsia="宋体" w:cs="Times New Roman"/>
          <w:color w:val="auto"/>
          <w:sz w:val="24"/>
          <w:szCs w:val="24"/>
          <w:lang w:val="en-US" w:eastAsia="zh-CN"/>
        </w:rPr>
        <w:t>370.856</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/a。猪舍冲洗废水产生系数按用水量的为90%，则废水产生量为</w:t>
      </w:r>
      <w:r>
        <w:rPr>
          <w:rFonts w:hint="eastAsia" w:cs="Times New Roman"/>
          <w:color w:val="auto"/>
          <w:sz w:val="24"/>
          <w:szCs w:val="24"/>
          <w:lang w:val="en-US" w:eastAsia="zh-CN"/>
        </w:rPr>
        <w:t>95.645</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w:t>
      </w:r>
      <w:r>
        <w:rPr>
          <w:rFonts w:hint="eastAsia" w:cs="Times New Roman"/>
          <w:color w:val="auto"/>
          <w:sz w:val="24"/>
          <w:szCs w:val="24"/>
          <w:lang w:val="en-US" w:eastAsia="zh-CN"/>
        </w:rPr>
        <w:t>333.77</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/a。根据《畜禽养殖业污染治理工程技术规范》（HJ497-2009）的相关统计数据，干清粪工艺养殖废水中污染物浓度为COD 2640mg/L、BOD</w:t>
      </w:r>
      <w:r>
        <w:rPr>
          <w:rFonts w:hint="default" w:ascii="Times New Roman" w:hAnsi="Times New Roman" w:eastAsia="宋体" w:cs="Times New Roman"/>
          <w:color w:val="auto"/>
          <w:sz w:val="24"/>
          <w:szCs w:val="24"/>
          <w:vertAlign w:val="subscript"/>
        </w:rPr>
        <w:t>5</w:t>
      </w:r>
      <w:r>
        <w:rPr>
          <w:rFonts w:hint="default" w:ascii="Times New Roman" w:hAnsi="Times New Roman" w:eastAsia="宋体" w:cs="Times New Roman"/>
          <w:color w:val="auto"/>
          <w:sz w:val="24"/>
          <w:szCs w:val="24"/>
        </w:rPr>
        <w:t>1000mg/L、SS600mg/L、NH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 xml:space="preserve">-N261mg/L、总氮370mg/L、TP43.5mg/L。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项目猪舍地面冲洗废水污染物产排情况见表</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7</w:t>
      </w:r>
      <w:r>
        <w:rPr>
          <w:rFonts w:hint="default" w:ascii="Times New Roman" w:hAnsi="Times New Roman" w:eastAsia="宋体" w:cs="Times New Roman"/>
          <w:color w:val="auto"/>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cs="Times New Roman"/>
          <w:b/>
          <w:bCs/>
          <w:color w:val="auto"/>
          <w:kern w:val="0"/>
          <w:sz w:val="21"/>
          <w:szCs w:val="21"/>
          <w:lang w:val="en-US" w:eastAsia="zh-CN" w:bidi="ar-SA"/>
        </w:rPr>
        <w:t>表3.3-7  猪舍地面冲洗废水中污染物产生情况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污染物</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废水量（m</w:t>
            </w:r>
            <w:r>
              <w:rPr>
                <w:rFonts w:hint="eastAsia" w:cs="Times New Roman"/>
                <w:color w:val="auto"/>
                <w:kern w:val="0"/>
                <w:sz w:val="21"/>
                <w:szCs w:val="21"/>
                <w:vertAlign w:val="superscript"/>
                <w:lang w:val="en-US" w:eastAsia="zh-CN" w:bidi="ar-SA"/>
              </w:rPr>
              <w:t>3</w:t>
            </w:r>
            <w:r>
              <w:rPr>
                <w:rFonts w:hint="eastAsia" w:cs="Times New Roman"/>
                <w:color w:val="auto"/>
                <w:kern w:val="0"/>
                <w:sz w:val="21"/>
                <w:szCs w:val="21"/>
                <w:vertAlign w:val="baseline"/>
                <w:lang w:val="en-US" w:eastAsia="zh-CN" w:bidi="ar-SA"/>
              </w:rPr>
              <w:t>/a）</w:t>
            </w:r>
          </w:p>
        </w:tc>
        <w:tc>
          <w:tcPr>
            <w:tcW w:w="4262" w:type="dxa"/>
            <w:gridSpan w:val="2"/>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产生浓度（mg/L）</w:t>
            </w:r>
          </w:p>
        </w:tc>
        <w:tc>
          <w:tcPr>
            <w:tcW w:w="2131"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COD</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333.77</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2640</w:t>
            </w:r>
          </w:p>
        </w:tc>
        <w:tc>
          <w:tcPr>
            <w:tcW w:w="213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BOD</w:t>
            </w:r>
            <w:r>
              <w:rPr>
                <w:rFonts w:hint="eastAsia" w:cs="Times New Roman"/>
                <w:color w:val="auto"/>
                <w:kern w:val="0"/>
                <w:sz w:val="21"/>
                <w:szCs w:val="21"/>
                <w:vertAlign w:val="subscript"/>
                <w:lang w:val="en-US" w:eastAsia="zh-CN" w:bidi="ar-SA"/>
              </w:rPr>
              <w:t>5</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0.334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SS</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800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NH</w:t>
            </w:r>
            <w:r>
              <w:rPr>
                <w:rFonts w:hint="eastAsia" w:cs="Times New Roman"/>
                <w:color w:val="auto"/>
                <w:kern w:val="0"/>
                <w:sz w:val="21"/>
                <w:szCs w:val="21"/>
                <w:vertAlign w:val="subscript"/>
                <w:lang w:val="en-US" w:eastAsia="zh-CN" w:bidi="ar-SA"/>
              </w:rPr>
              <w:t>3</w:t>
            </w:r>
            <w:r>
              <w:rPr>
                <w:rFonts w:hint="eastAsia" w:cs="Times New Roman"/>
                <w:color w:val="auto"/>
                <w:kern w:val="0"/>
                <w:sz w:val="21"/>
                <w:szCs w:val="21"/>
                <w:vertAlign w:val="baseline"/>
                <w:lang w:val="en-US" w:eastAsia="zh-CN" w:bidi="ar-SA"/>
              </w:rPr>
              <w:t>-N</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261</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总氮</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TP</w:t>
            </w: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43.5</w:t>
            </w:r>
          </w:p>
        </w:tc>
        <w:tc>
          <w:tcPr>
            <w:tcW w:w="2131"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（2）夏季水帘降温用水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夏季水帘降温总</w:t>
      </w:r>
      <w:r>
        <w:rPr>
          <w:rFonts w:hint="eastAsia" w:cs="Times New Roman"/>
          <w:kern w:val="0"/>
          <w:sz w:val="24"/>
          <w:szCs w:val="24"/>
          <w:lang w:val="en-US" w:eastAsia="zh-CN" w:bidi="ar-SA"/>
        </w:rPr>
        <w:t>新鲜</w:t>
      </w:r>
      <w:r>
        <w:rPr>
          <w:rFonts w:hint="default" w:ascii="Times New Roman" w:hAnsi="Times New Roman" w:eastAsia="宋体" w:cs="Times New Roman"/>
          <w:kern w:val="0"/>
          <w:sz w:val="24"/>
          <w:szCs w:val="24"/>
          <w:lang w:val="en-US" w:eastAsia="zh-CN" w:bidi="ar-SA"/>
        </w:rPr>
        <w:t>用水量为506m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/a。降温用水循环使用，不外排。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项目消毒用水量为</w:t>
      </w:r>
      <w:r>
        <w:rPr>
          <w:rFonts w:hint="eastAsia" w:cs="Times New Roman"/>
          <w:kern w:val="0"/>
          <w:sz w:val="24"/>
          <w:szCs w:val="24"/>
          <w:lang w:val="en-US" w:eastAsia="zh-CN" w:bidi="ar-SA"/>
        </w:rPr>
        <w:t>5</w:t>
      </w:r>
      <w:r>
        <w:rPr>
          <w:rFonts w:hint="default" w:ascii="Times New Roman" w:hAnsi="Times New Roman" w:eastAsia="宋体" w:cs="Times New Roman"/>
          <w:kern w:val="0"/>
          <w:sz w:val="24"/>
          <w:szCs w:val="24"/>
          <w:lang w:val="en-US" w:eastAsia="zh-CN" w:bidi="ar-SA"/>
        </w:rPr>
        <w:t>00m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/a。消毒用水全部挥发损耗，不外排。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（4）车辆冲洗废水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车辆清洁用水为4m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/d，即1460m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/a。车辆清洁水每天更换一次，其废水产生量按用水量的80%计，则车辆清洁废水产生量为3.2m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/d，即1168m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（5）生活污水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项目职工生活用水量为</w:t>
      </w:r>
      <w:r>
        <w:rPr>
          <w:rFonts w:hint="eastAsia" w:cs="Times New Roman"/>
          <w:kern w:val="0"/>
          <w:sz w:val="24"/>
          <w:szCs w:val="24"/>
          <w:lang w:val="en-US" w:eastAsia="zh-CN" w:bidi="ar-SA"/>
        </w:rPr>
        <w:t>6</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2190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/a，排放系数按0.8计，则生活污水排放量为</w:t>
      </w:r>
      <w:r>
        <w:rPr>
          <w:rFonts w:hint="eastAsia" w:cs="Times New Roman"/>
          <w:kern w:val="0"/>
          <w:sz w:val="24"/>
          <w:szCs w:val="24"/>
          <w:lang w:val="en-US" w:eastAsia="zh-CN" w:bidi="ar-SA"/>
        </w:rPr>
        <w:t>4.8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1752</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w:t>
      </w:r>
      <w:r>
        <w:rPr>
          <w:rFonts w:hint="eastAsia" w:cs="Times New Roman"/>
          <w:kern w:val="0"/>
          <w:sz w:val="24"/>
          <w:szCs w:val="24"/>
          <w:lang w:val="en-US" w:eastAsia="zh-CN" w:bidi="ar-SA"/>
        </w:rPr>
        <w:t>排入</w:t>
      </w:r>
      <w:r>
        <w:rPr>
          <w:rFonts w:hint="default" w:ascii="Times New Roman" w:hAnsi="Times New Roman" w:eastAsia="宋体" w:cs="Times New Roman"/>
          <w:kern w:val="0"/>
          <w:sz w:val="24"/>
          <w:szCs w:val="24"/>
          <w:lang w:val="en-US" w:eastAsia="zh-CN" w:bidi="ar-SA"/>
        </w:rPr>
        <w:t>地埋式一体化污水处理设施处理。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color w:val="auto"/>
          <w:kern w:val="0"/>
          <w:sz w:val="24"/>
          <w:szCs w:val="24"/>
          <w:lang w:val="en-US" w:eastAsia="zh-CN" w:bidi="ar-SA"/>
        </w:rPr>
      </w:pPr>
      <w:r>
        <w:rPr>
          <w:rFonts w:hint="eastAsia" w:cs="Times New Roman"/>
          <w:b/>
          <w:bCs/>
          <w:color w:val="auto"/>
          <w:kern w:val="0"/>
          <w:sz w:val="24"/>
          <w:szCs w:val="24"/>
          <w:lang w:val="en-US" w:eastAsia="zh-CN" w:bidi="ar-SA"/>
        </w:rPr>
        <w:t>（6）</w:t>
      </w:r>
      <w:r>
        <w:rPr>
          <w:rFonts w:hint="default" w:ascii="Times New Roman" w:hAnsi="Times New Roman" w:eastAsia="宋体" w:cs="Times New Roman"/>
          <w:b/>
          <w:bCs/>
          <w:color w:val="auto"/>
          <w:kern w:val="0"/>
          <w:sz w:val="24"/>
          <w:szCs w:val="24"/>
          <w:lang w:val="en-US" w:eastAsia="zh-CN" w:bidi="ar-SA"/>
        </w:rPr>
        <w:t>绿化及道路浇洒用水</w:t>
      </w:r>
    </w:p>
    <w:p>
      <w:pPr>
        <w:adjustRightInd w:val="0"/>
        <w:snapToGrid w:val="0"/>
        <w:spacing w:line="500" w:lineRule="exact"/>
        <w:ind w:firstLine="480" w:firstLineChars="200"/>
        <w:rPr>
          <w:rFonts w:hint="eastAsia" w:hAnsi="宋体"/>
          <w:color w:val="auto"/>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r>
        <w:rPr>
          <w:rFonts w:hint="eastAsia" w:hAnsi="宋体"/>
          <w:color w:val="auto"/>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（7）小计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本项目废水主要源于生产废水（猪粪尿污水和冲洗废水等）和员工生活污水。综合上述水污染源分析，得到本项目的废水及污染物总产生量，见表3.3-8</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w:t>
      </w:r>
      <w:r>
        <w:rPr>
          <w:rFonts w:hint="eastAsia" w:cs="Times New Roman"/>
          <w:b/>
          <w:bCs/>
          <w:kern w:val="0"/>
          <w:sz w:val="21"/>
          <w:szCs w:val="21"/>
          <w:lang w:val="en-US" w:eastAsia="zh-CN" w:bidi="ar-SA"/>
        </w:rPr>
        <w:t>8</w:t>
      </w:r>
      <w:r>
        <w:rPr>
          <w:rFonts w:hint="default" w:ascii="Times New Roman" w:hAnsi="Times New Roman" w:eastAsia="宋体" w:cs="Times New Roman"/>
          <w:b/>
          <w:bCs/>
          <w:kern w:val="0"/>
          <w:sz w:val="21"/>
          <w:szCs w:val="21"/>
          <w:lang w:val="en-US" w:eastAsia="zh-CN" w:bidi="ar-SA"/>
        </w:rPr>
        <w:t xml:space="preserve">   本项目废水及污染物产排情况一览表</w:t>
      </w:r>
    </w:p>
    <w:tbl>
      <w:tblPr>
        <w:tblStyle w:val="64"/>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1731"/>
        <w:gridCol w:w="1072"/>
        <w:gridCol w:w="987"/>
        <w:gridCol w:w="1028"/>
        <w:gridCol w:w="1112"/>
        <w:gridCol w:w="83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2"/>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07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COD</w:t>
            </w:r>
          </w:p>
        </w:tc>
        <w:tc>
          <w:tcPr>
            <w:tcW w:w="987"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BOD</w:t>
            </w:r>
            <w:r>
              <w:rPr>
                <w:rFonts w:hint="eastAsia" w:ascii="Times New Roman" w:hAnsi="Times New Roman" w:cs="Times New Roman"/>
                <w:color w:val="auto"/>
                <w:kern w:val="0"/>
                <w:sz w:val="21"/>
                <w:szCs w:val="21"/>
                <w:vertAlign w:val="subscript"/>
                <w:lang w:val="en-US" w:eastAsia="zh-CN" w:bidi="ar-SA"/>
              </w:rPr>
              <w:t>5</w:t>
            </w:r>
          </w:p>
        </w:tc>
        <w:tc>
          <w:tcPr>
            <w:tcW w:w="1028"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SS</w:t>
            </w:r>
          </w:p>
        </w:tc>
        <w:tc>
          <w:tcPr>
            <w:tcW w:w="111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NH</w:t>
            </w:r>
            <w:r>
              <w:rPr>
                <w:rFonts w:hint="eastAsia" w:ascii="Times New Roman" w:hAnsi="Times New Roman" w:cs="Times New Roman"/>
                <w:color w:val="auto"/>
                <w:kern w:val="0"/>
                <w:sz w:val="21"/>
                <w:szCs w:val="21"/>
                <w:vertAlign w:val="subscript"/>
                <w:lang w:val="en-US" w:eastAsia="zh-CN" w:bidi="ar-SA"/>
              </w:rPr>
              <w:t>3</w:t>
            </w:r>
            <w:r>
              <w:rPr>
                <w:rFonts w:hint="eastAsia" w:ascii="Times New Roman" w:hAnsi="Times New Roman" w:cs="Times New Roman"/>
                <w:color w:val="auto"/>
                <w:kern w:val="0"/>
                <w:sz w:val="21"/>
                <w:szCs w:val="21"/>
                <w:vertAlign w:val="baseline"/>
                <w:lang w:val="en-US" w:eastAsia="zh-CN" w:bidi="ar-SA"/>
              </w:rPr>
              <w:t>-N</w:t>
            </w:r>
          </w:p>
        </w:tc>
        <w:tc>
          <w:tcPr>
            <w:tcW w:w="836"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TP</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350</w:t>
            </w:r>
          </w:p>
        </w:tc>
        <w:tc>
          <w:tcPr>
            <w:tcW w:w="987"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028"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11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30</w:t>
            </w:r>
          </w:p>
        </w:tc>
        <w:tc>
          <w:tcPr>
            <w:tcW w:w="836"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0.613</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0.053</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浓度（mg/L）</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90</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20</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60</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0.105</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w:t>
            </w:r>
            <w:r>
              <w:rPr>
                <w:rFonts w:hint="eastAsia" w:cs="Times New Roman"/>
                <w:color w:val="auto"/>
                <w:kern w:val="0"/>
                <w:sz w:val="21"/>
                <w:szCs w:val="21"/>
                <w:vertAlign w:val="baseline"/>
                <w:lang w:val="en-US" w:eastAsia="zh-CN" w:bidi="ar-SA"/>
              </w:rPr>
              <w:t>9159.47</w:t>
            </w:r>
            <w:r>
              <w:rPr>
                <w:rFonts w:hint="eastAsia" w:ascii="Times New Roman" w:hAnsi="Times New Roman" w:cs="Times New Roman"/>
                <w:color w:val="auto"/>
                <w:kern w:val="0"/>
                <w:sz w:val="21"/>
                <w:szCs w:val="21"/>
                <w:vertAlign w:val="baseline"/>
                <w:lang w:val="en-US" w:eastAsia="zh-CN" w:bidi="ar-SA"/>
              </w:rPr>
              <w:t>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6000</w:t>
            </w:r>
          </w:p>
        </w:tc>
        <w:tc>
          <w:tcPr>
            <w:tcW w:w="987"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4000</w:t>
            </w:r>
          </w:p>
        </w:tc>
        <w:tc>
          <w:tcPr>
            <w:tcW w:w="1028"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1200</w:t>
            </w:r>
          </w:p>
        </w:tc>
        <w:tc>
          <w:tcPr>
            <w:tcW w:w="111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w:t>
            </w:r>
          </w:p>
        </w:tc>
        <w:tc>
          <w:tcPr>
            <w:tcW w:w="836"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87"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2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10.991</w:t>
            </w:r>
          </w:p>
        </w:tc>
        <w:tc>
          <w:tcPr>
            <w:tcW w:w="111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836"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22" w:type="dxa"/>
            <w:gridSpan w:val="7"/>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猪场产生的生活污水经地埋式一体化生化处理达到《畜禽养殖业污染物排放标准》（DB44/613-2009）中集约化畜禽养殖业水污染物最高允许日排放浓度和《农田灌溉水质标准》（GB5084-2005）旱作水质标准严者后全部</w:t>
            </w:r>
            <w:r>
              <w:rPr>
                <w:rFonts w:hint="eastAsia" w:cs="Times New Roman"/>
                <w:color w:val="auto"/>
                <w:kern w:val="0"/>
                <w:sz w:val="21"/>
                <w:szCs w:val="21"/>
                <w:vertAlign w:val="baseline"/>
                <w:lang w:val="en-US" w:eastAsia="zh-CN" w:bidi="ar-SA"/>
              </w:rPr>
              <w:t>用于周围农田及林业灌溉</w:t>
            </w:r>
            <w:r>
              <w:rPr>
                <w:rFonts w:hint="eastAsia" w:ascii="Times New Roman" w:hAnsi="Times New Roman" w:cs="Times New Roman"/>
                <w:color w:val="auto"/>
                <w:kern w:val="0"/>
                <w:sz w:val="21"/>
                <w:szCs w:val="21"/>
                <w:vertAlign w:val="baseline"/>
                <w:lang w:val="en-US" w:eastAsia="zh-CN" w:bidi="ar-SA"/>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生产废水（含猪粪）经集液池混合均匀后，喷淋至异位发酵床处理，得到有机肥料。</w:t>
            </w:r>
          </w:p>
        </w:tc>
      </w:tr>
    </w:tbl>
    <w:p>
      <w:pPr>
        <w:pStyle w:val="6"/>
      </w:pPr>
      <w:r>
        <w:rPr>
          <w:rFonts w:hint="eastAsia"/>
          <w:lang w:eastAsia="zh-CN"/>
        </w:rPr>
        <w:t>项目水平衡分析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项目产排情况见表</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，水平衡图见</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-1</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表3.3-9   项目各项用水、排水量一览表   单位：</w:t>
      </w: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/d</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0"/>
        <w:gridCol w:w="1933"/>
        <w:gridCol w:w="1108"/>
        <w:gridCol w:w="1108"/>
        <w:gridCol w:w="1004"/>
        <w:gridCol w:w="2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475"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用水环节</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用水量</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损耗量</w:t>
            </w:r>
          </w:p>
        </w:tc>
        <w:tc>
          <w:tcPr>
            <w:tcW w:w="58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排水量</w:t>
            </w:r>
          </w:p>
        </w:tc>
        <w:tc>
          <w:tcPr>
            <w:tcW w:w="1500"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猪只饮用水</w:t>
            </w:r>
          </w:p>
        </w:tc>
        <w:tc>
          <w:tcPr>
            <w:tcW w:w="650"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58.71</w:t>
            </w:r>
          </w:p>
        </w:tc>
        <w:tc>
          <w:tcPr>
            <w:tcW w:w="650" w:type="pct"/>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37.73</w:t>
            </w:r>
          </w:p>
        </w:tc>
        <w:tc>
          <w:tcPr>
            <w:tcW w:w="589"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i w:val="0"/>
                <w:color w:val="auto"/>
                <w:kern w:val="0"/>
                <w:sz w:val="21"/>
                <w:szCs w:val="21"/>
                <w:u w:val="none"/>
                <w:lang w:val="en-US" w:eastAsia="zh-CN" w:bidi="ar"/>
              </w:rPr>
              <w:t>20.98</w:t>
            </w:r>
          </w:p>
        </w:tc>
        <w:tc>
          <w:tcPr>
            <w:tcW w:w="1500"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猪舍清洗水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1.02</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0.11</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sz w:val="21"/>
                <w:szCs w:val="21"/>
                <w:lang w:val="en-US" w:eastAsia="zh-CN"/>
              </w:rPr>
              <w:t>0.91</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消毒用水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降温用水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车辆清洗水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0.8</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3.2</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生活用水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6</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1.2</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4.8</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进污水处理设施处理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绿化用水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16.27</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16.27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9" w:type="pct"/>
            <w:gridSpan w:val="2"/>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合计</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88.76</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58.87</w:t>
            </w:r>
          </w:p>
        </w:tc>
        <w:tc>
          <w:tcPr>
            <w:tcW w:w="1004"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29.89</w:t>
            </w:r>
          </w:p>
        </w:tc>
        <w:tc>
          <w:tcPr>
            <w:tcW w:w="1500"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object>
          <v:shape id="_x0000_i1034" o:spt="75" type="#_x0000_t75" style="height:209.15pt;width:347.45pt;" o:ole="t" filled="f" o:preferrelative="t" stroked="f" coordsize="21600,21600">
            <v:path/>
            <v:fill on="f" focussize="0,0"/>
            <v:stroke on="f"/>
            <v:imagedata r:id="rId42" o:title=""/>
            <o:lock v:ext="edit" aspectratio="f"/>
            <w10:wrap type="none"/>
            <w10:anchorlock/>
          </v:shape>
          <o:OLEObject Type="Embed" ProgID="Visio.Drawing.11" ShapeID="_x0000_i1034" DrawAspect="Content" ObjectID="_1468075734" r:id="rId41">
            <o:LockedField>false</o:LockedField>
          </o:OLEObject>
        </w:objec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图3.4-1   项目水平衡示意图  单位：m</w:t>
      </w:r>
      <w:r>
        <w:rPr>
          <w:rFonts w:hint="eastAsia" w:cs="Times New Roman"/>
          <w:b/>
          <w:bCs/>
          <w:color w:val="auto"/>
          <w:kern w:val="0"/>
          <w:sz w:val="21"/>
          <w:szCs w:val="21"/>
          <w:vertAlign w:val="superscript"/>
          <w:lang w:val="en-US" w:eastAsia="zh-CN" w:bidi="ar-SA"/>
        </w:rPr>
        <w:t>3</w:t>
      </w:r>
      <w:r>
        <w:rPr>
          <w:rFonts w:hint="eastAsia" w:cs="Times New Roman"/>
          <w:b/>
          <w:bCs/>
          <w:color w:val="auto"/>
          <w:kern w:val="0"/>
          <w:sz w:val="21"/>
          <w:szCs w:val="21"/>
          <w:lang w:val="en-US" w:eastAsia="zh-CN" w:bidi="ar-SA"/>
        </w:rPr>
        <w:t>/d</w:t>
      </w:r>
    </w:p>
    <w:p>
      <w:pPr>
        <w:pStyle w:val="6"/>
      </w:pPr>
      <w:r>
        <w:rPr>
          <w:rFonts w:hint="eastAsia"/>
          <w:lang w:eastAsia="zh-CN"/>
        </w:rPr>
        <w:t>项目饲料平衡分析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b w:val="0"/>
          <w:bCs w:val="0"/>
          <w:kern w:val="0"/>
          <w:sz w:val="24"/>
          <w:szCs w:val="24"/>
          <w:lang w:val="en-US" w:eastAsia="zh-CN" w:bidi="ar-SA"/>
        </w:rPr>
      </w:pPr>
      <w:r>
        <w:rPr>
          <w:rFonts w:hint="eastAsia" w:cs="Times New Roman"/>
          <w:b w:val="0"/>
          <w:bCs w:val="0"/>
          <w:kern w:val="0"/>
          <w:sz w:val="24"/>
          <w:szCs w:val="24"/>
          <w:lang w:val="en-US" w:eastAsia="zh-CN" w:bidi="ar-SA"/>
        </w:rPr>
        <w:t>根据业主提供的资料和同行业的类比分析及《第一次全国污染源普查畜禽养殖业源产排污系数手册》相关资料可知，本项目猪只饲养喂养量与猪粪产生量情况如下：</w:t>
      </w:r>
    </w:p>
    <w:p>
      <w:pPr>
        <w:jc w:val="center"/>
        <w:rPr>
          <w:rFonts w:hint="eastAsia" w:hAnsi="宋体"/>
          <w:b/>
          <w:bCs/>
          <w:szCs w:val="21"/>
        </w:rPr>
      </w:pPr>
      <w:r>
        <w:rPr>
          <w:rFonts w:hint="eastAsia" w:hAnsi="宋体"/>
          <w:b/>
          <w:bCs/>
          <w:szCs w:val="21"/>
        </w:rPr>
        <w:t>表3.</w:t>
      </w:r>
      <w:r>
        <w:rPr>
          <w:rFonts w:hint="eastAsia" w:hAnsi="宋体"/>
          <w:b/>
          <w:bCs/>
          <w:szCs w:val="21"/>
          <w:lang w:val="en-US" w:eastAsia="zh-CN"/>
        </w:rPr>
        <w:t>4</w:t>
      </w:r>
      <w:r>
        <w:rPr>
          <w:rFonts w:hint="eastAsia" w:hAnsi="宋体"/>
          <w:b/>
          <w:bCs/>
          <w:szCs w:val="21"/>
        </w:rPr>
        <w:t>-</w:t>
      </w:r>
      <w:r>
        <w:rPr>
          <w:rFonts w:hint="eastAsia" w:hAnsi="宋体"/>
          <w:b/>
          <w:bCs/>
          <w:szCs w:val="21"/>
          <w:lang w:val="en-US" w:eastAsia="zh-CN"/>
        </w:rPr>
        <w:t>10</w:t>
      </w:r>
      <w:r>
        <w:rPr>
          <w:rFonts w:hint="eastAsia" w:hAnsi="宋体"/>
          <w:b/>
          <w:bCs/>
          <w:szCs w:val="21"/>
        </w:rPr>
        <w:t xml:space="preserve"> 猪只饲养喂养量与猪粪产生量情况一览表</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846"/>
        <w:gridCol w:w="1263"/>
        <w:gridCol w:w="948"/>
        <w:gridCol w:w="932"/>
        <w:gridCol w:w="1534"/>
        <w:gridCol w:w="964"/>
        <w:gridCol w:w="10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猪只</w:t>
            </w:r>
          </w:p>
          <w:p>
            <w:pPr>
              <w:spacing w:line="300" w:lineRule="exact"/>
              <w:jc w:val="center"/>
              <w:rPr>
                <w:rFonts w:hint="eastAsia"/>
                <w:bCs/>
                <w:szCs w:val="21"/>
              </w:rPr>
            </w:pPr>
            <w:r>
              <w:rPr>
                <w:rFonts w:hint="eastAsia"/>
                <w:bCs/>
                <w:szCs w:val="21"/>
              </w:rPr>
              <w:t>种类</w:t>
            </w:r>
          </w:p>
        </w:tc>
        <w:tc>
          <w:tcPr>
            <w:tcW w:w="48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数量（头）</w:t>
            </w:r>
          </w:p>
        </w:tc>
        <w:tc>
          <w:tcPr>
            <w:tcW w:w="74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喂食系数</w:t>
            </w:r>
          </w:p>
          <w:p>
            <w:pPr>
              <w:spacing w:line="300" w:lineRule="exact"/>
              <w:jc w:val="center"/>
              <w:rPr>
                <w:rFonts w:hint="eastAsia"/>
                <w:bCs/>
                <w:szCs w:val="21"/>
              </w:rPr>
            </w:pPr>
            <w:r>
              <w:rPr>
                <w:rFonts w:hint="eastAsia"/>
                <w:bCs/>
                <w:szCs w:val="21"/>
              </w:rPr>
              <w:t>（kg/头·d）</w:t>
            </w:r>
          </w:p>
        </w:tc>
        <w:tc>
          <w:tcPr>
            <w:tcW w:w="563"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（t/d）</w:t>
            </w:r>
          </w:p>
        </w:tc>
        <w:tc>
          <w:tcPr>
            <w:tcW w:w="55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（t/a）</w:t>
            </w:r>
          </w:p>
        </w:tc>
        <w:tc>
          <w:tcPr>
            <w:tcW w:w="907"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粪便产生系数</w:t>
            </w:r>
          </w:p>
          <w:p>
            <w:pPr>
              <w:spacing w:line="300" w:lineRule="exact"/>
              <w:jc w:val="center"/>
              <w:rPr>
                <w:rFonts w:hint="eastAsia"/>
                <w:bCs/>
                <w:szCs w:val="21"/>
              </w:rPr>
            </w:pPr>
            <w:r>
              <w:rPr>
                <w:rFonts w:hint="eastAsia"/>
                <w:bCs/>
                <w:szCs w:val="21"/>
              </w:rPr>
              <w:t>（kg/头·d）</w:t>
            </w:r>
          </w:p>
        </w:tc>
        <w:tc>
          <w:tcPr>
            <w:tcW w:w="572"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（t/d）</w:t>
            </w:r>
          </w:p>
        </w:tc>
        <w:tc>
          <w:tcPr>
            <w:tcW w:w="560"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int="eastAsia" w:hAnsi="宋体"/>
                <w:kern w:val="0"/>
                <w:szCs w:val="21"/>
              </w:rPr>
              <w:t>保育猪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1855</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0.8</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1.484</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541.66</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0.45</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0.835</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304.775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Ansi="宋体"/>
                <w:kern w:val="0"/>
                <w:szCs w:val="21"/>
              </w:rPr>
              <w:t>育肥猪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5500</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3</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16.5</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6022.5</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2</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11</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spacing w:line="300" w:lineRule="exact"/>
              <w:jc w:val="center"/>
              <w:rPr>
                <w:rFonts w:hint="eastAsia"/>
                <w:bCs/>
                <w:szCs w:val="21"/>
              </w:rPr>
            </w:pPr>
            <w:r>
              <w:rPr>
                <w:rFonts w:hint="eastAsia"/>
                <w:bCs/>
                <w:szCs w:val="21"/>
              </w:rPr>
              <w:t>合计</w:t>
            </w:r>
          </w:p>
        </w:tc>
        <w:tc>
          <w:tcPr>
            <w:tcW w:w="2118" w:type="dxa"/>
            <w:gridSpan w:val="2"/>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w:t>
            </w:r>
          </w:p>
        </w:tc>
        <w:tc>
          <w:tcPr>
            <w:tcW w:w="960"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17.984</w:t>
            </w:r>
          </w:p>
        </w:tc>
        <w:tc>
          <w:tcPr>
            <w:tcW w:w="9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6564.16</w:t>
            </w:r>
          </w:p>
        </w:tc>
        <w:tc>
          <w:tcPr>
            <w:tcW w:w="15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w:t>
            </w:r>
          </w:p>
        </w:tc>
        <w:tc>
          <w:tcPr>
            <w:tcW w:w="97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11.835</w:t>
            </w:r>
          </w:p>
        </w:tc>
        <w:tc>
          <w:tcPr>
            <w:tcW w:w="95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4319.775</w:t>
            </w:r>
          </w:p>
        </w:tc>
      </w:tr>
    </w:tbl>
    <w:p>
      <w:pPr>
        <w:pStyle w:val="6"/>
      </w:pPr>
      <w:r>
        <w:rPr>
          <w:rFonts w:hint="eastAsia"/>
          <w:lang w:eastAsia="zh-CN"/>
        </w:rPr>
        <w:t>养殖区物料平衡分析</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b/>
          <w:bCs/>
          <w:color w:val="auto"/>
          <w:szCs w:val="21"/>
        </w:rPr>
      </w:pPr>
      <w:r>
        <w:rPr>
          <w:rFonts w:hint="eastAsia"/>
          <w:b/>
          <w:bCs/>
          <w:color w:val="auto"/>
          <w:szCs w:val="21"/>
        </w:rPr>
        <w:t>表3.</w:t>
      </w:r>
      <w:r>
        <w:rPr>
          <w:rFonts w:hint="eastAsia"/>
          <w:b/>
          <w:bCs/>
          <w:color w:val="auto"/>
          <w:szCs w:val="21"/>
          <w:lang w:val="en-US" w:eastAsia="zh-CN"/>
        </w:rPr>
        <w:t>4</w:t>
      </w:r>
      <w:r>
        <w:rPr>
          <w:rFonts w:hint="eastAsia"/>
          <w:b/>
          <w:bCs/>
          <w:color w:val="auto"/>
          <w:szCs w:val="21"/>
        </w:rPr>
        <w:t>-</w:t>
      </w:r>
      <w:r>
        <w:rPr>
          <w:rFonts w:hint="eastAsia"/>
          <w:b/>
          <w:bCs/>
          <w:color w:val="auto"/>
          <w:szCs w:val="21"/>
          <w:lang w:val="en-US" w:eastAsia="zh-CN"/>
        </w:rPr>
        <w:t>11</w:t>
      </w:r>
      <w:r>
        <w:rPr>
          <w:rFonts w:hint="eastAsia"/>
          <w:b/>
          <w:bCs/>
          <w:color w:val="auto"/>
          <w:szCs w:val="21"/>
        </w:rPr>
        <w:t xml:space="preserve"> 项目养殖区物料平衡</w:t>
      </w:r>
      <w:r>
        <w:rPr>
          <w:rFonts w:hint="eastAsia"/>
          <w:color w:val="auto"/>
        </w:rPr>
        <w:t xml:space="preserve">  </w:t>
      </w:r>
      <w:r>
        <w:rPr>
          <w:rFonts w:hint="eastAsia"/>
          <w:b/>
          <w:bCs/>
          <w:color w:val="auto"/>
        </w:rPr>
        <w:t>单位：t/d</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419"/>
        <w:gridCol w:w="1419"/>
        <w:gridCol w:w="1419"/>
        <w:gridCol w:w="1419"/>
        <w:gridCol w:w="14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猪只种类</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物料名称</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数量</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粪</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尿</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吸收机损失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保育猪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1.484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0.835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0.869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育肥猪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16.5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17.49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55</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总计</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17.984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20.98</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43.879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58.71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1666" w:type="pct"/>
            <w:gridSpan w:val="2"/>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投入</w:t>
            </w:r>
          </w:p>
        </w:tc>
        <w:tc>
          <w:tcPr>
            <w:tcW w:w="2500" w:type="pct"/>
            <w:gridSpan w:val="3"/>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产出</w:t>
            </w:r>
          </w:p>
        </w:tc>
      </w:tr>
    </w:tbl>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hAnsi="宋体"/>
          <w:b w:val="0"/>
          <w:bCs/>
          <w:color w:val="auto"/>
          <w:sz w:val="21"/>
          <w:szCs w:val="21"/>
        </w:rPr>
      </w:pPr>
      <w:r>
        <w:rPr>
          <w:rFonts w:hint="eastAsia" w:hAnsi="宋体"/>
          <w:b w:val="0"/>
          <w:bCs/>
          <w:sz w:val="24"/>
          <w:szCs w:val="24"/>
        </w:rPr>
        <w:object>
          <v:shape id="_x0000_i1035" o:spt="75" type="#_x0000_t75" style="height:102.7pt;width:427.25pt;" o:ole="t" filled="f" o:preferrelative="t" stroked="f" coordsize="21600,21600">
            <v:path/>
            <v:fill on="f" focussize="0,0"/>
            <v:stroke on="f"/>
            <v:imagedata r:id="rId44" o:title=""/>
            <o:lock v:ext="edit" aspectratio="f"/>
            <w10:wrap type="none"/>
            <w10:anchorlock/>
          </v:shape>
          <o:OLEObject Type="Embed" ProgID="Visio.Drawing.11" ShapeID="_x0000_i1035" DrawAspect="Content" ObjectID="_1468075735" r:id="rId43">
            <o:LockedField>false</o:LockedField>
          </o:OLEObject>
        </w:object>
      </w:r>
      <w:r>
        <w:rPr>
          <w:rFonts w:hAnsi="宋体"/>
          <w:b/>
          <w:bCs/>
          <w:color w:val="auto"/>
          <w:sz w:val="21"/>
          <w:szCs w:val="21"/>
        </w:rPr>
        <w:t>图</w:t>
      </w:r>
      <w:r>
        <w:rPr>
          <w:rFonts w:hint="eastAsia"/>
          <w:b/>
          <w:bCs/>
          <w:color w:val="auto"/>
          <w:sz w:val="21"/>
          <w:szCs w:val="21"/>
        </w:rPr>
        <w:t>3.</w:t>
      </w:r>
      <w:r>
        <w:rPr>
          <w:rFonts w:hint="eastAsia"/>
          <w:b/>
          <w:bCs/>
          <w:color w:val="auto"/>
          <w:sz w:val="21"/>
          <w:szCs w:val="21"/>
          <w:lang w:val="en-US" w:eastAsia="zh-CN"/>
        </w:rPr>
        <w:t>4</w:t>
      </w:r>
      <w:r>
        <w:rPr>
          <w:rFonts w:hint="eastAsia"/>
          <w:b/>
          <w:bCs/>
          <w:color w:val="auto"/>
          <w:sz w:val="21"/>
          <w:szCs w:val="21"/>
        </w:rPr>
        <w:t>-2  项目养殖区物料平衡图  单位：t/d</w:t>
      </w:r>
    </w:p>
    <w:p>
      <w:pPr>
        <w:pStyle w:val="5"/>
        <w:ind w:firstLine="562"/>
      </w:pPr>
      <w:r>
        <w:rPr>
          <w:rFonts w:hint="eastAsia"/>
          <w:lang w:eastAsia="zh-CN"/>
        </w:rPr>
        <w:t>营运期噪声污染源分析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3.4-12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表3.4-12  主要噪声设备源强及治理效果一览表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605"/>
        <w:gridCol w:w="1500"/>
        <w:gridCol w:w="1305"/>
        <w:gridCol w:w="1635"/>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6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15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13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169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6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150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13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605"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150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169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5"/>
        <w:ind w:firstLine="562"/>
      </w:pPr>
      <w:r>
        <w:rPr>
          <w:rFonts w:hint="eastAsia"/>
          <w:lang w:eastAsia="zh-CN"/>
        </w:rPr>
        <w:t>营运期固体废物污染源分析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本项目产生的固体废物主要有猪粪便、病死猪、医疗废物及员工生活垃圾等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猪粪便</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根据业主提供的资料和同行业的类比分析及《第一次全国污染源普查畜禽养殖业源产排污系数手册》相关资料可知，</w:t>
      </w:r>
      <w:r>
        <w:rPr>
          <w:rFonts w:hint="eastAsia" w:cs="Times New Roman"/>
          <w:kern w:val="0"/>
          <w:sz w:val="24"/>
          <w:szCs w:val="24"/>
          <w:lang w:val="en-US" w:eastAsia="zh-CN" w:bidi="ar-SA"/>
        </w:rPr>
        <w:t>猪粪产生量为4319.775t/a。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未经处理的猪粪属于高污染高致病污染物集合体，本项目产生的猪粪与猪尿等一起经异位发酵床工艺处理后制成有机肥料外售，育肥猪粪一般为80%-85%，原始干物料15%左右，如花生壳、稻糠、秸秆；发酵后晾晒干物料30%左右；混合后物料：控制在55%-65%之间，以60%为最佳，该含水率情况下1天升温至50℃以上，保证快速发酵，否则说明含水率过高，需增加干料降低水分。因此猪粪便按60%计算，可制得有机肥2591.86t/a，制成后外售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（2）病死猪</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项目在运营饲养过程中不可避免会出现猪病死现像，类比行业内同类项目及根据农垦集团多年养殖经验，</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的平均死亡率按</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数的5%计，</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病死数预计</w:t>
      </w:r>
      <w:r>
        <w:rPr>
          <w:rFonts w:hint="eastAsia" w:cs="Times New Roman"/>
          <w:kern w:val="0"/>
          <w:sz w:val="24"/>
          <w:szCs w:val="24"/>
          <w:lang w:val="en-US" w:eastAsia="zh-CN" w:bidi="ar-SA"/>
        </w:rPr>
        <w:t>93</w:t>
      </w:r>
      <w:r>
        <w:rPr>
          <w:rFonts w:hint="default" w:ascii="Times New Roman" w:hAnsi="Times New Roman" w:eastAsia="宋体" w:cs="Times New Roman"/>
          <w:kern w:val="0"/>
          <w:sz w:val="24"/>
          <w:szCs w:val="24"/>
          <w:lang w:val="en-US" w:eastAsia="zh-CN" w:bidi="ar-SA"/>
        </w:rPr>
        <w:t>头/年，</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按平均每头按</w:t>
      </w:r>
      <w:r>
        <w:rPr>
          <w:rFonts w:hint="eastAsia" w:cs="Times New Roman"/>
          <w:kern w:val="0"/>
          <w:sz w:val="24"/>
          <w:szCs w:val="24"/>
          <w:lang w:val="en-US" w:eastAsia="zh-CN" w:bidi="ar-SA"/>
        </w:rPr>
        <w:t>10</w:t>
      </w:r>
      <w:r>
        <w:rPr>
          <w:rFonts w:hint="default" w:ascii="Times New Roman" w:hAnsi="Times New Roman" w:eastAsia="宋体" w:cs="Times New Roman"/>
          <w:kern w:val="0"/>
          <w:sz w:val="24"/>
          <w:szCs w:val="24"/>
          <w:lang w:val="en-US" w:eastAsia="zh-CN" w:bidi="ar-SA"/>
        </w:rPr>
        <w:t>kg计，约</w:t>
      </w:r>
      <w:r>
        <w:rPr>
          <w:rFonts w:hint="eastAsia" w:cs="Times New Roman"/>
          <w:kern w:val="0"/>
          <w:sz w:val="24"/>
          <w:szCs w:val="24"/>
          <w:lang w:val="en-US" w:eastAsia="zh-CN" w:bidi="ar-SA"/>
        </w:rPr>
        <w:t>0.93</w:t>
      </w:r>
      <w:r>
        <w:rPr>
          <w:rFonts w:hint="default" w:ascii="Times New Roman" w:hAnsi="Times New Roman" w:eastAsia="宋体" w:cs="Times New Roman"/>
          <w:kern w:val="0"/>
          <w:sz w:val="24"/>
          <w:szCs w:val="24"/>
          <w:lang w:val="en-US" w:eastAsia="zh-CN" w:bidi="ar-SA"/>
        </w:rPr>
        <w:t>t/a；育肥猪平均死亡率按1%计，育肥猪死亡数预计</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头/a，育肥猪平均每头按100kg计，约</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t/a；共计产生病死猪</w:t>
      </w:r>
      <w:r>
        <w:rPr>
          <w:rFonts w:hint="eastAsia" w:cs="Times New Roman"/>
          <w:kern w:val="0"/>
          <w:sz w:val="24"/>
          <w:szCs w:val="24"/>
          <w:lang w:val="en-US" w:eastAsia="zh-CN" w:bidi="ar-SA"/>
        </w:rPr>
        <w:t>6.43</w:t>
      </w:r>
      <w:r>
        <w:rPr>
          <w:rFonts w:hint="default" w:ascii="Times New Roman" w:hAnsi="Times New Roman" w:eastAsia="宋体" w:cs="Times New Roman"/>
          <w:kern w:val="0"/>
          <w:sz w:val="24"/>
          <w:szCs w:val="24"/>
          <w:lang w:val="en-US" w:eastAsia="zh-CN" w:bidi="ar-SA"/>
        </w:rPr>
        <w:t xml:space="preserve">t/a。 拟建项目配套病死猪无害处理设备1套，通过添加生物菌种，经过分切、绞碎、高温发酵、高温杀菌、干燥等工序后，经病死猪降解变成无病菌的有机肥包装外售。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（3）医疗废物</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项目运营过程中使用消毒剂及猪防疫时会产生废兽药、消毒剂瓶，根据经验估算，预计废</w:t>
      </w:r>
      <w:r>
        <w:rPr>
          <w:rFonts w:hint="default" w:ascii="Times New Roman" w:hAnsi="Times New Roman" w:eastAsia="宋体" w:cs="Times New Roman"/>
          <w:color w:val="auto"/>
          <w:kern w:val="0"/>
          <w:sz w:val="24"/>
          <w:szCs w:val="24"/>
          <w:lang w:val="en-US" w:eastAsia="zh-CN" w:bidi="ar-SA"/>
        </w:rPr>
        <w:t>兽药、消毒剂瓶约为</w:t>
      </w:r>
      <w:r>
        <w:rPr>
          <w:rFonts w:hint="eastAsia" w:cs="Times New Roman"/>
          <w:color w:val="auto"/>
          <w:kern w:val="0"/>
          <w:sz w:val="24"/>
          <w:szCs w:val="24"/>
          <w:lang w:val="en-US" w:eastAsia="zh-CN" w:bidi="ar-SA"/>
        </w:rPr>
        <w:t>0.7</w:t>
      </w:r>
      <w:r>
        <w:rPr>
          <w:rFonts w:hint="default" w:ascii="Times New Roman" w:hAnsi="Times New Roman" w:eastAsia="宋体" w:cs="Times New Roman"/>
          <w:color w:val="auto"/>
          <w:kern w:val="0"/>
          <w:sz w:val="24"/>
          <w:szCs w:val="24"/>
          <w:lang w:val="en-US" w:eastAsia="zh-CN" w:bidi="ar-SA"/>
        </w:rPr>
        <w:t>t/a。根据《国家</w:t>
      </w:r>
      <w:r>
        <w:rPr>
          <w:rFonts w:hint="default" w:ascii="Times New Roman" w:hAnsi="Times New Roman" w:eastAsia="宋体" w:cs="Times New Roman"/>
          <w:kern w:val="0"/>
          <w:sz w:val="24"/>
          <w:szCs w:val="24"/>
          <w:lang w:val="en-US" w:eastAsia="zh-CN" w:bidi="ar-SA"/>
        </w:rPr>
        <w:t xml:space="preserve">危险废物目录》（2016年版），本项目产生的废兽药、消毒剂瓶为危险废物，经收集后堆放于危废废物暂存间，定期交由有危废处理资质的单位处理。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2"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项目职工拟定</w:t>
      </w:r>
      <w:r>
        <w:rPr>
          <w:rFonts w:hint="eastAsia" w:cs="Times New Roman"/>
          <w:kern w:val="0"/>
          <w:sz w:val="24"/>
          <w:szCs w:val="24"/>
          <w:lang w:val="en-US" w:eastAsia="zh-CN" w:bidi="ar-SA"/>
        </w:rPr>
        <w:t>30</w:t>
      </w:r>
      <w:r>
        <w:rPr>
          <w:rFonts w:hint="default" w:ascii="Times New Roman" w:hAnsi="Times New Roman" w:eastAsia="宋体" w:cs="Times New Roman"/>
          <w:kern w:val="0"/>
          <w:sz w:val="24"/>
          <w:szCs w:val="24"/>
          <w:lang w:val="en-US" w:eastAsia="zh-CN" w:bidi="ar-SA"/>
        </w:rPr>
        <w:t>人，全部在厂区住宿，年工作365天，生活垃圾产生量按1kg/d·人计算，则生活垃圾年产生量为</w:t>
      </w:r>
      <w:r>
        <w:rPr>
          <w:rFonts w:hint="eastAsia" w:cs="Times New Roman"/>
          <w:kern w:val="0"/>
          <w:sz w:val="24"/>
          <w:szCs w:val="24"/>
          <w:lang w:val="en-US" w:eastAsia="zh-CN" w:bidi="ar-SA"/>
        </w:rPr>
        <w:t>10.95</w:t>
      </w:r>
      <w:r>
        <w:rPr>
          <w:rFonts w:hint="default" w:ascii="Times New Roman" w:hAnsi="Times New Roman" w:eastAsia="宋体" w:cs="Times New Roman"/>
          <w:kern w:val="0"/>
          <w:sz w:val="24"/>
          <w:szCs w:val="24"/>
          <w:lang w:val="en-US" w:eastAsia="zh-CN" w:bidi="ar-SA"/>
        </w:rPr>
        <w:t xml:space="preserve">t/a。生活垃圾集中收集到场内收集点，定期运往附近村屯的垃圾收集点处理。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sz w:val="24"/>
        </w:rPr>
        <w:t>综上所述，项目营运期间产生的固体废物产生及处置情况见表3.4-</w:t>
      </w:r>
      <w:r>
        <w:rPr>
          <w:rFonts w:hint="eastAsia"/>
          <w:sz w:val="24"/>
          <w:lang w:val="en-US" w:eastAsia="zh-CN"/>
        </w:rPr>
        <w:t>13</w:t>
      </w:r>
      <w:r>
        <w:rPr>
          <w:rFonts w:hint="eastAsia"/>
          <w:sz w:val="24"/>
        </w:rPr>
        <w:t>。</w:t>
      </w:r>
    </w:p>
    <w:p>
      <w:pPr>
        <w:adjustRightInd w:val="0"/>
        <w:snapToGrid w:val="0"/>
        <w:jc w:val="center"/>
        <w:rPr>
          <w:b/>
          <w:bCs/>
          <w:szCs w:val="21"/>
        </w:rPr>
      </w:pPr>
      <w:r>
        <w:rPr>
          <w:b/>
          <w:bCs/>
          <w:szCs w:val="21"/>
        </w:rPr>
        <w:t>表3.</w:t>
      </w:r>
      <w:r>
        <w:rPr>
          <w:rFonts w:hint="eastAsia"/>
          <w:b/>
          <w:bCs/>
          <w:szCs w:val="21"/>
        </w:rPr>
        <w:t>4</w:t>
      </w:r>
      <w:r>
        <w:rPr>
          <w:b/>
          <w:bCs/>
          <w:szCs w:val="21"/>
        </w:rPr>
        <w:t>-</w:t>
      </w:r>
      <w:r>
        <w:rPr>
          <w:rFonts w:hint="eastAsia"/>
          <w:b/>
          <w:bCs/>
          <w:szCs w:val="21"/>
          <w:lang w:val="en-US" w:eastAsia="zh-CN"/>
        </w:rPr>
        <w:t>13</w:t>
      </w:r>
      <w:r>
        <w:rPr>
          <w:b/>
          <w:bCs/>
          <w:szCs w:val="21"/>
        </w:rPr>
        <w:t xml:space="preserve">  固体废物产生及处置情况  单位：t/a</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1123"/>
        <w:gridCol w:w="3056"/>
        <w:gridCol w:w="2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固废名称</w:t>
            </w:r>
          </w:p>
        </w:tc>
        <w:tc>
          <w:tcPr>
            <w:tcW w:w="659"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产生量</w:t>
            </w:r>
          </w:p>
        </w:tc>
        <w:tc>
          <w:tcPr>
            <w:tcW w:w="1793"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处置方式</w:t>
            </w:r>
          </w:p>
        </w:tc>
        <w:tc>
          <w:tcPr>
            <w:tcW w:w="1404" w:type="pct"/>
            <w:tcBorders>
              <w:top w:val="single" w:color="auto" w:sz="12" w:space="0"/>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固废类型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tcBorders>
            <w:noWrap w:val="0"/>
            <w:vAlign w:val="top"/>
          </w:tcPr>
          <w:p>
            <w:pPr>
              <w:snapToGrid w:val="0"/>
              <w:spacing w:line="320" w:lineRule="exact"/>
              <w:jc w:val="center"/>
              <w:rPr>
                <w:rFonts w:hint="eastAsia"/>
                <w:szCs w:val="21"/>
              </w:rPr>
            </w:pPr>
            <w:r>
              <w:rPr>
                <w:rFonts w:hint="eastAsia"/>
                <w:szCs w:val="21"/>
              </w:rPr>
              <w:t>干清猪粪</w:t>
            </w:r>
          </w:p>
        </w:tc>
        <w:tc>
          <w:tcPr>
            <w:tcW w:w="659" w:type="pct"/>
            <w:tcBorders>
              <w:top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kern w:val="0"/>
                <w:sz w:val="21"/>
                <w:szCs w:val="21"/>
                <w:lang w:val="en-US" w:eastAsia="zh-CN" w:bidi="ar-SA"/>
              </w:rPr>
              <w:t>4319.775</w:t>
            </w:r>
          </w:p>
        </w:tc>
        <w:tc>
          <w:tcPr>
            <w:tcW w:w="1793" w:type="pct"/>
            <w:tcBorders>
              <w:top w:val="single" w:color="auto" w:sz="12" w:space="0"/>
            </w:tcBorders>
            <w:noWrap w:val="0"/>
            <w:vAlign w:val="top"/>
          </w:tcPr>
          <w:p>
            <w:pPr>
              <w:snapToGrid w:val="0"/>
              <w:spacing w:line="320" w:lineRule="exact"/>
              <w:jc w:val="center"/>
              <w:rPr>
                <w:rFonts w:hint="eastAsia" w:eastAsia="宋体"/>
                <w:szCs w:val="21"/>
                <w:lang w:eastAsia="zh-CN"/>
              </w:rPr>
            </w:pPr>
            <w:r>
              <w:rPr>
                <w:rFonts w:hint="eastAsia"/>
                <w:szCs w:val="21"/>
                <w:lang w:eastAsia="zh-CN"/>
              </w:rPr>
              <w:t>异位发酵床制有机肥</w:t>
            </w:r>
          </w:p>
        </w:tc>
        <w:tc>
          <w:tcPr>
            <w:tcW w:w="1404" w:type="pct"/>
            <w:tcBorders>
              <w:top w:val="single" w:color="auto" w:sz="12" w:space="0"/>
              <w:right w:val="nil"/>
            </w:tcBorders>
            <w:noWrap w:val="0"/>
            <w:vAlign w:val="top"/>
          </w:tcPr>
          <w:p>
            <w:pPr>
              <w:snapToGrid w:val="0"/>
              <w:spacing w:line="320" w:lineRule="exact"/>
              <w:jc w:val="center"/>
              <w:rPr>
                <w:rFonts w:hint="eastAsia" w:eastAsia="宋体"/>
                <w:szCs w:val="21"/>
                <w:lang w:eastAsia="zh-CN"/>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医疗废物</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lang w:val="en-US" w:eastAsia="zh-CN"/>
              </w:rPr>
            </w:pPr>
            <w:r>
              <w:rPr>
                <w:rFonts w:hint="eastAsia" w:cs="Times New Roman"/>
                <w:color w:val="auto"/>
                <w:kern w:val="0"/>
                <w:sz w:val="21"/>
                <w:szCs w:val="21"/>
                <w:lang w:val="en-US" w:eastAsia="zh-CN" w:bidi="ar-SA"/>
              </w:rPr>
              <w:t>0.7</w:t>
            </w:r>
          </w:p>
        </w:tc>
        <w:tc>
          <w:tcPr>
            <w:tcW w:w="1793" w:type="pct"/>
            <w:noWrap w:val="0"/>
            <w:vAlign w:val="center"/>
          </w:tcPr>
          <w:p>
            <w:pPr>
              <w:snapToGrid w:val="0"/>
              <w:spacing w:line="320" w:lineRule="exact"/>
              <w:jc w:val="center"/>
              <w:rPr>
                <w:rFonts w:hint="eastAsia"/>
                <w:szCs w:val="21"/>
              </w:rPr>
            </w:pPr>
            <w:r>
              <w:rPr>
                <w:rFonts w:hint="eastAsia"/>
                <w:szCs w:val="21"/>
              </w:rPr>
              <w:t>资质单位处理</w:t>
            </w:r>
          </w:p>
        </w:tc>
        <w:tc>
          <w:tcPr>
            <w:tcW w:w="1404" w:type="pct"/>
            <w:vMerge w:val="restart"/>
            <w:tcBorders>
              <w:right w:val="nil"/>
            </w:tcBorders>
            <w:noWrap w:val="0"/>
            <w:vAlign w:val="center"/>
          </w:tcPr>
          <w:p>
            <w:pPr>
              <w:snapToGrid w:val="0"/>
              <w:spacing w:line="320" w:lineRule="exact"/>
              <w:jc w:val="center"/>
              <w:rPr>
                <w:rFonts w:hint="eastAsia"/>
                <w:szCs w:val="21"/>
              </w:rPr>
            </w:pPr>
            <w:r>
              <w:rPr>
                <w:rFonts w:hint="eastAsia"/>
                <w:szCs w:val="21"/>
              </w:rPr>
              <w:t>危险废物：HW01，危废代码900-001-01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center"/>
          </w:tcPr>
          <w:p>
            <w:pPr>
              <w:snapToGrid w:val="0"/>
              <w:spacing w:line="320" w:lineRule="exact"/>
              <w:jc w:val="center"/>
              <w:rPr>
                <w:rFonts w:hint="eastAsia"/>
                <w:szCs w:val="21"/>
              </w:rPr>
            </w:pPr>
            <w:r>
              <w:rPr>
                <w:rFonts w:hint="eastAsia"/>
                <w:szCs w:val="21"/>
              </w:rPr>
              <w:t>病死猪</w:t>
            </w:r>
          </w:p>
        </w:tc>
        <w:tc>
          <w:tcPr>
            <w:tcW w:w="659" w:type="pct"/>
            <w:noWrap w:val="0"/>
            <w:vAlign w:val="center"/>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6.43</w:t>
            </w:r>
          </w:p>
        </w:tc>
        <w:tc>
          <w:tcPr>
            <w:tcW w:w="1793" w:type="pct"/>
            <w:noWrap w:val="0"/>
            <w:vAlign w:val="center"/>
          </w:tcPr>
          <w:p>
            <w:pPr>
              <w:snapToGrid w:val="0"/>
              <w:spacing w:line="320" w:lineRule="exact"/>
              <w:jc w:val="center"/>
              <w:rPr>
                <w:rFonts w:hint="eastAsia" w:eastAsia="宋体"/>
                <w:szCs w:val="21"/>
                <w:lang w:eastAsia="zh-CN"/>
              </w:rPr>
            </w:pPr>
            <w:r>
              <w:rPr>
                <w:rFonts w:hint="eastAsia" w:eastAsia="宋体"/>
                <w:szCs w:val="21"/>
                <w:lang w:eastAsia="zh-CN"/>
              </w:rPr>
              <w:t>无害化处理</w:t>
            </w:r>
          </w:p>
        </w:tc>
        <w:tc>
          <w:tcPr>
            <w:tcW w:w="1404" w:type="pct"/>
            <w:vMerge w:val="continue"/>
            <w:tcBorders>
              <w:right w:val="nil"/>
            </w:tcBorders>
            <w:noWrap w:val="0"/>
            <w:vAlign w:val="center"/>
          </w:tcPr>
          <w:p>
            <w:pPr>
              <w:snapToGrid w:val="0"/>
              <w:spacing w:line="320" w:lineRule="exact"/>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生活垃圾</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10.95</w:t>
            </w:r>
          </w:p>
        </w:tc>
        <w:tc>
          <w:tcPr>
            <w:tcW w:w="1793" w:type="pct"/>
            <w:tcBorders>
              <w:right w:val="nil"/>
            </w:tcBorders>
            <w:noWrap w:val="0"/>
            <w:vAlign w:val="center"/>
          </w:tcPr>
          <w:p>
            <w:pPr>
              <w:snapToGrid w:val="0"/>
              <w:spacing w:line="320" w:lineRule="exact"/>
              <w:jc w:val="center"/>
              <w:rPr>
                <w:rFonts w:hint="eastAsia"/>
                <w:szCs w:val="21"/>
              </w:rPr>
            </w:pPr>
            <w:r>
              <w:rPr>
                <w:rFonts w:hint="eastAsia"/>
                <w:szCs w:val="21"/>
              </w:rPr>
              <w:t>环卫部门统一回收处理</w:t>
            </w:r>
          </w:p>
        </w:tc>
        <w:tc>
          <w:tcPr>
            <w:tcW w:w="1404" w:type="pct"/>
            <w:tcBorders>
              <w:right w:val="nil"/>
            </w:tcBorders>
            <w:noWrap w:val="0"/>
            <w:vAlign w:val="center"/>
          </w:tcPr>
          <w:p>
            <w:pPr>
              <w:snapToGrid w:val="0"/>
              <w:spacing w:line="320" w:lineRule="exact"/>
              <w:jc w:val="center"/>
              <w:rPr>
                <w:rFonts w:hint="eastAsia"/>
                <w:szCs w:val="21"/>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合计</w:t>
            </w:r>
          </w:p>
        </w:tc>
        <w:tc>
          <w:tcPr>
            <w:tcW w:w="659" w:type="pct"/>
            <w:tcBorders>
              <w:bottom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i w:val="0"/>
                <w:color w:val="000000"/>
                <w:kern w:val="0"/>
                <w:sz w:val="21"/>
                <w:szCs w:val="21"/>
                <w:u w:val="none"/>
                <w:lang w:val="en-US" w:eastAsia="zh-CN" w:bidi="ar"/>
              </w:rPr>
              <w:t>4337.55</w:t>
            </w:r>
            <w:r>
              <w:rPr>
                <w:rFonts w:hint="eastAsia" w:cs="Times New Roman"/>
                <w:i w:val="0"/>
                <w:color w:val="000000"/>
                <w:kern w:val="0"/>
                <w:sz w:val="21"/>
                <w:szCs w:val="21"/>
                <w:u w:val="none"/>
                <w:lang w:val="en-US" w:eastAsia="zh-CN" w:bidi="ar"/>
              </w:rPr>
              <w:t>5</w:t>
            </w:r>
          </w:p>
        </w:tc>
        <w:tc>
          <w:tcPr>
            <w:tcW w:w="3198" w:type="pct"/>
            <w:gridSpan w:val="2"/>
            <w:tcBorders>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w:t>
            </w:r>
          </w:p>
        </w:tc>
      </w:tr>
    </w:tbl>
    <w:p>
      <w:pPr>
        <w:pStyle w:val="5"/>
        <w:ind w:firstLine="562"/>
      </w:pPr>
      <w:r>
        <w:rPr>
          <w:rFonts w:hint="eastAsia"/>
          <w:lang w:eastAsia="zh-CN"/>
        </w:rPr>
        <w:t xml:space="preserve">营运期主要污染物产生及排放情况汇总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本项目投产后，主要污染物产生、削减、排放情况汇总如下表：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表3.4-14  本项目污染物排放汇总表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155"/>
        <w:gridCol w:w="1110"/>
        <w:gridCol w:w="1005"/>
        <w:gridCol w:w="1065"/>
        <w:gridCol w:w="900"/>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color w:val="auto"/>
                <w:sz w:val="21"/>
              </w:rPr>
              <mc:AlternateContent>
                <mc:Choice Requires="wps">
                  <w:drawing>
                    <wp:anchor distT="0" distB="0" distL="114300" distR="114300" simplePos="0" relativeHeight="251669504" behindDoc="0" locked="0" layoutInCell="1" allowOverlap="1">
                      <wp:simplePos x="0" y="0"/>
                      <wp:positionH relativeFrom="column">
                        <wp:posOffset>-71755</wp:posOffset>
                      </wp:positionH>
                      <wp:positionV relativeFrom="paragraph">
                        <wp:posOffset>5080</wp:posOffset>
                      </wp:positionV>
                      <wp:extent cx="671195" cy="391160"/>
                      <wp:effectExtent l="2540" t="3810" r="12065" b="5080"/>
                      <wp:wrapNone/>
                      <wp:docPr id="8" name="直接连接符 8"/>
                      <wp:cNvGraphicFramePr/>
                      <a:graphic xmlns:a="http://schemas.openxmlformats.org/drawingml/2006/main">
                        <a:graphicData uri="http://schemas.microsoft.com/office/word/2010/wordprocessingShape">
                          <wps:wsp>
                            <wps:cNvCnPr/>
                            <wps:spPr>
                              <a:xfrm flipH="1" flipV="1">
                                <a:off x="1071245" y="1830070"/>
                                <a:ext cx="671195" cy="391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5.65pt;margin-top:0.4pt;height:30.8pt;width:52.85pt;z-index:251669504;mso-width-relative:page;mso-height-relative:page;" filled="f" stroked="t" coordsize="21600,21600" o:gfxdata="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9bL3k1gAAAAYBAAAPAAAAAAAAAAEAIAAAACIAAABkcnMvZG93bnJl&#10;di54bWxQSwECFAAUAAAACACHTuJAdLrU+/8BAADVAwAADgAAAAAAAAABACAAAAAlAQAAZHJzL2Uy&#10;b0RvYy54bWxQSwUGAAAAAAYABgBZAQAAlgUAAAAA&#10;">
                      <v:fill on="f" focussize="0,0"/>
                      <v:stroke weight="0.5pt" color="#000000 [3213]" miterlimit="8" joinstyle="miter"/>
                      <v:imagedata o:title=""/>
                      <o:lock v:ext="edit" aspectratio="f"/>
                    </v:line>
                  </w:pict>
                </mc:Fallback>
              </mc:AlternateContent>
            </w:r>
            <w:r>
              <w:rPr>
                <w:rFonts w:hint="eastAsia" w:cs="Times New Roman"/>
                <w:b w:val="0"/>
                <w:bCs w:val="0"/>
                <w:color w:val="auto"/>
                <w:kern w:val="0"/>
                <w:sz w:val="21"/>
                <w:szCs w:val="21"/>
                <w:vertAlign w:val="baseline"/>
                <w:lang w:val="en-US" w:eastAsia="zh-CN" w:bidi="ar-SA"/>
              </w:rPr>
              <w:t xml:space="preserve">   内容</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both"/>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类型</w:t>
            </w:r>
          </w:p>
        </w:tc>
        <w:tc>
          <w:tcPr>
            <w:tcW w:w="115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排放源</w:t>
            </w:r>
          </w:p>
        </w:tc>
        <w:tc>
          <w:tcPr>
            <w:tcW w:w="111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污染物</w:t>
            </w:r>
          </w:p>
        </w:tc>
        <w:tc>
          <w:tcPr>
            <w:tcW w:w="10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产生量</w:t>
            </w:r>
          </w:p>
        </w:tc>
        <w:tc>
          <w:tcPr>
            <w:tcW w:w="106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削减量</w:t>
            </w:r>
          </w:p>
        </w:tc>
        <w:tc>
          <w:tcPr>
            <w:tcW w:w="9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排放量</w:t>
            </w:r>
          </w:p>
        </w:tc>
        <w:tc>
          <w:tcPr>
            <w:tcW w:w="226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水污染物</w:t>
            </w:r>
          </w:p>
        </w:tc>
        <w:tc>
          <w:tcPr>
            <w:tcW w:w="1155"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猪粪尿、猪舍冲洗废水</w:t>
            </w:r>
          </w:p>
        </w:tc>
        <w:tc>
          <w:tcPr>
            <w:tcW w:w="111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106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90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生产废水（含猪粪）经集液池混合均匀后，喷淋至异位发酵床处理，得到有机肥料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生活污水</w:t>
            </w: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900"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生活污水经地埋式一体化生化处理后全部</w:t>
            </w:r>
            <w:r>
              <w:rPr>
                <w:rFonts w:hint="eastAsia" w:cs="Times New Roman"/>
                <w:color w:val="auto"/>
                <w:kern w:val="0"/>
                <w:sz w:val="21"/>
                <w:szCs w:val="21"/>
                <w:vertAlign w:val="baseline"/>
                <w:lang w:val="en-US" w:eastAsia="zh-CN" w:bidi="ar-SA"/>
              </w:rPr>
              <w:t>用于附近农田及林业灌溉</w:t>
            </w:r>
            <w:r>
              <w:rPr>
                <w:rFonts w:hint="eastAsia" w:ascii="Times New Roman" w:hAnsi="Times New Roman" w:cs="Times New Roman"/>
                <w:color w:val="auto"/>
                <w:kern w:val="0"/>
                <w:sz w:val="21"/>
                <w:szCs w:val="21"/>
                <w:vertAlign w:val="baseline"/>
                <w:lang w:val="en-US" w:eastAsia="zh-CN" w:bidi="ar-SA"/>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大气污染物</w:t>
            </w: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猪舍恶臭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2.21</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2.166</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0.044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0.157</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0.003</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污水处理设施恶臭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0.012</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0.002</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0.0014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0.0006</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异位发酵床恶臭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b w:val="0"/>
                <w:bCs/>
                <w:color w:val="auto"/>
                <w:sz w:val="21"/>
                <w:szCs w:val="21"/>
                <w:vertAlign w:val="baseline"/>
                <w:lang w:val="en-US" w:eastAsia="zh-CN"/>
              </w:rPr>
              <w:t>1.238</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1.2368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0.0228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0.0012</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eastAsia="zh-CN"/>
              </w:rPr>
              <w:t>食堂油烟</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0.049</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0.041</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0.008</w:t>
            </w:r>
          </w:p>
        </w:tc>
        <w:tc>
          <w:tcPr>
            <w:tcW w:w="2265" w:type="dxa"/>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食堂顶部排放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固体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废物</w:t>
            </w: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干清猪粪</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异位发酵床制有机肥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医疗废物</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病死猪</w:t>
            </w:r>
          </w:p>
        </w:tc>
        <w:tc>
          <w:tcPr>
            <w:tcW w:w="100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w:t>
            </w:r>
          </w:p>
        </w:tc>
        <w:tc>
          <w:tcPr>
            <w:tcW w:w="106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6.433</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生活垃圾</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环卫部门统一处理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噪声</w:t>
            </w:r>
          </w:p>
        </w:tc>
        <w:tc>
          <w:tcPr>
            <w:tcW w:w="7500" w:type="dxa"/>
            <w:gridSpan w:val="6"/>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猪叫声（70-80dB）、风机（85-90dB）、清粪机（75-85dB）、搅拌站（75-80dB）、水泵（80-90dB）、污泵（80-90dB）</w:t>
            </w:r>
          </w:p>
        </w:tc>
      </w:tr>
    </w:tbl>
    <w:p>
      <w:pPr>
        <w:pStyle w:val="4"/>
        <w:rPr>
          <w:rFonts w:hint="eastAsia"/>
          <w:lang w:eastAsia="zh-CN"/>
        </w:rPr>
      </w:pPr>
      <w:bookmarkStart w:id="40" w:name="_Toc19298"/>
      <w:bookmarkStart w:id="41" w:name="_Toc13367"/>
      <w:r>
        <w:rPr>
          <w:rFonts w:hint="eastAsia"/>
          <w:lang w:eastAsia="zh-CN"/>
        </w:rPr>
        <w:t>污染物排放总量控制</w:t>
      </w:r>
      <w:bookmarkEnd w:id="40"/>
      <w:bookmarkEnd w:id="41"/>
    </w:p>
    <w:p>
      <w:pPr>
        <w:pStyle w:val="5"/>
        <w:ind w:firstLine="562"/>
        <w:rPr>
          <w:rFonts w:hint="eastAsia"/>
          <w:lang w:eastAsia="zh-CN"/>
        </w:rPr>
      </w:pPr>
      <w:r>
        <w:rPr>
          <w:rFonts w:hint="eastAsia"/>
          <w:lang w:eastAsia="zh-CN"/>
        </w:rPr>
        <w:t>污染物排放总量控制依据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污染物排放总量控制是针对工程分析、环保治理措施及环境影响预测和分析的结果，贯彻“总量控制”、“达标排放”的原则，分析确定本项目废水、废气污染物排放总量控制指标，为环保部门监督管理提供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t>为全面贯彻落实国务院《关于落实科学发展观加强环境保护的决定》（国发[2005]39号），实现可持续发展的战略，建设项目除需认真履行建设项目环境影响评价和“三同时” 审批制度外，还需要大力提倡和推行清洁生产，对污染物排放要从浓度控制转向总量控制，使主要污染物的排放总量能得到有效控制，将污染物的排放总量控制作为建设项目污染防治设施竣工验收和核发污染物排放许可证的依据</w:t>
      </w:r>
      <w:r>
        <w:rPr>
          <w:rFonts w:hint="eastAsia"/>
          <w:lang w:eastAsia="zh-CN"/>
        </w:rPr>
        <w:t>。</w:t>
      </w:r>
    </w:p>
    <w:p>
      <w:pPr>
        <w:pStyle w:val="5"/>
        <w:ind w:firstLine="562"/>
        <w:rPr>
          <w:rFonts w:hint="eastAsia"/>
          <w:lang w:eastAsia="zh-CN"/>
        </w:rPr>
      </w:pPr>
      <w:r>
        <w:rPr>
          <w:rFonts w:hint="eastAsia"/>
          <w:lang w:eastAsia="zh-CN"/>
        </w:rPr>
        <w:t>污染物排放总量控制原则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在确定项目污染物排放总量控制指标时，遵循以下原则：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w:t>
      </w:r>
      <w:r>
        <w:rPr>
          <w:rFonts w:hint="eastAsia"/>
          <w:lang w:eastAsia="zh-CN"/>
        </w:rPr>
        <w:t>）</w:t>
      </w:r>
      <w:r>
        <w:t>各污染物的排放浓度和排放速率，必须符合国家有关污染物达标排放标准。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w:t>
      </w:r>
      <w:r>
        <w:rPr>
          <w:rFonts w:hint="eastAsia"/>
          <w:lang w:eastAsia="zh-CN"/>
        </w:rPr>
        <w:t>）</w:t>
      </w:r>
      <w:r>
        <w:t>各污染源所排污染物，其贡献浓度与环境背景值叠加后，应符合即定的环境质量标准。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3</w:t>
      </w:r>
      <w:r>
        <w:rPr>
          <w:rFonts w:hint="eastAsia"/>
          <w:lang w:eastAsia="zh-CN"/>
        </w:rPr>
        <w:t>）</w:t>
      </w:r>
      <w:r>
        <w:t>采取有效的管理措施和技术措施，削减污染物的排放量，使排污处于较低的水平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eastAsia" w:eastAsia="宋体"/>
          <w:lang w:eastAsia="zh-CN"/>
        </w:rPr>
      </w:pPr>
      <w:r>
        <w:rPr>
          <w:rFonts w:hint="eastAsia"/>
          <w:lang w:eastAsia="zh-CN"/>
        </w:rPr>
        <w:t>（</w:t>
      </w:r>
      <w:r>
        <w:rPr>
          <w:rFonts w:hint="eastAsia"/>
          <w:lang w:val="en-US" w:eastAsia="zh-CN"/>
        </w:rPr>
        <w:t>4</w:t>
      </w:r>
      <w:r>
        <w:rPr>
          <w:rFonts w:hint="eastAsia"/>
          <w:lang w:eastAsia="zh-CN"/>
        </w:rPr>
        <w:t>）</w:t>
      </w:r>
      <w:r>
        <w:t>各污染源所排放污染物以采取治理措施后实际所能达到的排放水平为基准，确定总量控制指标</w:t>
      </w:r>
      <w:r>
        <w:rPr>
          <w:rFonts w:hint="eastAsia"/>
          <w:lang w:eastAsia="zh-CN"/>
        </w:rPr>
        <w:t>。</w:t>
      </w:r>
    </w:p>
    <w:p>
      <w:pPr>
        <w:pStyle w:val="5"/>
        <w:ind w:firstLine="562"/>
        <w:rPr>
          <w:rFonts w:hint="eastAsia"/>
          <w:lang w:eastAsia="zh-CN"/>
        </w:rPr>
      </w:pPr>
      <w:r>
        <w:rPr>
          <w:rFonts w:hint="eastAsia"/>
          <w:lang w:eastAsia="zh-CN"/>
        </w:rPr>
        <w:t>总量控制建议指标</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default" w:ascii="Times New Roman" w:hAnsi="Times New Roman" w:eastAsia="宋体" w:cs="Times New Roman"/>
          <w:kern w:val="0"/>
          <w:sz w:val="24"/>
          <w:szCs w:val="24"/>
          <w:lang w:val="en-US" w:eastAsia="zh-CN" w:bidi="ar-SA"/>
        </w:rPr>
      </w:pPr>
      <w:r>
        <w:rPr>
          <w:color w:val="auto"/>
        </w:rPr>
        <w:t>根据国家主要污染物总量控制要求，结合本项目排污特征和评价区实际情况，由于</w:t>
      </w:r>
      <w:r>
        <w:rPr>
          <w:rFonts w:hint="eastAsia"/>
          <w:color w:val="auto"/>
          <w:lang w:val="en-US" w:eastAsia="zh-CN"/>
        </w:rPr>
        <w:t>猪场产生的生活污水经地埋式一体化生化处理达到《畜禽养殖业污染物排放标准》（DB44/613-2009）中集约化畜禽养殖业水污染物最高允许日排放浓度和《农田灌溉水质标准》（GB5084-2005）旱作水质标准严者后全部用于附近农田及林业灌溉；生产废水（含猪粪）经集液池混合均匀后，喷淋至异位发酵床处理，得到有机肥料，废水均不外排</w:t>
      </w:r>
      <w:r>
        <w:rPr>
          <w:color w:val="auto"/>
        </w:rPr>
        <w:t>，废水总量控制为0；项目无固体</w:t>
      </w:r>
      <w:r>
        <w:t>废物排放；项目</w:t>
      </w:r>
      <w:r>
        <w:rPr>
          <w:rFonts w:hint="eastAsia"/>
          <w:lang w:eastAsia="zh-CN"/>
        </w:rPr>
        <w:t>废气为无组织排放</w:t>
      </w:r>
      <w:r>
        <w:t>，故本评价</w:t>
      </w:r>
      <w:r>
        <w:rPr>
          <w:rFonts w:hint="eastAsia"/>
          <w:lang w:eastAsia="zh-CN"/>
        </w:rPr>
        <w:t>建议不设置</w:t>
      </w:r>
      <w:r>
        <w:t>项目总量控制因子。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9"/>
        <w:ind w:left="0" w:leftChars="0" w:firstLine="0" w:firstLineChars="0"/>
      </w:pPr>
    </w:p>
    <w:p>
      <w:pPr>
        <w:pStyle w:val="9"/>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42" w:name="_Toc12756"/>
      <w:r>
        <w:t>环境现状</w:t>
      </w:r>
      <w:bookmarkEnd w:id="33"/>
      <w:r>
        <w:t>调查与评价</w:t>
      </w:r>
      <w:bookmarkEnd w:id="42"/>
    </w:p>
    <w:p>
      <w:pPr>
        <w:pStyle w:val="4"/>
      </w:pPr>
      <w:bookmarkStart w:id="43" w:name="_Toc26400"/>
      <w:r>
        <w:t>自然地理状况</w:t>
      </w:r>
      <w:bookmarkEnd w:id="43"/>
    </w:p>
    <w:p>
      <w:pPr>
        <w:pStyle w:val="5"/>
        <w:ind w:firstLine="562"/>
      </w:pPr>
      <w:r>
        <w:t>地理位置</w:t>
      </w:r>
    </w:p>
    <w:p>
      <w:pPr>
        <w:pStyle w:val="8"/>
        <w:rPr>
          <w:rFonts w:hint="eastAsia"/>
        </w:rPr>
      </w:pPr>
      <w:r>
        <w:rPr>
          <w:rFonts w:hint="eastAsia"/>
        </w:rPr>
        <w:t>韶关市地处粤北，位于东经112º50'~114º45'、北纬23º5'~25º31'之间。西北面、北面和东北面与湖南郴州市、江西赣州市交界，东面与河源市接壤，西连清远市，南邻广州市、惠州市。被称为广东的北大门，从古至今是中国北方及长江流域与华南沿海之间最重要的陆路通道，战略地位历来重要。京广铁路大动脉、京珠高速公路和106国道南北向贯穿全市、323国道东西向贯穿全市，均经过韶关市区。我国南北公路运输干线107国道、105国道分别经过本市北部和东南部。</w:t>
      </w:r>
    </w:p>
    <w:p>
      <w:pPr>
        <w:pStyle w:val="8"/>
        <w:rPr>
          <w:rFonts w:hint="eastAsia" w:eastAsia="宋体"/>
          <w:lang w:eastAsia="zh-CN"/>
        </w:rPr>
      </w:pPr>
      <w:r>
        <w:rPr>
          <w:rFonts w:hint="eastAsia"/>
        </w:rPr>
        <w:t>仁化县地处南岭山脉南麓，位于东经</w:t>
      </w:r>
      <w:r>
        <w:rPr>
          <w:rFonts w:hint="default" w:ascii="Times New Roman" w:hAnsi="Times New Roman" w:cs="Times New Roman"/>
        </w:rPr>
        <w:t>113°30′-114°02′，北纬24°56′-25°27′，</w:t>
      </w:r>
      <w:r>
        <w:rPr>
          <w:rFonts w:hint="eastAsia"/>
        </w:rPr>
        <w:t>地处广东省北部，是粤、湘、赣三省交接地，东接江西省崇义、大余县，北邻湖南省汝城县，南面紧邻韶关市区。县境东西长47.3平方公里，南北宽44平方公里，总面积2223平方公里</w:t>
      </w:r>
      <w:r>
        <w:rPr>
          <w:rFonts w:hint="eastAsia"/>
          <w:lang w:eastAsia="zh-CN"/>
        </w:rPr>
        <w:t>。</w:t>
      </w:r>
    </w:p>
    <w:p>
      <w:pPr>
        <w:pStyle w:val="5"/>
        <w:ind w:firstLine="562"/>
      </w:pPr>
      <w:r>
        <w:t>地形地貌</w:t>
      </w:r>
    </w:p>
    <w:p>
      <w:pPr>
        <w:pStyle w:val="9"/>
        <w:rPr>
          <w:rFonts w:hint="eastAsia" w:ascii="Times New Roman" w:hAnsi="Times New Roman" w:eastAsia="宋体" w:cs="Times New Roman"/>
          <w:color w:val="000000"/>
          <w:sz w:val="24"/>
          <w:szCs w:val="24"/>
          <w:lang w:eastAsia="zh-CN"/>
        </w:rPr>
      </w:pPr>
      <w:r>
        <w:rPr>
          <w:rFonts w:hint="eastAsia" w:ascii="宋体" w:hAnsi="宋体" w:eastAsia="宋体"/>
          <w:color w:val="000000"/>
          <w:sz w:val="24"/>
          <w:szCs w:val="24"/>
        </w:rPr>
        <w:t>韶关市地处南岭山脉南部，全境在大地构造上处于华厦活化陆台的湘粤褶皱带</w:t>
      </w:r>
      <w:r>
        <w:rPr>
          <w:rFonts w:hint="default" w:ascii="Times New Roman" w:hAnsi="Times New Roman" w:eastAsia="宋体" w:cs="Times New Roman"/>
          <w:color w:val="000000"/>
          <w:sz w:val="24"/>
          <w:szCs w:val="24"/>
        </w:rPr>
        <w:t>。地质构造复杂，火成岩分布极广，地层发育基本齐全，岩溶地貌广布、种类多样，岩类以红色砂砾岩、砂岩、变质岩、花岗岩和石灰岩为主。在地质历史上属间歇上升区，流水侵蚀作用强烈，造成峡谷众多、山地陡峻以及发育成各级夷平面，以山地丘陵地貌为主。自北向南三列弧形山系排列成向南突出的弧形构成粤北地貌的基本格局：北列为蔚岭、</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"http://baike.baidu.com/item/%E5%A4%A7%E5%BA%BE%E5%B2%AD"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大庾岭</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山地，长140公里；中列为</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"http://baike.baidu.com/item/%E5%A4%A7%E4%B8%9C%E5%B1%B1/6073686"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大东山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、瑶岭山地，长250公里；南列为起微山、青云山山地，长270公里。其间分布两行河谷盆地，</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包括南雄盆地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、仁化董塘盆地、坪石盆地、乐昌盆地、韶关盆地和翁源盆地。红色岩系构成的丘陵、台地分布较广，特征显著。</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"http://baike.baidu.com/item/%E4%BB%81%E5%8C%96%E4%B8%B9%E9%9C%9E%E5%B1%B1"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仁化丹霞山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一带以独特的红岩地貌闻名于世，是中国典型的“丹霞地貌”所在地和命名地，面积约280 平方公里，山群呈峰林结构，有各种奇峰异石600多座。</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、坪石等盆地属红岩类型，</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幅员较广，岩层有十分丰富的古生物化石。全市境内山峦起伏，高峰耸立，中低山广布。北部地势为全省最高，位于乳源、阳山、湖南省交界的</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"http://baike.baidu.com/item/%E7%9F%B3%E5%9D%91%E5%B4%86"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石坑崆</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，海拔1902米，为广东第一高峰。南部地势较低，市区</w:t>
      </w:r>
      <w:r>
        <w:rPr>
          <w:rFonts w:hint="eastAsia" w:cs="Times New Roman"/>
          <w:color w:val="000000"/>
          <w:sz w:val="24"/>
          <w:szCs w:val="24"/>
          <w:lang w:eastAsia="zh-CN"/>
        </w:rPr>
        <w:t>海拔</w:t>
      </w:r>
      <w:r>
        <w:rPr>
          <w:rFonts w:hint="default" w:ascii="Times New Roman" w:hAnsi="Times New Roman" w:eastAsia="宋体" w:cs="Times New Roman"/>
          <w:color w:val="000000"/>
          <w:sz w:val="24"/>
          <w:szCs w:val="24"/>
        </w:rPr>
        <w:t>在最低35米</w:t>
      </w:r>
      <w:r>
        <w:rPr>
          <w:rFonts w:hint="eastAsia" w:ascii="Times New Roman" w:hAnsi="Times New Roman" w:cs="Times New Roman"/>
          <w:color w:val="000000"/>
          <w:sz w:val="24"/>
          <w:szCs w:val="24"/>
          <w:lang w:eastAsia="zh-CN"/>
        </w:rPr>
        <w:t>。</w:t>
      </w:r>
    </w:p>
    <w:p>
      <w:pPr>
        <w:pStyle w:val="9"/>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color w:val="000000"/>
          <w:sz w:val="24"/>
          <w:szCs w:val="24"/>
        </w:rPr>
        <w:t>仁化县地层发育较为齐全，主要有元古界、古生界、中生界、新生界地层，地貌大体北高南低，地形复杂，以山地丘陵为主，其中山地约占70%、丘陵约占20%、小平原占10%，总体走向为东南向，西北锡林峰高1394.5米，北东角范水山高1559.3米</w:t>
      </w:r>
      <w:r>
        <w:rPr>
          <w:rFonts w:hint="default" w:ascii="Times New Roman" w:hAnsi="Times New Roman" w:cs="Times New Roman"/>
          <w:color w:val="000000"/>
          <w:sz w:val="24"/>
          <w:szCs w:val="24"/>
          <w:lang w:eastAsia="zh-CN"/>
        </w:rPr>
        <w:t>。</w:t>
      </w:r>
    </w:p>
    <w:p>
      <w:pPr>
        <w:pStyle w:val="5"/>
        <w:ind w:firstLine="562"/>
      </w:pPr>
      <w:r>
        <w:t>气候气象</w:t>
      </w:r>
    </w:p>
    <w:p>
      <w:pPr>
        <w:pStyle w:val="9"/>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全市属中亚热带湿润型季风气候区，气一年四季均受季风影响，冬季盛行东北季风，夏季盛行西南和东南季风。四季特点为春季阴雨连绵，秋季降水偏少，冬季寒冷，夏季偏热。年平均气温18.8°C―21.6°C，最冷月份（1月）平均气温8°C―11°C，最热月份（7月）平均气温28°C―29°C，冬季各地气温自北向南递增，夏季各地气温较接近。雨量充沛，年均降雨1400―2400毫米，3―8月为雨季，9―2月为旱季。日平均温度在10°C以上的太阳辐射占全年辐射总量的90%，光能、温度、降水配合较好，雨热基本同季，有利植物生长和农业生产。全年无霜期310 天左右，年日照时间1473—1925小时，北部乡镇冬季每年均有降雪。</w:t>
      </w:r>
    </w:p>
    <w:p>
      <w:pPr>
        <w:pStyle w:val="9"/>
        <w:rPr>
          <w:rFonts w:hint="default" w:cs="Times New Roman"/>
          <w:color w:val="000000"/>
          <w:sz w:val="24"/>
          <w:szCs w:val="24"/>
          <w:lang w:val="en-US" w:eastAsia="zh-CN"/>
        </w:rPr>
      </w:pPr>
      <w:r>
        <w:rPr>
          <w:rFonts w:hint="default" w:ascii="Times New Roman" w:hAnsi="Times New Roman" w:eastAsia="宋体" w:cs="Times New Roman"/>
          <w:color w:val="000000"/>
          <w:sz w:val="24"/>
          <w:szCs w:val="24"/>
        </w:rPr>
        <w:t>仁化县</w:t>
      </w:r>
      <w:r>
        <w:rPr>
          <w:rFonts w:hint="eastAsia" w:cs="Times New Roman"/>
          <w:color w:val="000000"/>
          <w:sz w:val="24"/>
          <w:szCs w:val="24"/>
          <w:lang w:eastAsia="zh-CN"/>
        </w:rPr>
        <w:t>位于广东省北部，</w:t>
      </w:r>
      <w:r>
        <w:rPr>
          <w:rFonts w:hint="default" w:ascii="Times New Roman" w:hAnsi="Times New Roman" w:eastAsia="宋体" w:cs="Times New Roman"/>
          <w:color w:val="000000"/>
          <w:sz w:val="24"/>
          <w:szCs w:val="24"/>
        </w:rPr>
        <w:t>地处中亚热带南沿，</w:t>
      </w:r>
      <w:r>
        <w:rPr>
          <w:rFonts w:hint="eastAsia" w:cs="Times New Roman"/>
          <w:color w:val="000000"/>
          <w:sz w:val="24"/>
          <w:szCs w:val="24"/>
          <w:lang w:eastAsia="zh-CN"/>
        </w:rPr>
        <w:t>属亚热带季风气候，受季风的影响，夏季盛行东南风和偏南风，冬季受来冷空气的影响。因受盆地滴滴性影响，局地小气候较为突出，风速小，静风频率甚高。年平均气温较高，受副热带高压的影响，极端最高气温甚高，日照时间长，热量充足，空气湿度大，冬季有霜冻。降雨量和蒸发量均较大，上半年以降雨为主，下半年常受热带气旋影响，则以台风雨为主，降雨量在时间和空间上的分布不均与，</w:t>
      </w:r>
      <w:r>
        <w:rPr>
          <w:rFonts w:hint="eastAsia" w:cs="Times New Roman"/>
          <w:color w:val="000000"/>
          <w:sz w:val="24"/>
          <w:szCs w:val="24"/>
          <w:lang w:val="en-US" w:eastAsia="zh-CN"/>
        </w:rPr>
        <w:t>4-9月的降雨量约占全年的68%。</w:t>
      </w:r>
    </w:p>
    <w:p>
      <w:pPr>
        <w:pStyle w:val="9"/>
        <w:rPr>
          <w:rFonts w:hint="default" w:cs="Times New Roman"/>
          <w:color w:val="000000"/>
          <w:sz w:val="24"/>
          <w:szCs w:val="24"/>
          <w:lang w:val="en-US" w:eastAsia="zh-CN"/>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20年（1996-2015年）的气象观测资料统计，其主要气候特征见表4.1-1~表4.1-3。</w:t>
      </w: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4.1-2  仁化累年各月平均风速（m/s）、平均气温（℃）</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655"/>
        <w:gridCol w:w="655"/>
        <w:gridCol w:w="655"/>
        <w:gridCol w:w="655"/>
        <w:gridCol w:w="655"/>
        <w:gridCol w:w="656"/>
        <w:gridCol w:w="656"/>
        <w:gridCol w:w="656"/>
        <w:gridCol w:w="656"/>
        <w:gridCol w:w="656"/>
        <w:gridCol w:w="656"/>
        <w:gridCol w:w="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55" w:type="dxa"/>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656" w:type="dxa"/>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980"/>
        <w:gridCol w:w="850"/>
        <w:gridCol w:w="850"/>
        <w:gridCol w:w="850"/>
        <w:gridCol w:w="850"/>
        <w:gridCol w:w="751"/>
        <w:gridCol w:w="765"/>
        <w:gridCol w:w="780"/>
        <w:gridCol w:w="1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ind w:left="0" w:leftChars="0" w:firstLine="0" w:firstLineChars="0"/>
        <w:jc w:val="center"/>
        <w:rPr>
          <w:rFonts w:hint="eastAsia" w:cs="Times New Roman"/>
          <w:color w:val="000000"/>
          <w:sz w:val="24"/>
          <w:szCs w:val="24"/>
          <w:lang w:eastAsia="zh-CN"/>
        </w:rPr>
      </w:pPr>
      <w:r>
        <w:drawing>
          <wp:inline distT="0" distB="0" distL="114300" distR="114300">
            <wp:extent cx="2353310" cy="2522855"/>
            <wp:effectExtent l="12700" t="12700" r="15240" b="17145"/>
            <wp:docPr id="1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4.1-1   仁化气象站累年各季风向玫瑰图（统计年限：1996-2015年）</w:t>
      </w:r>
    </w:p>
    <w:p>
      <w:pPr>
        <w:pStyle w:val="5"/>
        <w:ind w:firstLine="562"/>
      </w:pPr>
      <w:r>
        <w:t>水文特征</w:t>
      </w:r>
    </w:p>
    <w:p>
      <w:pPr>
        <w:pStyle w:val="9"/>
        <w:rPr>
          <w:rFonts w:hint="eastAsia" w:eastAsia="宋体"/>
          <w:lang w:eastAsia="zh-CN"/>
        </w:rPr>
      </w:pPr>
      <w:r>
        <w:rPr>
          <w:rFonts w:hint="eastAsia"/>
        </w:rPr>
        <w:t>韶关境内河流主要属珠江水系北江流域。</w:t>
      </w:r>
      <w:r>
        <w:rPr>
          <w:rFonts w:hint="eastAsia"/>
        </w:rPr>
        <w:fldChar w:fldCharType="begin"/>
      </w:r>
      <w:r>
        <w:rPr>
          <w:rFonts w:hint="eastAsia"/>
        </w:rPr>
        <w:instrText xml:space="preserve"> HYPERLINK "http://baike.baidu.com/item/%E6%B5%88%E6%B1%9F" \h </w:instrText>
      </w:r>
      <w:r>
        <w:rPr>
          <w:rFonts w:hint="eastAsia"/>
        </w:rPr>
        <w:fldChar w:fldCharType="separate"/>
      </w:r>
      <w:r>
        <w:rPr>
          <w:rFonts w:hint="eastAsia"/>
        </w:rPr>
        <w:t>浈江</w:t>
      </w:r>
      <w:r>
        <w:rPr>
          <w:rFonts w:hint="eastAsia"/>
        </w:rPr>
        <w:fldChar w:fldCharType="end"/>
      </w:r>
      <w:r>
        <w:rPr>
          <w:rFonts w:hint="eastAsia"/>
        </w:rPr>
        <w:t>为北江干流，自北向南贯穿全境，大小支流密布，呈羽状汇入北江。主要支流有</w:t>
      </w:r>
      <w:r>
        <w:rPr>
          <w:rFonts w:hint="eastAsia"/>
        </w:rPr>
        <w:fldChar w:fldCharType="begin"/>
      </w:r>
      <w:r>
        <w:rPr>
          <w:rFonts w:hint="eastAsia"/>
        </w:rPr>
        <w:instrText xml:space="preserve"> HYPERLINK "http://baike.baidu.com/item/%E6%AD%A6%E6%B1%9F" \h </w:instrText>
      </w:r>
      <w:r>
        <w:rPr>
          <w:rFonts w:hint="eastAsia"/>
        </w:rPr>
        <w:fldChar w:fldCharType="separate"/>
      </w:r>
      <w:r>
        <w:rPr>
          <w:rFonts w:hint="eastAsia"/>
        </w:rPr>
        <w:t>武江</w:t>
      </w:r>
      <w:r>
        <w:rPr>
          <w:rFonts w:hint="eastAsia"/>
        </w:rPr>
        <w:fldChar w:fldCharType="end"/>
      </w:r>
      <w:r>
        <w:rPr>
          <w:rFonts w:hint="eastAsia"/>
        </w:rPr>
        <w:t>、</w:t>
      </w:r>
      <w:r>
        <w:rPr>
          <w:rFonts w:hint="eastAsia"/>
        </w:rPr>
        <w:fldChar w:fldCharType="begin"/>
      </w:r>
      <w:r>
        <w:rPr>
          <w:rFonts w:hint="eastAsia"/>
        </w:rPr>
        <w:instrText xml:space="preserve"> HYPERLINK "http://baike.baidu.com/item/%E5%A2%A8%E6%B1%9F" \h </w:instrText>
      </w:r>
      <w:r>
        <w:rPr>
          <w:rFonts w:hint="eastAsia"/>
        </w:rPr>
        <w:fldChar w:fldCharType="separate"/>
      </w:r>
      <w:r>
        <w:rPr>
          <w:rFonts w:hint="eastAsia"/>
        </w:rPr>
        <w:t>墨江</w:t>
      </w:r>
      <w:r>
        <w:rPr>
          <w:rFonts w:hint="eastAsia"/>
        </w:rPr>
        <w:fldChar w:fldCharType="end"/>
      </w:r>
      <w:r>
        <w:rPr>
          <w:rFonts w:hint="eastAsia"/>
        </w:rPr>
        <w:t>、</w:t>
      </w:r>
      <w:r>
        <w:rPr>
          <w:rFonts w:hint="eastAsia"/>
        </w:rPr>
        <w:fldChar w:fldCharType="begin"/>
      </w:r>
      <w:r>
        <w:rPr>
          <w:rFonts w:hint="eastAsia"/>
        </w:rPr>
        <w:instrText xml:space="preserve"> HYPERLINK "http://baike.baidu.com/item/%E9%94%A6%E6%B1%9F/12504989" \h </w:instrText>
      </w:r>
      <w:r>
        <w:rPr>
          <w:rFonts w:hint="eastAsia"/>
        </w:rPr>
        <w:fldChar w:fldCharType="separate"/>
      </w:r>
      <w:r>
        <w:rPr>
          <w:rFonts w:hint="eastAsia"/>
        </w:rPr>
        <w:t>锦江</w:t>
      </w:r>
      <w:r>
        <w:rPr>
          <w:rFonts w:hint="eastAsia"/>
        </w:rPr>
        <w:fldChar w:fldCharType="end"/>
      </w:r>
      <w:r>
        <w:rPr>
          <w:rFonts w:hint="eastAsia"/>
        </w:rPr>
        <w:t>、翁江、</w:t>
      </w:r>
      <w:r>
        <w:rPr>
          <w:rFonts w:hint="eastAsia"/>
        </w:rPr>
        <w:fldChar w:fldCharType="begin"/>
      </w:r>
      <w:r>
        <w:rPr>
          <w:rFonts w:hint="eastAsia"/>
        </w:rPr>
        <w:instrText xml:space="preserve"> HYPERLINK "http://baike.baidu.com/item/%E5%87%8C%E6%B1%9F/43071" \h </w:instrText>
      </w:r>
      <w:r>
        <w:rPr>
          <w:rFonts w:hint="eastAsia"/>
        </w:rPr>
        <w:fldChar w:fldCharType="separate"/>
      </w:r>
      <w:r>
        <w:rPr>
          <w:rFonts w:hint="eastAsia"/>
        </w:rPr>
        <w:t>凌江</w:t>
      </w:r>
      <w:r>
        <w:rPr>
          <w:rFonts w:hint="eastAsia"/>
        </w:rPr>
        <w:fldChar w:fldCharType="end"/>
      </w:r>
      <w:r>
        <w:rPr>
          <w:rFonts w:hint="eastAsia"/>
        </w:rPr>
        <w:t>、</w:t>
      </w:r>
      <w:r>
        <w:rPr>
          <w:rFonts w:hint="eastAsia"/>
        </w:rPr>
        <w:fldChar w:fldCharType="begin"/>
      </w:r>
      <w:r>
        <w:rPr>
          <w:rFonts w:hint="eastAsia"/>
        </w:rPr>
        <w:instrText xml:space="preserve"> HYPERLINK "http://baike.baidu.com/item/%E5%8D%97%E6%B0%B4" \h </w:instrText>
      </w:r>
      <w:r>
        <w:rPr>
          <w:rFonts w:hint="eastAsia"/>
        </w:rPr>
        <w:fldChar w:fldCharType="separate"/>
      </w:r>
      <w:r>
        <w:rPr>
          <w:rFonts w:hint="eastAsia"/>
        </w:rPr>
        <w:t>南水</w:t>
      </w:r>
      <w:r>
        <w:rPr>
          <w:rFonts w:hint="eastAsia"/>
        </w:rPr>
        <w:fldChar w:fldCharType="end"/>
      </w:r>
      <w:r>
        <w:rPr>
          <w:rFonts w:hint="eastAsia"/>
        </w:rPr>
        <w:t>。新丰县部分属东江流域。由于雨量充沛，河流众多，落差大，水量、水力资源丰富。全市有集雨面积100平方公里以上的河流62条，其中1000平方公半以上的河流条。多年平均年径流深945毫米，多年平均年径流总量约为176亿立方米，过境水量28.5亿立方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eastAsia="宋体"/>
          <w:lang w:eastAsia="zh-CN"/>
        </w:rPr>
      </w:pPr>
      <w:r>
        <w:rPr>
          <w:rFonts w:hint="eastAsia"/>
        </w:rPr>
        <w:t>北江发源于江西信丰石碣大茅山，其上游称浈江。浈江集雨面积7554平方公里，总长211公里，流经南雄、始兴、曲江和韶关市区。沿途纳凌江、墨江、锦江，共3条支流，浈江于韶关市区沙洲尾与武江水汇合后始称北江干流。北江干流出韶关市区后折向南流，至孟洲坝与南水相汇，然后向南直下，沿途不断承纳滃江、连江等大小支流，最后至三水思贤滘进入三角洲网河区。北江全长 468km，总流域面积为46710km</w:t>
      </w:r>
      <w:r>
        <w:rPr>
          <w:rFonts w:hint="eastAsia"/>
          <w:vertAlign w:val="superscript"/>
        </w:rPr>
        <w:t>2</w:t>
      </w:r>
      <w:r>
        <w:rPr>
          <w:rFonts w:hint="eastAsia"/>
        </w:rPr>
        <w:t>，广东省境内为42879km</w:t>
      </w:r>
      <w:r>
        <w:rPr>
          <w:rFonts w:hint="eastAsia"/>
          <w:vertAlign w:val="superscript"/>
        </w:rPr>
        <w:t>2</w:t>
      </w:r>
      <w:r>
        <w:rPr>
          <w:rFonts w:hint="eastAsia"/>
        </w:rPr>
        <w:t>，韶关市境内约为 17299km</w:t>
      </w:r>
      <w:r>
        <w:rPr>
          <w:rFonts w:hint="eastAsia"/>
          <w:vertAlign w:val="superscript"/>
        </w:rPr>
        <w:t>2</w:t>
      </w:r>
      <w:r>
        <w:rPr>
          <w:rFonts w:hint="eastAsia"/>
        </w:rPr>
        <w:t>，上游湖南、江西两省境内控制北江流域面积为3831km</w:t>
      </w:r>
      <w:r>
        <w:rPr>
          <w:rFonts w:hint="eastAsia"/>
          <w:vertAlign w:val="superscript"/>
        </w:rPr>
        <w:t>2</w:t>
      </w:r>
      <w:r>
        <w:rPr>
          <w:rFonts w:hint="eastAsia"/>
        </w:rPr>
        <w:t>。北江以马径寮站为控制，多年平均河川径流量为148.3亿m</w:t>
      </w:r>
      <w:r>
        <w:rPr>
          <w:rFonts w:hint="eastAsia"/>
          <w:vertAlign w:val="superscript"/>
        </w:rPr>
        <w:t>3</w:t>
      </w:r>
      <w:r>
        <w:rPr>
          <w:rFonts w:hint="eastAsia"/>
        </w:rPr>
        <w:t>，其中过境水量为26.8亿m</w:t>
      </w:r>
      <w:r>
        <w:rPr>
          <w:rFonts w:hint="eastAsia"/>
          <w:vertAlign w:val="superscript"/>
        </w:rPr>
        <w:t>3</w:t>
      </w:r>
      <w:r>
        <w:rPr>
          <w:rFonts w:hint="eastAsia"/>
        </w:rPr>
        <w:t>，最小年径流58.0亿m</w:t>
      </w:r>
      <w:r>
        <w:rPr>
          <w:rFonts w:hint="eastAsia"/>
          <w:vertAlign w:val="superscript"/>
        </w:rPr>
        <w:t>3</w:t>
      </w:r>
      <w:r>
        <w:rPr>
          <w:rFonts w:hint="eastAsia"/>
        </w:rPr>
        <w:t>，枯水年（P=90%）为87亿m</w:t>
      </w:r>
      <w:r>
        <w:rPr>
          <w:rFonts w:hint="eastAsia"/>
          <w:vertAlign w:val="superscript"/>
        </w:rPr>
        <w:t>3</w:t>
      </w:r>
      <w:r>
        <w:rPr>
          <w:rFonts w:hint="eastAsia"/>
        </w:rPr>
        <w:t>，浅层地下水为33.7亿m</w:t>
      </w:r>
      <w:r>
        <w:rPr>
          <w:rFonts w:hint="eastAsia"/>
          <w:vertAlign w:val="superscript"/>
        </w:rPr>
        <w:t>3</w:t>
      </w:r>
      <w:r>
        <w:rPr>
          <w:rFonts w:hint="eastAsia"/>
        </w:rPr>
        <w:t>。最大实测流量为8110m</w:t>
      </w:r>
      <w:r>
        <w:rPr>
          <w:rFonts w:hint="eastAsia"/>
          <w:vertAlign w:val="superscript"/>
        </w:rPr>
        <w:t>3</w:t>
      </w:r>
      <w:r>
        <w:rPr>
          <w:rFonts w:hint="eastAsia"/>
        </w:rPr>
        <w:t>/s（出现于1968年6月23日），最小实测流量为4</w:t>
      </w:r>
      <w:r>
        <w:rPr>
          <w:rFonts w:hint="default" w:ascii="Times New Roman" w:hAnsi="Times New Roman" w:cs="Times New Roman"/>
        </w:rPr>
        <w:t>6.3m</w:t>
      </w:r>
      <w:r>
        <w:rPr>
          <w:rFonts w:hint="default" w:ascii="Times New Roman" w:hAnsi="Times New Roman" w:cs="Times New Roman"/>
          <w:vertAlign w:val="superscript"/>
        </w:rPr>
        <w:t>3</w:t>
      </w:r>
      <w:r>
        <w:rPr>
          <w:rFonts w:hint="default" w:ascii="Times New Roman" w:hAnsi="Times New Roman" w:cs="Times New Roman"/>
        </w:rPr>
        <w:t>/s）（出</w:t>
      </w:r>
      <w:r>
        <w:rPr>
          <w:rFonts w:hint="eastAsia"/>
        </w:rPr>
        <w:t>现于1963年9月4日）。浈江以长坝站为控制，最枯流量为154 m</w:t>
      </w:r>
      <w:r>
        <w:rPr>
          <w:rFonts w:hint="eastAsia"/>
          <w:vertAlign w:val="superscript"/>
        </w:rPr>
        <w:t>3</w:t>
      </w:r>
      <w:r>
        <w:rPr>
          <w:rFonts w:hint="eastAsia"/>
        </w:rPr>
        <w:t>/s（出现在1963年）</w:t>
      </w:r>
      <w:r>
        <w:rPr>
          <w:rFonts w:hint="eastAsia"/>
          <w:lang w:eastAsia="zh-CN"/>
        </w:rPr>
        <w:t>。</w:t>
      </w:r>
    </w:p>
    <w:p>
      <w:pPr>
        <w:pStyle w:val="9"/>
        <w:rPr>
          <w:rFonts w:hint="default" w:eastAsia="宋体"/>
          <w:lang w:val="en-US" w:eastAsia="zh-CN"/>
        </w:rPr>
      </w:pPr>
      <w:r>
        <w:rPr>
          <w:rFonts w:hint="eastAsia"/>
          <w:lang w:eastAsia="zh-CN"/>
        </w:rPr>
        <w:t>锦江是仁化县最大的河流，源于县境内北部山区，自北往南流经县城，汇水面积</w:t>
      </w:r>
      <w:r>
        <w:rPr>
          <w:rFonts w:hint="eastAsia"/>
          <w:lang w:val="en-US" w:eastAsia="zh-CN"/>
        </w:rPr>
        <w:t>1467平方公里，全长108公里，水量丰富，受季节的影响很大，刘亮差异大，丰水期流量68.2m</w:t>
      </w:r>
      <w:r>
        <w:rPr>
          <w:rFonts w:hint="eastAsia"/>
          <w:vertAlign w:val="superscript"/>
          <w:lang w:val="en-US" w:eastAsia="zh-CN"/>
        </w:rPr>
        <w:t>3</w:t>
      </w:r>
      <w:r>
        <w:rPr>
          <w:rFonts w:hint="eastAsia"/>
          <w:lang w:val="en-US" w:eastAsia="zh-CN"/>
        </w:rPr>
        <w:t>/s，枯水期最小流量只有19.0m</w:t>
      </w:r>
      <w:r>
        <w:rPr>
          <w:rFonts w:hint="eastAsia"/>
          <w:vertAlign w:val="superscript"/>
          <w:lang w:val="en-US" w:eastAsia="zh-CN"/>
        </w:rPr>
        <w:t>3</w:t>
      </w:r>
      <w:r>
        <w:rPr>
          <w:rFonts w:hint="eastAsia"/>
          <w:lang w:val="en-US" w:eastAsia="zh-CN"/>
        </w:rPr>
        <w:t>/s，多年平均流量45.1m</w:t>
      </w:r>
      <w:r>
        <w:rPr>
          <w:rFonts w:hint="eastAsia"/>
          <w:vertAlign w:val="superscript"/>
          <w:lang w:val="en-US" w:eastAsia="zh-CN"/>
        </w:rPr>
        <w:t>3</w:t>
      </w:r>
      <w:r>
        <w:rPr>
          <w:rFonts w:hint="eastAsia"/>
          <w:lang w:val="en-US" w:eastAsia="zh-CN"/>
        </w:rPr>
        <w:t>/s，年均流深0.901m。锦江仁化镇至仁化江口段为Ⅲ类功能区划。</w:t>
      </w:r>
    </w:p>
    <w:p>
      <w:pPr>
        <w:pStyle w:val="5"/>
        <w:ind w:firstLine="562"/>
      </w:pPr>
      <w:r>
        <w:rPr>
          <w:rFonts w:hint="eastAsia"/>
          <w:lang w:eastAsia="zh-CN"/>
        </w:rPr>
        <w:t>土壤植被</w:t>
      </w:r>
    </w:p>
    <w:p>
      <w:pPr>
        <w:pStyle w:val="9"/>
        <w:rPr>
          <w:rFonts w:hint="eastAsia" w:eastAsia="宋体"/>
          <w:lang w:eastAsia="zh-CN"/>
        </w:rPr>
      </w:pPr>
      <w:r>
        <w:rPr>
          <w:rFonts w:hint="eastAsia"/>
          <w:lang w:eastAsia="zh-CN"/>
        </w:rPr>
        <w:t>该项目一带土壤多为由砂岩风沙而成的山地页黄壤、页红壤的成土母质。地表植被以亚热带常绿针叶林和阔叶林为主，夹杂有部分常绿乔木。由于多年的封山育林，地表植被良好，主要树种包括杉、松、杂木和毛竹等。</w:t>
      </w:r>
    </w:p>
    <w:p>
      <w:pPr>
        <w:pStyle w:val="5"/>
        <w:ind w:firstLine="562"/>
      </w:pPr>
      <w:r>
        <w:rPr>
          <w:rFonts w:hint="eastAsia"/>
          <w:lang w:eastAsia="zh-CN"/>
        </w:rPr>
        <w:t>生物多样性</w:t>
      </w:r>
    </w:p>
    <w:p>
      <w:pPr>
        <w:pStyle w:val="9"/>
        <w:rPr>
          <w:rFonts w:hint="default" w:eastAsia="宋体"/>
          <w:lang w:val="en-US" w:eastAsia="zh-CN"/>
        </w:rPr>
      </w:pPr>
      <w:r>
        <w:rPr>
          <w:rFonts w:hint="eastAsia"/>
          <w:lang w:eastAsia="zh-CN"/>
        </w:rPr>
        <w:t>由于受气候、土壤和地形地貌的影响，该地区原生植被类型为亚热带常绿季雨林（低地雨林）。但是由于多年的人类活动干扰，绝大多数原生植被已经被人工植被所取代，现存的自然植被亦多是人为干扰后形成的次生植被。现有的主要植被类型有：（</w:t>
      </w:r>
      <w:r>
        <w:rPr>
          <w:rFonts w:hint="eastAsia"/>
          <w:lang w:val="en-US" w:eastAsia="zh-CN"/>
        </w:rPr>
        <w:t>1</w:t>
      </w:r>
      <w:r>
        <w:rPr>
          <w:rFonts w:hint="eastAsia"/>
          <w:lang w:eastAsia="zh-CN"/>
        </w:rPr>
        <w:t>）由常绿季雨林的残次林和灌丛组成的自然次生植被；（</w:t>
      </w:r>
      <w:r>
        <w:rPr>
          <w:rFonts w:hint="eastAsia"/>
          <w:lang w:val="en-US" w:eastAsia="zh-CN"/>
        </w:rPr>
        <w:t>2</w:t>
      </w:r>
      <w:r>
        <w:rPr>
          <w:rFonts w:hint="eastAsia"/>
          <w:lang w:eastAsia="zh-CN"/>
        </w:rPr>
        <w:t>）由松树林、桉树林、竹木混杂林及农田作物群落构成的人工植被。本区没有国家重点保护的Ⅰ、Ⅱ类植物、动物和水生生物。动物是南方广布的鼠类、蛇类和鸟类，缺少敏感的保护目标。仁化县中小企业创业园主要是农业植被。</w:t>
      </w:r>
    </w:p>
    <w:p>
      <w:pPr>
        <w:pStyle w:val="5"/>
        <w:ind w:firstLine="562"/>
      </w:pPr>
      <w:r>
        <w:rPr>
          <w:rFonts w:hint="eastAsia"/>
          <w:lang w:eastAsia="zh-CN"/>
        </w:rPr>
        <w:t>项目周围污染情况</w:t>
      </w:r>
    </w:p>
    <w:p>
      <w:pPr>
        <w:pStyle w:val="9"/>
        <w:rPr>
          <w:rFonts w:hint="eastAsia"/>
          <w:lang w:eastAsia="zh-CN"/>
        </w:rPr>
      </w:pPr>
      <w:r>
        <w:rPr>
          <w:rFonts w:hint="eastAsia"/>
        </w:rPr>
        <w:t>本项目周边均为农田、林地，基本没有相关污染情况</w:t>
      </w:r>
      <w:r>
        <w:rPr>
          <w:rFonts w:hint="eastAsia"/>
          <w:lang w:eastAsia="zh-CN"/>
        </w:rPr>
        <w:t>。</w:t>
      </w:r>
    </w:p>
    <w:p>
      <w:pPr>
        <w:pStyle w:val="9"/>
        <w:ind w:left="0" w:leftChars="0" w:firstLine="0" w:firstLineChars="0"/>
        <w:rPr>
          <w:rFonts w:hint="eastAsia"/>
          <w:lang w:eastAsia="zh-CN"/>
        </w:rPr>
      </w:pPr>
      <w:r>
        <w:drawing>
          <wp:inline distT="0" distB="0" distL="114300" distR="114300">
            <wp:extent cx="5189220" cy="4198620"/>
            <wp:effectExtent l="19050" t="19050" r="19050" b="19050"/>
            <wp:docPr id="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5"/>
                    <pic:cNvPicPr>
                      <a:picLocks noChangeAspect="1"/>
                    </pic:cNvPicPr>
                  </pic:nvPicPr>
                  <pic:blipFill>
                    <a:blip r:embed="rId46"/>
                    <a:stretch>
                      <a:fillRect/>
                    </a:stretch>
                  </pic:blipFill>
                  <pic:spPr>
                    <a:xfrm>
                      <a:off x="0" y="0"/>
                      <a:ext cx="5189220" cy="419862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val="en-US" w:eastAsia="zh-CN"/>
        </w:rPr>
        <w:t>图4.1-1  项目四至范围示意图</w:t>
      </w:r>
    </w:p>
    <w:p>
      <w:pPr>
        <w:pStyle w:val="4"/>
      </w:pPr>
      <w:bookmarkStart w:id="44" w:name="_Toc2039"/>
      <w:r>
        <w:t>地表水环境质量现状调查与评价</w:t>
      </w:r>
      <w:bookmarkEnd w:id="44"/>
    </w:p>
    <w:p>
      <w:pPr>
        <w:pStyle w:val="9"/>
        <w:rPr>
          <w:rFonts w:hint="eastAsia"/>
          <w:lang w:val="en-US"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2018年主要江河水系水质状况总体良好，水环境质量与上年相比无显著变化：监测结果表明，全市10条主要江河（北江、吴江、浈江、南水河、墨江、锦江、马坝河、滃江、新丰江、横石水）23个监测断面（1个Ⅰ类、18个Ⅱ类、4个Ⅲ类）的水质均达到水质目标要求，优良率为100%，与2017年持平；达标率为100%，其中13个省考断面较2017年（92.3%）上升7.7个百分比。我市地表水无劣Ⅴ类水体；城市建成区内无黒臭水体。</w:t>
      </w:r>
    </w:p>
    <w:p>
      <w:pPr>
        <w:pStyle w:val="9"/>
        <w:rPr>
          <w:rFonts w:hint="eastAsia"/>
          <w:lang w:val="en-US" w:eastAsia="zh-CN"/>
        </w:rPr>
      </w:pPr>
      <w:r>
        <w:rPr>
          <w:rFonts w:hint="eastAsia"/>
          <w:lang w:val="en-US" w:eastAsia="zh-CN"/>
        </w:rPr>
        <w:t>1个跨市河流交接断面（高桥断面）水质达标率为100%。</w:t>
      </w:r>
    </w:p>
    <w:p>
      <w:pPr>
        <w:pStyle w:val="9"/>
        <w:rPr>
          <w:rFonts w:hint="default"/>
          <w:lang w:val="en-US" w:eastAsia="zh-CN"/>
        </w:rPr>
      </w:pPr>
      <w:r>
        <w:rPr>
          <w:rFonts w:hint="eastAsia"/>
          <w:lang w:val="en-US" w:eastAsia="zh-CN"/>
        </w:rPr>
        <w:t>本项目附近水体为锦江，因此，根据《2018年韶关市环境状况公报》，本项目附近地表水环境质量现状良好。</w:t>
      </w:r>
    </w:p>
    <w:p>
      <w:pPr>
        <w:pStyle w:val="4"/>
      </w:pPr>
      <w:bookmarkStart w:id="45" w:name="_Toc31984"/>
      <w:r>
        <w:t>地</w:t>
      </w:r>
      <w:r>
        <w:rPr>
          <w:rFonts w:hint="eastAsia"/>
          <w:lang w:eastAsia="zh-CN"/>
        </w:rPr>
        <w:t>下</w:t>
      </w:r>
      <w:r>
        <w:t>水环境质量现状调查与评价</w:t>
      </w:r>
      <w:bookmarkEnd w:id="45"/>
    </w:p>
    <w:p>
      <w:pPr>
        <w:pStyle w:val="5"/>
        <w:ind w:firstLine="562"/>
      </w:pPr>
      <w:r>
        <w:rPr>
          <w:rFonts w:hint="eastAsia"/>
          <w:lang w:eastAsia="zh-CN"/>
        </w:rPr>
        <w:t xml:space="preserve">监测点位 </w:t>
      </w:r>
    </w:p>
    <w:p>
      <w:pPr>
        <w:pStyle w:val="9"/>
        <w:rPr>
          <w:rFonts w:hint="eastAsia"/>
        </w:rPr>
      </w:pPr>
      <w:r>
        <w:rPr>
          <w:rFonts w:hint="eastAsia"/>
        </w:rPr>
        <w:t>为了解项目所在地附近地下水水质特征，在项目所在地及附近布设3个地下水水质监测点和6个地下水水位监测点。本项目委托江西恒定环保检测服务有限公司于20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日进行现场采样监测，监测点布设情况详见下表。</w:t>
      </w:r>
    </w:p>
    <w:p>
      <w:pPr>
        <w:autoSpaceDE w:val="0"/>
        <w:autoSpaceDN w:val="0"/>
        <w:adjustRightInd w:val="0"/>
        <w:jc w:val="center"/>
        <w:rPr>
          <w:b/>
          <w:sz w:val="21"/>
          <w:szCs w:val="21"/>
        </w:rPr>
      </w:pPr>
      <w:r>
        <w:rPr>
          <w:b/>
          <w:sz w:val="21"/>
          <w:szCs w:val="21"/>
        </w:rPr>
        <w:t>表</w:t>
      </w:r>
      <w:r>
        <w:rPr>
          <w:rFonts w:hint="eastAsia"/>
          <w:b/>
          <w:sz w:val="21"/>
          <w:szCs w:val="21"/>
          <w:lang w:val="en-US" w:eastAsia="zh-CN"/>
        </w:rPr>
        <w:t>4.3-1</w:t>
      </w:r>
      <w:r>
        <w:rPr>
          <w:b/>
          <w:sz w:val="21"/>
          <w:szCs w:val="21"/>
        </w:rPr>
        <w:t xml:space="preserve"> </w:t>
      </w:r>
      <w:r>
        <w:rPr>
          <w:rFonts w:hint="eastAsia"/>
          <w:b/>
          <w:sz w:val="21"/>
          <w:szCs w:val="21"/>
        </w:rPr>
        <w:t xml:space="preserve"> </w:t>
      </w:r>
      <w:r>
        <w:rPr>
          <w:b/>
          <w:sz w:val="21"/>
          <w:szCs w:val="21"/>
        </w:rPr>
        <w:t>地</w:t>
      </w:r>
      <w:r>
        <w:rPr>
          <w:rFonts w:hint="eastAsia" w:eastAsia="宋体"/>
          <w:b/>
          <w:sz w:val="21"/>
          <w:szCs w:val="21"/>
          <w:lang w:eastAsia="zh-CN"/>
        </w:rPr>
        <w:t>下</w:t>
      </w:r>
      <w:r>
        <w:rPr>
          <w:b/>
          <w:sz w:val="21"/>
          <w:szCs w:val="21"/>
        </w:rPr>
        <w:t>水环境质量现状监测点位布设情况一览表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642"/>
        <w:gridCol w:w="3417"/>
        <w:gridCol w:w="2245"/>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1" w:hRule="atLeast"/>
        </w:trPr>
        <w:tc>
          <w:tcPr>
            <w:tcW w:w="1590" w:type="pct"/>
            <w:tcBorders>
              <w:left w:val="nil"/>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采样点编号</w:t>
            </w:r>
          </w:p>
        </w:tc>
        <w:tc>
          <w:tcPr>
            <w:tcW w:w="2057" w:type="pct"/>
            <w:tcBorders>
              <w:left w:val="single" w:color="000000" w:sz="6" w:space="0"/>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位置</w:t>
            </w:r>
          </w:p>
        </w:tc>
        <w:tc>
          <w:tcPr>
            <w:tcW w:w="1351" w:type="pct"/>
            <w:tcBorders>
              <w:left w:val="single" w:color="000000" w:sz="6" w:space="0"/>
              <w:bottom w:val="single" w:color="000000" w:sz="12"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测定项目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12"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DW1</w:t>
            </w:r>
          </w:p>
        </w:tc>
        <w:tc>
          <w:tcPr>
            <w:tcW w:w="2057" w:type="pct"/>
            <w:tcBorders>
              <w:top w:val="single" w:color="000000" w:sz="12"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项目东南侧 </w:t>
            </w:r>
            <w:r>
              <w:rPr>
                <w:rFonts w:hint="eastAsia" w:ascii="Times New Roman"/>
                <w:sz w:val="21"/>
                <w:lang w:val="en-US" w:eastAsia="zh-CN"/>
              </w:rPr>
              <w:t>50</w:t>
            </w:r>
            <w:r>
              <w:rPr>
                <w:rFonts w:ascii="Times New Roman" w:eastAsia="Times New Roman"/>
                <w:sz w:val="21"/>
              </w:rPr>
              <w:t xml:space="preserve">0m </w:t>
            </w:r>
            <w:r>
              <w:rPr>
                <w:sz w:val="21"/>
              </w:rPr>
              <w:t>处</w:t>
            </w:r>
          </w:p>
        </w:tc>
        <w:tc>
          <w:tcPr>
            <w:tcW w:w="1351" w:type="pct"/>
            <w:tcBorders>
              <w:top w:val="single" w:color="000000" w:sz="12"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DW2</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项目所在地</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DW3</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上塅（</w:t>
            </w:r>
            <w:r>
              <w:rPr>
                <w:sz w:val="21"/>
              </w:rPr>
              <w:t xml:space="preserve">项目北侧 </w:t>
            </w:r>
            <w:r>
              <w:rPr>
                <w:rFonts w:hint="eastAsia" w:ascii="Times New Roman"/>
                <w:sz w:val="21"/>
                <w:lang w:val="en-US" w:eastAsia="zh-CN"/>
              </w:rPr>
              <w:t>49</w:t>
            </w:r>
            <w:r>
              <w:rPr>
                <w:rFonts w:ascii="Times New Roman" w:eastAsia="Times New Roman"/>
                <w:sz w:val="21"/>
              </w:rPr>
              <w:t xml:space="preserve">0m </w:t>
            </w:r>
            <w:r>
              <w:rPr>
                <w:sz w:val="21"/>
              </w:rPr>
              <w:t>处</w:t>
            </w:r>
            <w:r>
              <w:rPr>
                <w:rFonts w:hint="eastAsia"/>
                <w:sz w:val="21"/>
                <w:lang w:eastAsia="zh-CN"/>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DW4</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水北方</w:t>
            </w:r>
            <w:r>
              <w:rPr>
                <w:sz w:val="21"/>
              </w:rPr>
              <w:t xml:space="preserve">（项目西南侧 </w:t>
            </w:r>
            <w:r>
              <w:rPr>
                <w:rFonts w:hint="eastAsia"/>
                <w:sz w:val="21"/>
                <w:lang w:val="en-US" w:eastAsia="zh-CN"/>
              </w:rPr>
              <w:t>90</w:t>
            </w:r>
            <w:r>
              <w:rPr>
                <w:rFonts w:ascii="Times New Roman" w:eastAsia="Times New Roman"/>
                <w:sz w:val="21"/>
              </w:rPr>
              <w:t>0m</w:t>
            </w:r>
            <w:r>
              <w:rPr>
                <w:sz w:val="21"/>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DW5</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项目西侧 </w:t>
            </w:r>
            <w:r>
              <w:rPr>
                <w:rFonts w:hint="eastAsia" w:ascii="Times New Roman"/>
                <w:sz w:val="21"/>
                <w:lang w:val="en-US" w:eastAsia="zh-CN"/>
              </w:rPr>
              <w:t>310</w:t>
            </w:r>
            <w:r>
              <w:rPr>
                <w:rFonts w:ascii="Times New Roman" w:eastAsia="Times New Roman"/>
                <w:sz w:val="21"/>
              </w:rPr>
              <w:t xml:space="preserve">m </w:t>
            </w:r>
            <w:r>
              <w:rPr>
                <w:sz w:val="21"/>
              </w:rPr>
              <w:t>处</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8" w:hRule="atLeast"/>
        </w:trPr>
        <w:tc>
          <w:tcPr>
            <w:tcW w:w="1590" w:type="pct"/>
            <w:tcBorders>
              <w:top w:val="single" w:color="000000" w:sz="6" w:space="0"/>
              <w:left w:val="nil"/>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DW6</w:t>
            </w:r>
          </w:p>
        </w:tc>
        <w:tc>
          <w:tcPr>
            <w:tcW w:w="2057" w:type="pct"/>
            <w:tcBorders>
              <w:top w:val="single" w:color="000000" w:sz="6" w:space="0"/>
              <w:left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彭屋</w:t>
            </w:r>
            <w:r>
              <w:rPr>
                <w:sz w:val="21"/>
              </w:rPr>
              <w:t xml:space="preserve">（项目北侧 </w:t>
            </w:r>
            <w:r>
              <w:rPr>
                <w:rFonts w:hint="eastAsia" w:ascii="Times New Roman"/>
                <w:sz w:val="21"/>
                <w:lang w:val="en-US" w:eastAsia="zh-CN"/>
              </w:rPr>
              <w:t>45</w:t>
            </w:r>
            <w:r>
              <w:rPr>
                <w:rFonts w:ascii="Times New Roman" w:eastAsia="Times New Roman"/>
                <w:sz w:val="21"/>
              </w:rPr>
              <w:t xml:space="preserve">0m </w:t>
            </w:r>
            <w:r>
              <w:rPr>
                <w:sz w:val="21"/>
              </w:rPr>
              <w:t>处）</w:t>
            </w:r>
          </w:p>
        </w:tc>
        <w:tc>
          <w:tcPr>
            <w:tcW w:w="1351" w:type="pct"/>
            <w:tcBorders>
              <w:top w:val="single" w:color="000000" w:sz="6" w:space="0"/>
              <w:left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spacing w:line="240" w:lineRule="auto"/>
        <w:textAlignment w:val="auto"/>
        <w:outlineLvl w:val="9"/>
      </w:pPr>
      <w:r>
        <w:drawing>
          <wp:inline distT="0" distB="0" distL="114300" distR="114300">
            <wp:extent cx="5229225" cy="4200525"/>
            <wp:effectExtent l="0" t="0" r="13335" b="5715"/>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47"/>
                    <a:stretch>
                      <a:fillRect/>
                    </a:stretch>
                  </pic:blipFill>
                  <pic:spPr>
                    <a:xfrm>
                      <a:off x="0" y="0"/>
                      <a:ext cx="5229225" cy="4200525"/>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rPr>
      </w:pPr>
      <w:r>
        <w:rPr>
          <w:rFonts w:hint="default" w:ascii="Times New Roman" w:hAnsi="Times New Roman" w:eastAsia="宋体" w:cs="Times New Roman"/>
          <w:b/>
          <w:bCs/>
          <w:sz w:val="21"/>
          <w:szCs w:val="21"/>
          <w:lang w:eastAsia="zh-CN"/>
        </w:rPr>
        <w:t>图</w:t>
      </w:r>
      <w:r>
        <w:rPr>
          <w:rFonts w:hint="default" w:ascii="Times New Roman" w:hAnsi="Times New Roman" w:eastAsia="宋体" w:cs="Times New Roman"/>
          <w:b/>
          <w:bCs/>
          <w:sz w:val="21"/>
          <w:szCs w:val="21"/>
          <w:lang w:val="en-US" w:eastAsia="zh-CN"/>
        </w:rPr>
        <w:t>4.3-1   地下水环境监测点位示意图</w:t>
      </w:r>
    </w:p>
    <w:p>
      <w:pPr>
        <w:pStyle w:val="5"/>
        <w:ind w:firstLine="562"/>
      </w:pPr>
      <w:r>
        <w:rPr>
          <w:rFonts w:hint="eastAsia"/>
          <w:lang w:eastAsia="zh-CN"/>
        </w:rPr>
        <w:t xml:space="preserve">监测项目 </w:t>
      </w:r>
    </w:p>
    <w:p>
      <w:pPr>
        <w:pStyle w:val="9"/>
        <w:rPr>
          <w:rFonts w:hint="eastAsia" w:eastAsia="宋体"/>
          <w:lang w:eastAsia="zh-CN"/>
        </w:rPr>
      </w:pPr>
      <w:r>
        <w:t>pH、总硬度、溶解性总固体、氨氮、耗氧量、硝酸盐、亚硝酸盐、硫酸盐、氟化物、氯化物、铁、锰、硫化物、氰化物、As、Pb、Hg、Cd、六价铬、挥发酚、总大肠菌群、细菌总数共22项及水位</w:t>
      </w:r>
      <w:r>
        <w:rPr>
          <w:rFonts w:hint="eastAsia" w:cs="Times New Roman"/>
          <w:lang w:eastAsia="zh-CN"/>
        </w:rPr>
        <w:t>。</w:t>
      </w:r>
    </w:p>
    <w:p>
      <w:pPr>
        <w:pStyle w:val="5"/>
        <w:ind w:firstLine="562"/>
      </w:pPr>
      <w:r>
        <w:rPr>
          <w:rFonts w:hint="eastAsia"/>
          <w:lang w:eastAsia="zh-CN"/>
        </w:rPr>
        <w:t xml:space="preserve">监测频率及时间 </w:t>
      </w:r>
    </w:p>
    <w:p>
      <w:pPr>
        <w:pStyle w:val="9"/>
        <w:rPr>
          <w:rFonts w:hint="eastAsia"/>
        </w:rPr>
      </w:pPr>
      <w:r>
        <w:rPr>
          <w:rFonts w:hint="eastAsia"/>
          <w:color w:val="auto"/>
          <w:highlight w:val="none"/>
        </w:rPr>
        <w:t>监测时间为20</w:t>
      </w:r>
      <w:r>
        <w:rPr>
          <w:rFonts w:hint="eastAsia"/>
          <w:color w:val="auto"/>
          <w:highlight w:val="none"/>
          <w:lang w:val="en-US" w:eastAsia="zh-CN"/>
        </w:rPr>
        <w:t>20</w:t>
      </w:r>
      <w:r>
        <w:rPr>
          <w:rFonts w:hint="eastAsia"/>
          <w:color w:val="auto"/>
          <w:highlight w:val="none"/>
        </w:rPr>
        <w:t>年</w:t>
      </w:r>
      <w:r>
        <w:rPr>
          <w:rFonts w:hint="eastAsia"/>
          <w:color w:val="auto"/>
          <w:highlight w:val="none"/>
          <w:lang w:val="en-US" w:eastAsia="zh-CN"/>
        </w:rPr>
        <w:t>3</w:t>
      </w:r>
      <w:r>
        <w:rPr>
          <w:rFonts w:hint="eastAsia"/>
          <w:color w:val="auto"/>
          <w:highlight w:val="none"/>
        </w:rPr>
        <w:t>月</w:t>
      </w:r>
      <w:r>
        <w:rPr>
          <w:rFonts w:hint="eastAsia"/>
          <w:color w:val="auto"/>
          <w:highlight w:val="none"/>
          <w:lang w:val="en-US" w:eastAsia="zh-CN"/>
        </w:rPr>
        <w:t>31</w:t>
      </w:r>
      <w:r>
        <w:rPr>
          <w:rFonts w:hint="eastAsia"/>
          <w:color w:val="auto"/>
          <w:highlight w:val="none"/>
        </w:rPr>
        <w:t>日，监测</w:t>
      </w:r>
      <w:r>
        <w:rPr>
          <w:rFonts w:hint="eastAsia"/>
          <w:color w:val="auto"/>
          <w:highlight w:val="none"/>
          <w:lang w:val="en-US" w:eastAsia="zh-CN"/>
        </w:rPr>
        <w:t>1</w:t>
      </w:r>
      <w:r>
        <w:rPr>
          <w:rFonts w:hint="eastAsia"/>
          <w:color w:val="auto"/>
          <w:highlight w:val="none"/>
        </w:rPr>
        <w:t>天，每天采样一次。</w:t>
      </w:r>
    </w:p>
    <w:p>
      <w:pPr>
        <w:pStyle w:val="5"/>
        <w:ind w:firstLine="562"/>
      </w:pPr>
      <w:r>
        <w:rPr>
          <w:rFonts w:hint="eastAsia"/>
          <w:lang w:eastAsia="zh-CN"/>
        </w:rPr>
        <w:t xml:space="preserve">分析方法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表4.3-2  地下水水质分析方法及检出限</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210"/>
        <w:gridCol w:w="5197"/>
        <w:gridCol w:w="1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序号</w:t>
            </w:r>
          </w:p>
        </w:tc>
        <w:tc>
          <w:tcPr>
            <w:tcW w:w="121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519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分析方法</w:t>
            </w:r>
          </w:p>
        </w:tc>
        <w:tc>
          <w:tcPr>
            <w:tcW w:w="142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p>
        </w:tc>
        <w:tc>
          <w:tcPr>
            <w:tcW w:w="121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rPr>
              <w:t>pH</w:t>
            </w:r>
            <w:r>
              <w:rPr>
                <w:rFonts w:hint="default" w:ascii="Times New Roman" w:hAnsi="Times New Roman" w:eastAsia="宋体" w:cs="Times New Roman"/>
                <w:sz w:val="21"/>
                <w:szCs w:val="21"/>
                <w:lang w:eastAsia="zh-CN"/>
              </w:rPr>
              <w:t>值</w:t>
            </w:r>
          </w:p>
        </w:tc>
        <w:tc>
          <w:tcPr>
            <w:tcW w:w="519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玻璃电极法</w:t>
            </w:r>
            <w:r>
              <w:rPr>
                <w:rFonts w:hint="eastAsia" w:ascii="Times New Roman" w:hAnsi="Times New Roman" w:eastAsia="宋体" w:cs="Times New Roman"/>
                <w:sz w:val="21"/>
                <w:szCs w:val="21"/>
                <w:vertAlign w:val="baseline"/>
                <w:lang w:val="en-US" w:eastAsia="zh-CN"/>
              </w:rPr>
              <w:t>GB/T6920-1986</w:t>
            </w:r>
          </w:p>
        </w:tc>
        <w:tc>
          <w:tcPr>
            <w:tcW w:w="1426" w:type="dxa"/>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0.01（无量纲）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总硬度</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乙二胺四乙酸二钠滴定法《生活饮用水标准检验方法感官性状和五力指标称量法》</w:t>
            </w:r>
            <w:r>
              <w:rPr>
                <w:rFonts w:hint="eastAsia" w:ascii="Times New Roman" w:hAnsi="Times New Roman" w:eastAsia="宋体" w:cs="Times New Roman"/>
                <w:sz w:val="21"/>
                <w:szCs w:val="21"/>
                <w:vertAlign w:val="baseline"/>
                <w:lang w:val="en-US" w:eastAsia="zh-CN"/>
              </w:rPr>
              <w:t>GB/T5750.4-20067.1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1.0mgL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溶解性总固体</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eastAsia" w:ascii="Times New Roman" w:hAnsi="Times New Roman" w:eastAsia="宋体" w:cs="Times New Roman"/>
                <w:sz w:val="21"/>
                <w:szCs w:val="21"/>
                <w:vertAlign w:val="baseline"/>
                <w:lang w:eastAsia="zh-CN"/>
              </w:rPr>
              <w:t>称量法</w:t>
            </w:r>
            <w:r>
              <w:rPr>
                <w:rFonts w:hint="eastAsia" w:ascii="Times New Roman" w:hAnsi="Times New Roman" w:cs="Times New Roman"/>
                <w:sz w:val="21"/>
                <w:szCs w:val="21"/>
                <w:vertAlign w:val="baseline"/>
                <w:lang w:val="en-US" w:eastAsia="zh-CN"/>
              </w:rPr>
              <w:t>GB/T 5750.4-2006.8</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氨氮</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纳氏试剂分光光度法HJ 535-2009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0.025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0.018</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0.007</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铁</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0.</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10</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锰</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GB/T5750.6-2006（3.1）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0.1</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11</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亚甲基蓝分光光度法</w:t>
            </w:r>
            <w:r>
              <w:rPr>
                <w:rFonts w:hint="eastAsia" w:ascii="Times New Roman" w:hAnsi="Times New Roman" w:eastAsia="宋体" w:cs="Times New Roman"/>
                <w:sz w:val="21"/>
                <w:szCs w:val="21"/>
                <w:vertAlign w:val="baseline"/>
                <w:lang w:val="en-US" w:eastAsia="zh-CN"/>
              </w:rPr>
              <w:t>GB/T16489-1996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吡啶</w:t>
            </w:r>
            <w:r>
              <w:rPr>
                <w:rFonts w:hint="eastAsia" w:ascii="Times New Roman" w:hAnsi="Times New Roman" w:eastAsia="宋体" w:cs="Times New Roman"/>
                <w:sz w:val="21"/>
                <w:szCs w:val="21"/>
                <w:vertAlign w:val="baseline"/>
                <w:lang w:val="en-US" w:eastAsia="zh-CN"/>
              </w:rPr>
              <w:t>-巴比妥酸分光光度法HJ484-2009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0.002</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As</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Pb</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3.4.16（五）</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Hg</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0.04μg/L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Cd</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w:t>
            </w:r>
            <w:r>
              <w:rPr>
                <w:rFonts w:hint="eastAsia" w:ascii="Times New Roman" w:hAnsi="Times New Roman" w:cs="Times New Roman"/>
                <w:sz w:val="21"/>
                <w:szCs w:val="21"/>
                <w:vertAlign w:val="baseline"/>
                <w:lang w:val="en-US" w:eastAsia="zh-CN"/>
              </w:rPr>
              <w:t>7</w:t>
            </w:r>
            <w:r>
              <w:rPr>
                <w:rFonts w:hint="eastAsia" w:ascii="Times New Roman" w:hAnsi="Times New Roman" w:eastAsia="宋体" w:cs="Times New Roman"/>
                <w:sz w:val="21"/>
                <w:szCs w:val="21"/>
                <w:vertAlign w:val="baseline"/>
                <w:lang w:val="en-US" w:eastAsia="zh-CN"/>
              </w:rPr>
              <w:t>（</w:t>
            </w:r>
            <w:r>
              <w:rPr>
                <w:rFonts w:hint="eastAsia" w:ascii="Times New Roman" w:hAnsi="Times New Roman" w:cs="Times New Roman"/>
                <w:sz w:val="21"/>
                <w:szCs w:val="21"/>
                <w:vertAlign w:val="baseline"/>
                <w:lang w:val="en-US" w:eastAsia="zh-CN"/>
              </w:rPr>
              <w:t>四</w:t>
            </w:r>
            <w:r>
              <w:rPr>
                <w:rFonts w:hint="eastAsia" w:ascii="Times New Roman" w:hAnsi="Times New Roman" w:eastAsia="宋体" w:cs="Times New Roman"/>
                <w:sz w:val="21"/>
                <w:szCs w:val="21"/>
                <w:vertAlign w:val="baseline"/>
                <w:lang w:val="en-US" w:eastAsia="zh-CN"/>
              </w:rPr>
              <w:t>）</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w:t>
            </w: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二笨碳酰二肼分光光度法</w:t>
            </w:r>
            <w:r>
              <w:rPr>
                <w:rFonts w:hint="eastAsia" w:ascii="Times New Roman" w:hAnsi="Times New Roman" w:eastAsia="宋体" w:cs="Times New Roman"/>
                <w:sz w:val="21"/>
                <w:szCs w:val="21"/>
                <w:lang w:val="en-US" w:eastAsia="zh-CN"/>
              </w:rPr>
              <w:t>GB/T7467-1987</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w:t>
            </w:r>
            <w:r>
              <w:rPr>
                <w:rFonts w:hint="eastAsia" w:ascii="Times New Roman" w:hAnsi="Times New Roman" w:cs="Times New Roman"/>
                <w:sz w:val="21"/>
                <w:szCs w:val="21"/>
                <w:vertAlign w:val="baseline"/>
                <w:lang w:val="en-US" w:eastAsia="zh-CN"/>
              </w:rPr>
              <w:t>4</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挥发酚</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4-氨基安替比林分光光度法HJ503-2009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0.0003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菌群</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多管发酵法《生活饮用水标准检验方法微生物指标》GB/T5750.12-2006（2.1）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20个/L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w:t>
            </w:r>
          </w:p>
        </w:tc>
        <w:tc>
          <w:tcPr>
            <w:tcW w:w="121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细菌总数</w:t>
            </w:r>
          </w:p>
        </w:tc>
        <w:tc>
          <w:tcPr>
            <w:tcW w:w="519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平皿计数法</w:t>
            </w:r>
            <w:r>
              <w:rPr>
                <w:rFonts w:hint="eastAsia" w:ascii="Times New Roman" w:hAnsi="Times New Roman" w:eastAsia="宋体" w:cs="Times New Roman"/>
                <w:sz w:val="21"/>
                <w:szCs w:val="21"/>
                <w:lang w:val="en-US" w:eastAsia="zh-CN"/>
              </w:rPr>
              <w:t>《生活饮用水标准检验方法微生物指标》GB/T5750.12-2006（</w:t>
            </w:r>
            <w:r>
              <w:rPr>
                <w:rFonts w:hint="eastAsia" w:ascii="Times New Roman" w:hAnsi="Times New Roman" w:cs="Times New Roman"/>
                <w:sz w:val="21"/>
                <w:szCs w:val="21"/>
                <w:lang w:val="en-US" w:eastAsia="zh-CN"/>
              </w:rPr>
              <w:t>1</w:t>
            </w:r>
            <w:r>
              <w:rPr>
                <w:rFonts w:hint="eastAsia" w:ascii="Times New Roman" w:hAnsi="Times New Roman" w:eastAsia="宋体" w:cs="Times New Roman"/>
                <w:sz w:val="21"/>
                <w:szCs w:val="21"/>
                <w:lang w:val="en-US" w:eastAsia="zh-CN"/>
              </w:rPr>
              <w:t>.1）</w:t>
            </w:r>
          </w:p>
        </w:tc>
        <w:tc>
          <w:tcPr>
            <w:tcW w:w="1426" w:type="dxa"/>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pStyle w:val="5"/>
        <w:ind w:firstLine="562"/>
      </w:pPr>
      <w:r>
        <w:rPr>
          <w:rFonts w:hint="eastAsia"/>
          <w:lang w:eastAsia="zh-CN"/>
        </w:rPr>
        <w:t xml:space="preserve">评价标准与评价方法  </w:t>
      </w:r>
    </w:p>
    <w:p>
      <w:pPr>
        <w:pStyle w:val="9"/>
        <w:rPr>
          <w:rFonts w:hint="eastAsia"/>
        </w:rPr>
      </w:pPr>
      <w:r>
        <w:rPr>
          <w:rFonts w:hint="eastAsia"/>
        </w:rPr>
        <w:t xml:space="preserve">①评价标准 </w:t>
      </w:r>
    </w:p>
    <w:p>
      <w:pPr>
        <w:pStyle w:val="9"/>
        <w:rPr>
          <w:rFonts w:hint="eastAsia"/>
        </w:rPr>
      </w:pPr>
      <w:r>
        <w:rPr>
          <w:rFonts w:hint="eastAsia"/>
        </w:rPr>
        <w:t>根据《广东省地下水功能区划》（粤办函[2009]459 号）规定，本项目浅层地下水环境质量执行《地下水质量标准》（GB/T14848-2017）Ⅲ类标准，即各监测点采用《地下水质量标准》（GB/T14848-2017）Ⅲ类水质评价标准。</w:t>
      </w:r>
    </w:p>
    <w:p>
      <w:pPr>
        <w:pStyle w:val="9"/>
        <w:rPr>
          <w:rFonts w:hint="eastAsia"/>
        </w:rPr>
      </w:pPr>
      <w:r>
        <w:rPr>
          <w:rFonts w:hint="eastAsia"/>
        </w:rPr>
        <w:t xml:space="preserve">②评价方法 </w:t>
      </w:r>
    </w:p>
    <w:p>
      <w:pPr>
        <w:pStyle w:val="9"/>
        <w:rPr>
          <w:rFonts w:hint="default" w:ascii="Times New Roman" w:hAnsi="Times New Roman" w:eastAsia="宋体" w:cs="Times New Roman"/>
        </w:rPr>
      </w:pPr>
      <w:r>
        <w:rPr>
          <w:rFonts w:hint="default" w:ascii="Times New Roman" w:hAnsi="Times New Roman" w:eastAsia="宋体" w:cs="Times New Roman"/>
        </w:rPr>
        <w:t xml:space="preserve">利用《环境影响评价技术导则 地下水环境》（HJ610-2016）所推荐的定值水质参数评价法进行评价。HJ610-2016建议定值水质参数评价方法采用标准指数法，定值水质参数i在第j点的标准指数： </w:t>
      </w:r>
    </w:p>
    <w:p>
      <w:pPr>
        <w:pStyle w:val="9"/>
        <w:ind w:left="0" w:leftChars="0" w:firstLine="0" w:firstLineChars="0"/>
        <w:jc w:val="center"/>
        <w:rPr>
          <w:rFonts w:hint="eastAsia" w:eastAsia="宋体"/>
          <w:lang w:eastAsia="zh-CN"/>
        </w:rPr>
      </w:pPr>
      <w:r>
        <w:rPr>
          <w:rFonts w:hint="eastAsia" w:eastAsia="宋体"/>
          <w:position w:val="-12"/>
          <w:lang w:eastAsia="zh-CN"/>
        </w:rPr>
        <w:object>
          <v:shape id="_x0000_i1036" o:spt="75" type="#_x0000_t75" style="height:18pt;width:56pt;" o:ole="t" filled="f" o:preferrelative="t" stroked="f" coordsize="21600,21600">
            <v:path/>
            <v:fill on="f" focussize="0,0"/>
            <v:stroke on="f"/>
            <v:imagedata r:id="rId49" o:title=""/>
            <o:lock v:ext="edit" grouping="f" rotation="f" text="f" aspectratio="t"/>
            <w10:wrap type="none"/>
            <w10:anchorlock/>
          </v:shape>
          <o:OLEObject Type="Embed" ProgID="Equation.KSEE3" ShapeID="_x0000_i1036" DrawAspect="Content" ObjectID="_1468075736" r:id="rId48">
            <o:LockedField>false</o:LockedField>
          </o:OLEObject>
        </w:object>
      </w:r>
    </w:p>
    <w:p>
      <w:pPr>
        <w:pStyle w:val="9"/>
        <w:rPr>
          <w:rFonts w:hint="default" w:eastAsia="宋体"/>
          <w:lang w:val="en-US" w:eastAsia="zh-CN"/>
        </w:rPr>
      </w:pPr>
      <w:r>
        <w:rPr>
          <w:rFonts w:hint="eastAsia"/>
          <w:lang w:eastAsia="zh-CN"/>
        </w:rPr>
        <w:t>式中：</w:t>
      </w:r>
      <w:r>
        <w:rPr>
          <w:rFonts w:hint="eastAsia" w:eastAsia="宋体"/>
          <w:position w:val="-12"/>
          <w:lang w:eastAsia="zh-CN"/>
        </w:rPr>
        <w:object>
          <v:shape id="_x0000_i1037" o:spt="75" type="#_x0000_t75" style="height:18pt;width:12pt;" o:ole="t" filled="f" o:preferrelative="t" stroked="f" coordsize="21600,21600">
            <v:path/>
            <v:fill on="f" focussize="0,0"/>
            <v:stroke on="f"/>
            <v:imagedata r:id="rId51" o:title=""/>
            <o:lock v:ext="edit" grouping="f" rotation="f" text="f" aspectratio="t"/>
            <w10:wrap type="none"/>
            <w10:anchorlock/>
          </v:shape>
          <o:OLEObject Type="Embed" ProgID="Equation.KSEE3" ShapeID="_x0000_i1037" DrawAspect="Content" ObjectID="_1468075737" r:id="rId50">
            <o:LockedField>false</o:LockedField>
          </o:OLEObject>
        </w:object>
      </w:r>
      <w:r>
        <w:rPr>
          <w:rFonts w:hint="eastAsia"/>
          <w:lang w:eastAsia="zh-CN"/>
        </w:rPr>
        <w:t>——第</w:t>
      </w:r>
      <w:r>
        <w:rPr>
          <w:rFonts w:hint="eastAsia"/>
          <w:lang w:val="en-US" w:eastAsia="zh-CN"/>
        </w:rPr>
        <w:t>i个水质因子的标准指数，无量纲；</w:t>
      </w:r>
    </w:p>
    <w:p>
      <w:pPr>
        <w:pStyle w:val="9"/>
        <w:rPr>
          <w:rFonts w:hint="default" w:eastAsia="宋体"/>
          <w:lang w:val="en-US" w:eastAsia="zh-CN"/>
        </w:rPr>
      </w:pPr>
      <w:r>
        <w:rPr>
          <w:rFonts w:hint="eastAsia"/>
          <w:lang w:val="en-US" w:eastAsia="zh-CN"/>
        </w:rPr>
        <w:t xml:space="preserve">      </w:t>
      </w:r>
      <w:r>
        <w:rPr>
          <w:rFonts w:hint="eastAsia" w:eastAsia="宋体"/>
          <w:position w:val="-12"/>
          <w:lang w:eastAsia="zh-CN"/>
        </w:rPr>
        <w:object>
          <v:shape id="_x0000_i1038" o:spt="75" type="#_x0000_t75" style="height:18pt;width:13.95pt;" o:ole="t" filled="f" o:preferrelative="t" stroked="f" coordsize="21600,21600">
            <v:path/>
            <v:fill on="f" focussize="0,0"/>
            <v:stroke on="f"/>
            <v:imagedata r:id="rId53" o:title=""/>
            <o:lock v:ext="edit" grouping="f" rotation="f" text="f" aspectratio="t"/>
            <w10:wrap type="none"/>
            <w10:anchorlock/>
          </v:shape>
          <o:OLEObject Type="Embed" ProgID="Equation.KSEE3" ShapeID="_x0000_i1038" DrawAspect="Content" ObjectID="_1468075738" r:id="rId52">
            <o:LockedField>false</o:LockedField>
          </o:OLEObject>
        </w:object>
      </w:r>
      <w:r>
        <w:rPr>
          <w:rFonts w:hint="eastAsia"/>
          <w:lang w:eastAsia="zh-CN"/>
        </w:rPr>
        <w:t>——第</w:t>
      </w:r>
      <w:r>
        <w:rPr>
          <w:rFonts w:hint="eastAsia"/>
          <w:lang w:val="en-US" w:eastAsia="zh-CN"/>
        </w:rPr>
        <w:t>i个水质因子的监测浓度值，mg/L；</w:t>
      </w:r>
    </w:p>
    <w:p>
      <w:pPr>
        <w:pStyle w:val="9"/>
        <w:ind w:firstLine="960" w:firstLineChars="400"/>
        <w:rPr>
          <w:rFonts w:hint="eastAsia"/>
        </w:rPr>
      </w:pPr>
      <w:r>
        <w:rPr>
          <w:rFonts w:hint="eastAsia"/>
          <w:lang w:val="en-US" w:eastAsia="zh-CN"/>
        </w:rPr>
        <w:t xml:space="preserve"> </w:t>
      </w:r>
      <w:r>
        <w:rPr>
          <w:rFonts w:hint="eastAsia" w:eastAsia="宋体"/>
          <w:position w:val="-12"/>
          <w:lang w:eastAsia="zh-CN"/>
        </w:rPr>
        <w:object>
          <v:shape id="_x0000_i1039" o:spt="75" type="#_x0000_t75" style="height:18pt;width:17pt;" o:ole="t" filled="f" o:preferrelative="t" stroked="f" coordsize="21600,21600">
            <v:path/>
            <v:fill on="f" focussize="0,0"/>
            <v:stroke on="f"/>
            <v:imagedata r:id="rId55" o:title=""/>
            <o:lock v:ext="edit" grouping="f" rotation="f" text="f" aspectratio="t"/>
            <w10:wrap type="none"/>
            <w10:anchorlock/>
          </v:shape>
          <o:OLEObject Type="Embed" ProgID="Equation.KSEE3" ShapeID="_x0000_i1039" DrawAspect="Content" ObjectID="_1468075739" r:id="rId54">
            <o:LockedField>false</o:LockedField>
          </o:OLEObject>
        </w:object>
      </w:r>
      <w:r>
        <w:rPr>
          <w:rFonts w:hint="eastAsia"/>
          <w:lang w:eastAsia="zh-CN"/>
        </w:rPr>
        <w:t>——第</w:t>
      </w:r>
      <w:r>
        <w:rPr>
          <w:rFonts w:hint="eastAsia"/>
          <w:lang w:val="en-US" w:eastAsia="zh-CN"/>
        </w:rPr>
        <w:t>i个水质因子的标准浓度值，mg/L。</w:t>
      </w:r>
    </w:p>
    <w:p>
      <w:pPr>
        <w:pStyle w:val="9"/>
        <w:keepNext w:val="0"/>
        <w:keepLines w:val="0"/>
        <w:pageBreakBefore w:val="0"/>
        <w:widowControl w:val="0"/>
        <w:kinsoku/>
        <w:wordWrap/>
        <w:overflowPunct/>
        <w:bidi w:val="0"/>
        <w:textAlignment w:val="auto"/>
        <w:rPr>
          <w:rFonts w:hint="eastAsia"/>
        </w:rPr>
      </w:pPr>
      <w:r>
        <w:rPr>
          <w:rFonts w:hint="eastAsia"/>
        </w:rPr>
        <w:t>pH值的标准指数为：</w:t>
      </w:r>
    </w:p>
    <w:p>
      <w:pPr>
        <w:keepNext w:val="0"/>
        <w:keepLines w:val="0"/>
        <w:pageBreakBefore w:val="0"/>
        <w:widowControl w:val="0"/>
        <w:kinsoku/>
        <w:wordWrap/>
        <w:overflowPunct/>
        <w:topLinePunct/>
        <w:bidi w:val="0"/>
        <w:adjustRightInd w:val="0"/>
        <w:snapToGrid w:val="0"/>
        <w:spacing w:line="360" w:lineRule="auto"/>
        <w:ind w:firstLine="480" w:firstLineChars="200"/>
        <w:jc w:val="center"/>
        <w:textAlignment w:val="auto"/>
        <w:rPr>
          <w:sz w:val="24"/>
        </w:rPr>
      </w:pPr>
      <w:r>
        <w:rPr>
          <w:position w:val="-30"/>
          <w:sz w:val="24"/>
        </w:rPr>
        <w:object>
          <v:shape id="_x0000_i1040" o:spt="75" type="#_x0000_t75" style="height:36pt;width:96pt;" o:ole="t" filled="f" stroked="f" coordsize="21600,21600">
            <v:path/>
            <v:fill on="f" focussize="0,0"/>
            <v:stroke on="f"/>
            <v:imagedata r:id="rId57" o:title=""/>
            <o:lock v:ext="edit" grouping="f" rotation="f" text="f" aspectratio="t"/>
            <w10:wrap type="none"/>
            <w10:anchorlock/>
          </v:shape>
          <o:OLEObject Type="Embed" ProgID="Equation.3" ShapeID="_x0000_i1040" DrawAspect="Content" ObjectID="_1468075740" r:id="rId56">
            <o:LockedField>false</o:LockedField>
          </o:OLEObject>
        </w:object>
      </w:r>
      <w:r>
        <w:rPr>
          <w:sz w:val="24"/>
        </w:rPr>
        <w:t xml:space="preserve">        </w:t>
      </w:r>
      <w:r>
        <w:rPr>
          <w:rFonts w:hint="eastAsia"/>
          <w:sz w:val="24"/>
          <w:lang w:val="en-US" w:eastAsia="zh-CN"/>
        </w:rPr>
        <w:t xml:space="preserve">   </w:t>
      </w:r>
      <w:r>
        <w:rPr>
          <w:sz w:val="24"/>
        </w:rPr>
        <w:t xml:space="preserve">  </w:t>
      </w:r>
      <w:r>
        <w:rPr>
          <w:position w:val="-14"/>
          <w:sz w:val="24"/>
        </w:rPr>
        <w:object>
          <v:shape id="_x0000_i1041" o:spt="75" type="#_x0000_t75" style="height:19pt;width:54pt;" o:ole="t" filled="f" o:preferrelative="t" stroked="f" coordsize="21600,21600">
            <v:path/>
            <v:fill on="f" focussize="0,0"/>
            <v:stroke on="f"/>
            <v:imagedata r:id="rId59" o:title=""/>
            <o:lock v:ext="edit" grouping="f" rotation="f" text="f" aspectratio="t"/>
            <w10:wrap type="none"/>
            <w10:anchorlock/>
          </v:shape>
          <o:OLEObject Type="Embed" ProgID="Equation.3" ShapeID="_x0000_i1041" DrawAspect="Content" ObjectID="_1468075741" r:id="rId58">
            <o:LockedField>false</o:LockedField>
          </o:OLEObject>
        </w:object>
      </w:r>
    </w:p>
    <w:p>
      <w:pPr>
        <w:pStyle w:val="9"/>
        <w:keepNext w:val="0"/>
        <w:keepLines w:val="0"/>
        <w:pageBreakBefore w:val="0"/>
        <w:widowControl w:val="0"/>
        <w:kinsoku/>
        <w:wordWrap/>
        <w:overflowPunct/>
        <w:bidi w:val="0"/>
        <w:ind w:left="0" w:leftChars="0" w:firstLine="480" w:firstLineChars="200"/>
        <w:jc w:val="center"/>
        <w:textAlignment w:val="auto"/>
        <w:rPr>
          <w:rFonts w:hint="eastAsia"/>
        </w:rPr>
      </w:pPr>
      <w:r>
        <w:rPr>
          <w:rFonts w:hint="eastAsia"/>
          <w:position w:val="-30"/>
          <w:sz w:val="24"/>
          <w:lang w:val="en-US" w:eastAsia="zh-CN"/>
        </w:rPr>
        <w:t xml:space="preserve">    </w:t>
      </w:r>
      <w:r>
        <w:rPr>
          <w:position w:val="-30"/>
          <w:sz w:val="24"/>
        </w:rPr>
        <w:object>
          <v:shape id="_x0000_i1042" o:spt="75" type="#_x0000_t75" style="height:36pt;width:242.2pt;" o:ole="t" filled="f" o:preferrelative="t" stroked="f" coordsize="21600,21600">
            <v:path/>
            <v:fill on="f" focussize="0,0"/>
            <v:stroke on="f"/>
            <v:imagedata r:id="rId61" o:title=""/>
            <o:lock v:ext="edit" grouping="f" rotation="f" text="f" aspectratio="t"/>
            <w10:wrap type="none"/>
            <w10:anchorlock/>
          </v:shape>
          <o:OLEObject Type="Embed" ProgID="Equation.3" ShapeID="_x0000_i1042" DrawAspect="Content" ObjectID="_1468075742" r:id="rId60">
            <o:LockedField>false</o:LockedField>
          </o:OLEObject>
        </w:objec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式中：P</w:t>
      </w:r>
      <w:r>
        <w:rPr>
          <w:rFonts w:hint="eastAsia"/>
          <w:vertAlign w:val="subscript"/>
          <w:lang w:val="en-US" w:eastAsia="zh-CN"/>
        </w:rPr>
        <w:t>pH</w:t>
      </w:r>
      <w:r>
        <w:rPr>
          <w:rFonts w:hint="eastAsia"/>
          <w:lang w:eastAsia="zh-CN"/>
        </w:rPr>
        <w:t>——</w:t>
      </w:r>
      <w:r>
        <w:rPr>
          <w:rFonts w:hint="eastAsia"/>
          <w:lang w:val="en-US" w:eastAsia="zh-CN"/>
        </w:rPr>
        <w:t>pH的标准指数，无量纲；</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 xml:space="preserve">      pH</w:t>
      </w:r>
      <w:r>
        <w:rPr>
          <w:rFonts w:hint="eastAsia"/>
          <w:lang w:eastAsia="zh-CN"/>
        </w:rPr>
        <w:t>——</w:t>
      </w:r>
      <w:r>
        <w:rPr>
          <w:rFonts w:hint="eastAsia"/>
          <w:lang w:val="en-US" w:eastAsia="zh-CN"/>
        </w:rPr>
        <w:t>pH的监测值；</w:t>
      </w:r>
    </w:p>
    <w:p>
      <w:pPr>
        <w:pStyle w:val="9"/>
        <w:keepNext w:val="0"/>
        <w:keepLines w:val="0"/>
        <w:pageBreakBefore w:val="0"/>
        <w:widowControl w:val="0"/>
        <w:kinsoku/>
        <w:wordWrap/>
        <w:overflowPunct/>
        <w:topLinePunct w:val="0"/>
        <w:autoSpaceDE w:val="0"/>
        <w:autoSpaceDN w:val="0"/>
        <w:bidi w:val="0"/>
        <w:adjustRightInd/>
        <w:snapToGrid/>
        <w:ind w:left="0" w:leftChars="0" w:firstLine="1200" w:firstLineChars="500"/>
        <w:textAlignment w:val="auto"/>
        <w:rPr>
          <w:rFonts w:hint="eastAsia"/>
          <w:lang w:val="en-US" w:eastAsia="zh-CN"/>
        </w:rPr>
      </w:pPr>
      <w:r>
        <w:rPr>
          <w:rFonts w:hint="eastAsia"/>
          <w:lang w:val="en-US" w:eastAsia="zh-CN"/>
        </w:rPr>
        <w:t>pH</w:t>
      </w:r>
      <w:r>
        <w:rPr>
          <w:rFonts w:hint="eastAsia"/>
          <w:vertAlign w:val="subscript"/>
          <w:lang w:val="en-US" w:eastAsia="zh-CN"/>
        </w:rPr>
        <w:t>su</w:t>
      </w:r>
      <w:r>
        <w:rPr>
          <w:rFonts w:hint="eastAsia"/>
          <w:lang w:eastAsia="zh-CN"/>
        </w:rPr>
        <w:t>——</w:t>
      </w:r>
      <w:r>
        <w:rPr>
          <w:rFonts w:hint="eastAsia"/>
          <w:lang w:val="en-US" w:eastAsia="zh-CN"/>
        </w:rPr>
        <w:t>标准中pH的上限值；</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      pH</w:t>
      </w:r>
      <w:r>
        <w:rPr>
          <w:rFonts w:hint="eastAsia"/>
          <w:vertAlign w:val="subscript"/>
          <w:lang w:val="en-US" w:eastAsia="zh-CN"/>
        </w:rPr>
        <w:t>sd</w:t>
      </w:r>
      <w:r>
        <w:rPr>
          <w:rFonts w:hint="eastAsia"/>
          <w:lang w:eastAsia="zh-CN"/>
        </w:rPr>
        <w:t>——</w:t>
      </w:r>
      <w:r>
        <w:rPr>
          <w:rFonts w:hint="eastAsia"/>
          <w:lang w:val="en-US" w:eastAsia="zh-CN"/>
        </w:rPr>
        <w:t>标准中pH的下限值。</w:t>
      </w:r>
    </w:p>
    <w:p>
      <w:pPr>
        <w:pStyle w:val="9"/>
        <w:rPr>
          <w:rFonts w:hint="eastAsia"/>
        </w:rPr>
      </w:pPr>
      <w:r>
        <w:rPr>
          <w:rFonts w:hint="eastAsia"/>
          <w:lang w:val="en-US" w:eastAsia="zh-CN"/>
        </w:rPr>
        <w:t>水质参数的标准指数＞1，表明该水质参数超过了规定的水质标准限值，水质参数的标准指数越大，表明该水质参数超标越严重。</w:t>
      </w:r>
    </w:p>
    <w:p>
      <w:pPr>
        <w:pStyle w:val="5"/>
        <w:ind w:firstLine="562"/>
      </w:pPr>
      <w:r>
        <w:rPr>
          <w:rFonts w:hint="eastAsia"/>
          <w:lang w:eastAsia="zh-CN"/>
        </w:rPr>
        <w:t xml:space="preserve">监测结果与评价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地下水水质水位监测结果一览表</w:t>
      </w:r>
    </w:p>
    <w:tbl>
      <w:tblPr>
        <w:tblStyle w:val="6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1056"/>
        <w:gridCol w:w="1116"/>
        <w:gridCol w:w="1296"/>
        <w:gridCol w:w="1380"/>
        <w:gridCol w:w="895"/>
        <w:gridCol w:w="12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105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11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129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c>
          <w:tcPr>
            <w:tcW w:w="1380"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水北方</w:t>
            </w:r>
            <w:r>
              <w:rPr>
                <w:rFonts w:hint="default" w:ascii="Times New Roman" w:hAnsi="Times New Roman" w:eastAsia="宋体" w:cs="Times New Roman"/>
                <w:sz w:val="21"/>
                <w:szCs w:val="21"/>
                <w:lang w:eastAsia="zh-CN"/>
              </w:rPr>
              <w:t>（项目</w:t>
            </w:r>
            <w:r>
              <w:rPr>
                <w:rFonts w:hint="default" w:ascii="Times New Roman" w:hAnsi="Times New Roman" w:eastAsia="宋体" w:cs="Times New Roman"/>
                <w:sz w:val="21"/>
                <w:szCs w:val="21"/>
                <w:lang w:val="en-US" w:eastAsia="zh-CN"/>
              </w:rPr>
              <w:t>西</w:t>
            </w:r>
            <w:r>
              <w:rPr>
                <w:rFonts w:hint="default" w:ascii="Times New Roman" w:hAnsi="Times New Roman" w:eastAsia="宋体" w:cs="Times New Roman"/>
                <w:sz w:val="21"/>
                <w:szCs w:val="21"/>
                <w:lang w:eastAsia="zh-CN"/>
              </w:rPr>
              <w:t>南侧</w:t>
            </w:r>
            <w:r>
              <w:rPr>
                <w:rFonts w:hint="default" w:ascii="Times New Roman" w:hAnsi="Times New Roman" w:eastAsia="宋体" w:cs="Times New Roman"/>
                <w:sz w:val="21"/>
                <w:szCs w:val="21"/>
                <w:lang w:val="en-US" w:eastAsia="zh-CN"/>
              </w:rPr>
              <w:t>900米</w:t>
            </w:r>
            <w:r>
              <w:rPr>
                <w:rFonts w:hint="default" w:ascii="Times New Roman" w:hAnsi="Times New Roman" w:eastAsia="宋体" w:cs="Times New Roman"/>
                <w:sz w:val="21"/>
                <w:szCs w:val="21"/>
                <w:lang w:eastAsia="zh-CN"/>
              </w:rPr>
              <w:t>）</w:t>
            </w:r>
          </w:p>
        </w:tc>
        <w:tc>
          <w:tcPr>
            <w:tcW w:w="895"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项目西</w:t>
            </w:r>
            <w:r>
              <w:rPr>
                <w:rFonts w:hint="default" w:ascii="Times New Roman" w:hAnsi="Times New Roman" w:eastAsia="宋体" w:cs="Times New Roman"/>
                <w:sz w:val="21"/>
                <w:szCs w:val="21"/>
                <w:lang w:val="en-US" w:eastAsia="zh-CN"/>
              </w:rPr>
              <w:t>侧310米</w:t>
            </w:r>
          </w:p>
        </w:tc>
        <w:tc>
          <w:tcPr>
            <w:tcW w:w="1218"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彭屋</w:t>
            </w:r>
            <w:r>
              <w:rPr>
                <w:rFonts w:hint="default" w:ascii="Times New Roman" w:hAnsi="Times New Roman" w:eastAsia="宋体" w:cs="Times New Roman"/>
                <w:sz w:val="21"/>
                <w:szCs w:val="21"/>
                <w:lang w:eastAsia="zh-CN"/>
              </w:rPr>
              <w:t>（项目北</w:t>
            </w:r>
            <w:r>
              <w:rPr>
                <w:rFonts w:hint="default" w:ascii="Times New Roman" w:hAnsi="Times New Roman" w:eastAsia="宋体" w:cs="Times New Roman"/>
                <w:sz w:val="21"/>
                <w:szCs w:val="21"/>
                <w:lang w:val="en-US" w:eastAsia="zh-CN"/>
              </w:rPr>
              <w:t>侧450米</w:t>
            </w:r>
            <w:r>
              <w:rPr>
                <w:rFonts w:hint="default" w:ascii="Times New Roman" w:hAnsi="Times New Roman" w:eastAsia="宋体" w:cs="Times New Roman"/>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561"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水位</w:t>
            </w:r>
          </w:p>
        </w:tc>
        <w:tc>
          <w:tcPr>
            <w:tcW w:w="105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4.5</w:t>
            </w:r>
          </w:p>
        </w:tc>
        <w:tc>
          <w:tcPr>
            <w:tcW w:w="111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4.7</w:t>
            </w:r>
          </w:p>
        </w:tc>
        <w:tc>
          <w:tcPr>
            <w:tcW w:w="129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5.0</w:t>
            </w:r>
          </w:p>
        </w:tc>
        <w:tc>
          <w:tcPr>
            <w:tcW w:w="1380"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4.2</w:t>
            </w:r>
          </w:p>
        </w:tc>
        <w:tc>
          <w:tcPr>
            <w:tcW w:w="895"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3.7</w:t>
            </w:r>
          </w:p>
        </w:tc>
        <w:tc>
          <w:tcPr>
            <w:tcW w:w="1218" w:type="dxa"/>
            <w:tcBorders>
              <w:top w:val="single" w:color="auto" w:sz="12" w:space="0"/>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w:t>
            </w:r>
            <w:r>
              <w:rPr>
                <w:rFonts w:hint="default" w:ascii="Times New Roman" w:hAnsi="Times New Roman" w:eastAsia="宋体" w:cs="Times New Roman"/>
                <w:color w:val="000000"/>
                <w:sz w:val="21"/>
                <w:szCs w:val="21"/>
                <w:lang w:val="en-US" w:eastAsia="zh-CN"/>
              </w:rPr>
              <w:t>值</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6.61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6.59</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18.8</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25.8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266</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335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173</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0.342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0.119</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0.492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0.433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0.505</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2.77</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2.47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0.182</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0.319</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0.334</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0.336</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0.00003</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细菌总数</w:t>
            </w:r>
          </w:p>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88</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备注</w:t>
            </w:r>
          </w:p>
        </w:tc>
        <w:tc>
          <w:tcPr>
            <w:tcW w:w="6961" w:type="dxa"/>
            <w:gridSpan w:val="6"/>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L表示低于方法检出限。</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地下水水质评价指数一览表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1"/>
        <w:gridCol w:w="2154"/>
        <w:gridCol w:w="1656"/>
        <w:gridCol w:w="2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2154"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656"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2581" w:type="dxa"/>
            <w:tcBorders>
              <w:top w:val="single" w:color="auto" w:sz="12" w:space="0"/>
              <w:bottom w:val="single" w:color="auto" w:sz="12" w:space="0"/>
              <w:righ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top w:val="single" w:color="auto" w:sz="12" w:space="0"/>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pH值</w:t>
            </w:r>
          </w:p>
        </w:tc>
        <w:tc>
          <w:tcPr>
            <w:tcW w:w="2154" w:type="dxa"/>
            <w:tcBorders>
              <w:top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0.78</w:t>
            </w:r>
          </w:p>
        </w:tc>
        <w:tc>
          <w:tcPr>
            <w:tcW w:w="1656" w:type="dxa"/>
            <w:tcBorders>
              <w:top w:val="single" w:color="auto" w:sz="12" w:space="0"/>
            </w:tcBorders>
            <w:shd w:val="clear" w:color="auto" w:fill="auto"/>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0.9</w:t>
            </w:r>
          </w:p>
        </w:tc>
        <w:tc>
          <w:tcPr>
            <w:tcW w:w="2581" w:type="dxa"/>
            <w:tcBorders>
              <w:top w:val="single" w:color="auto" w:sz="12" w:space="0"/>
              <w:bottom w:val="single" w:color="auto" w:sz="4" w:space="0"/>
              <w:right w:val="nil"/>
            </w:tcBorders>
            <w:shd w:val="clear" w:color="auto" w:fill="auto"/>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0.266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0.335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0.684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0.238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0.182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细菌总数</w:t>
            </w: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2154"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0.95</w:t>
            </w:r>
          </w:p>
        </w:tc>
        <w:tc>
          <w:tcPr>
            <w:tcW w:w="1656"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0.88</w:t>
            </w:r>
          </w:p>
        </w:tc>
        <w:tc>
          <w:tcPr>
            <w:tcW w:w="2581" w:type="dxa"/>
            <w:tcBorders>
              <w:top w:val="single" w:color="auto" w:sz="4" w:space="0"/>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0.52</w:t>
            </w:r>
          </w:p>
        </w:tc>
      </w:tr>
    </w:tbl>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right="0" w:rightChars="0" w:firstLine="480" w:firstLineChars="200"/>
        <w:jc w:val="left"/>
        <w:textAlignment w:val="auto"/>
        <w:outlineLvl w:val="9"/>
        <w:rPr>
          <w:rFonts w:hint="eastAsia"/>
        </w:rPr>
      </w:pPr>
      <w:r>
        <w:rPr>
          <w:rFonts w:hint="eastAsia"/>
          <w:b w:val="0"/>
          <w:bCs w:val="0"/>
          <w:color w:val="auto"/>
          <w:sz w:val="24"/>
          <w:szCs w:val="24"/>
          <w:lang w:eastAsia="zh-CN"/>
        </w:rPr>
        <w:t>根据上表可知，本项目评价范围内监测点位监测因子均可满足《地下水质量标准》（</w:t>
      </w:r>
      <w:r>
        <w:rPr>
          <w:rFonts w:hint="eastAsia"/>
          <w:b w:val="0"/>
          <w:bCs w:val="0"/>
          <w:color w:val="auto"/>
          <w:sz w:val="24"/>
          <w:szCs w:val="24"/>
          <w:lang w:val="en-US" w:eastAsia="zh-CN"/>
        </w:rPr>
        <w:t>GB/T14848-2017）中</w:t>
      </w:r>
      <w:r>
        <w:rPr>
          <w:rFonts w:hint="eastAsia" w:ascii="Times New Roman" w:hAnsi="Times New Roman" w:eastAsia="宋体" w:cs="Times New Roman"/>
          <w:b w:val="0"/>
          <w:bCs w:val="0"/>
          <w:color w:val="auto"/>
          <w:sz w:val="24"/>
          <w:szCs w:val="24"/>
          <w:vertAlign w:val="baseline"/>
          <w:lang w:eastAsia="zh-CN"/>
        </w:rPr>
        <w:t>Ⅲ类</w:t>
      </w:r>
      <w:r>
        <w:rPr>
          <w:rFonts w:hint="eastAsia" w:cs="Times New Roman"/>
          <w:b w:val="0"/>
          <w:bCs w:val="0"/>
          <w:color w:val="auto"/>
          <w:sz w:val="24"/>
          <w:szCs w:val="24"/>
          <w:vertAlign w:val="baseline"/>
          <w:lang w:eastAsia="zh-CN"/>
        </w:rPr>
        <w:t>水质标准，项目区域地下水水质现状良好。</w:t>
      </w:r>
    </w:p>
    <w:p>
      <w:pPr>
        <w:pStyle w:val="4"/>
      </w:pPr>
      <w:bookmarkStart w:id="46" w:name="_Toc2676"/>
      <w:r>
        <w:t>环境空气质量现状调查与评价</w:t>
      </w:r>
      <w:bookmarkEnd w:id="46"/>
    </w:p>
    <w:p>
      <w:pPr>
        <w:pStyle w:val="5"/>
        <w:ind w:firstLine="562"/>
      </w:pPr>
      <w:r>
        <w:rPr>
          <w:rFonts w:hint="eastAsia"/>
          <w:lang w:eastAsia="zh-CN"/>
        </w:rPr>
        <w:t xml:space="preserve">项目所在区域环境质量达标情况 </w:t>
      </w:r>
    </w:p>
    <w:p>
      <w:pPr>
        <w:pStyle w:val="9"/>
        <w:rPr>
          <w:rFonts w:hint="default" w:ascii="Times New Roman" w:hAnsi="Times New Roman" w:eastAsia="宋体" w:cs="Times New Roman"/>
          <w:lang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w:t>
      </w:r>
      <w:r>
        <w:rPr>
          <w:rFonts w:hint="default" w:ascii="Times New Roman" w:hAnsi="Times New Roman" w:eastAsia="宋体" w:cs="Times New Roman"/>
          <w:lang w:eastAsia="zh-CN"/>
        </w:rPr>
        <w:t>各县市的环境质量：</w:t>
      </w:r>
      <w:r>
        <w:rPr>
          <w:rFonts w:hint="default" w:ascii="Times New Roman" w:hAnsi="Times New Roman" w:eastAsia="宋体" w:cs="Times New Roman"/>
          <w:sz w:val="24"/>
          <w:szCs w:val="24"/>
        </w:rPr>
        <w:t>二氧化硫（SO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）年平均浓度值范围在7～16μg/m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 气质量一级标准（20μg/m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）。二氧化氮（NO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）年平均浓度值范围在14～21μg/m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 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 可吸入颗粒物（PM</w:t>
      </w:r>
      <w:r>
        <w:rPr>
          <w:rFonts w:hint="default" w:ascii="Times New Roman" w:hAnsi="Times New Roman" w:eastAsia="宋体" w:cs="Times New Roman"/>
          <w:sz w:val="24"/>
          <w:szCs w:val="24"/>
          <w:vertAlign w:val="subscript"/>
        </w:rPr>
        <w:t>10</w:t>
      </w:r>
      <w:r>
        <w:rPr>
          <w:rFonts w:hint="default" w:ascii="Times New Roman" w:hAnsi="Times New Roman" w:eastAsia="宋体" w:cs="Times New Roman"/>
          <w:sz w:val="24"/>
          <w:szCs w:val="24"/>
        </w:rPr>
        <w:t>）年平均浓度值范围在37～56μg/m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之间；其中，翁源县、乳源县、仁化县城区达到国家环境空气质量一级标准（40μg/m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），其余各县（市）城区达到二级标准（70μg/m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）。细颗粒物（PM</w:t>
      </w:r>
      <w:r>
        <w:rPr>
          <w:rFonts w:hint="default" w:ascii="Times New Roman" w:hAnsi="Times New Roman" w:eastAsia="宋体" w:cs="Times New Roman"/>
          <w:sz w:val="24"/>
          <w:szCs w:val="24"/>
          <w:vertAlign w:val="subscript"/>
        </w:rPr>
        <w:t>2.5</w:t>
      </w:r>
      <w:r>
        <w:rPr>
          <w:rFonts w:hint="default" w:ascii="Times New Roman" w:hAnsi="Times New Roman" w:eastAsia="宋体" w:cs="Times New Roman"/>
          <w:sz w:val="24"/>
          <w:szCs w:val="24"/>
        </w:rPr>
        <w:t>）年平均浓度值范围在21～30μg/m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之间，均达到国家环境空气质量二级标准（35μg/m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）。一氧化碳（CO）日均值第95百分位数平均浓度值范围在1.2～1.6mg/m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之间，均达到国家环境空气质量二级标准（4mg/m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，参照24小时平均标准）。臭氧（O</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）日最大8小时均值第90百分位数平均浓度值范围在126～138μg/m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之间，均达到国家环境空气质量二级标准（160μg/m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，参照日最大8小时平均标准）。各县（市）城区降尘年平均浓度值在1.46～5.40吨/平方公里·月之间，均低于广东省参考评价值（8吨/平方公里·月）。</w:t>
      </w:r>
    </w:p>
    <w:p>
      <w:pPr>
        <w:pStyle w:val="9"/>
        <w:rPr>
          <w:rFonts w:hint="eastAsia"/>
        </w:rPr>
      </w:pPr>
      <w:r>
        <w:rPr>
          <w:rFonts w:hint="eastAsia"/>
        </w:rPr>
        <w:t xml:space="preserve">综上所述，项目所在区域环境空气质量基本达标。 </w:t>
      </w:r>
    </w:p>
    <w:p>
      <w:pPr>
        <w:pStyle w:val="5"/>
        <w:ind w:firstLine="562"/>
      </w:pPr>
      <w:r>
        <w:rPr>
          <w:rFonts w:hint="eastAsia"/>
          <w:lang w:eastAsia="zh-CN"/>
        </w:rPr>
        <w:t xml:space="preserve">特征污染物监测 </w:t>
      </w:r>
    </w:p>
    <w:p>
      <w:pPr>
        <w:pStyle w:val="6"/>
        <w:rPr>
          <w:rFonts w:hint="eastAsia"/>
          <w:lang w:eastAsia="zh-CN"/>
        </w:rPr>
      </w:pPr>
      <w:r>
        <w:rPr>
          <w:rFonts w:hint="eastAsia"/>
          <w:lang w:eastAsia="zh-CN"/>
        </w:rPr>
        <w:t>监测点位布设</w:t>
      </w:r>
    </w:p>
    <w:p>
      <w:pPr>
        <w:pStyle w:val="9"/>
        <w:rPr>
          <w:rFonts w:hint="eastAsia"/>
        </w:rPr>
      </w:pPr>
      <w:r>
        <w:rPr>
          <w:rFonts w:hint="eastAsia"/>
        </w:rPr>
        <w:t>根据项目污染物排放情况、项目大气环境评价等级、评价区域气象特征及敏感点分布情况等因素，本项目大气监测共布设</w:t>
      </w:r>
      <w:r>
        <w:rPr>
          <w:rFonts w:hint="eastAsia"/>
          <w:lang w:val="en-US" w:eastAsia="zh-CN"/>
        </w:rPr>
        <w:t>2</w:t>
      </w:r>
      <w:r>
        <w:rPr>
          <w:rFonts w:hint="eastAsia"/>
        </w:rPr>
        <w:t>个监测点，监测点位情况见表</w:t>
      </w:r>
      <w:r>
        <w:rPr>
          <w:rFonts w:hint="eastAsia"/>
          <w:lang w:val="en-US" w:eastAsia="zh-CN"/>
        </w:rPr>
        <w:t>4.4</w:t>
      </w:r>
      <w:r>
        <w:rPr>
          <w:rFonts w:hint="eastAsia"/>
        </w:rPr>
        <w:t>-</w:t>
      </w:r>
      <w:r>
        <w:rPr>
          <w:rFonts w:hint="eastAsia"/>
          <w:lang w:val="en-US" w:eastAsia="zh-CN"/>
        </w:rPr>
        <w:t>1</w:t>
      </w:r>
      <w:r>
        <w:rPr>
          <w:rFonts w:hint="eastAsia"/>
        </w:rPr>
        <w:t xml:space="preserve">。 </w:t>
      </w:r>
    </w:p>
    <w:p>
      <w:pPr>
        <w:jc w:val="center"/>
        <w:rPr>
          <w:b/>
          <w:sz w:val="21"/>
          <w:szCs w:val="21"/>
        </w:rPr>
      </w:pPr>
      <w:r>
        <w:rPr>
          <w:b/>
          <w:sz w:val="21"/>
          <w:szCs w:val="21"/>
        </w:rPr>
        <w:t>表</w:t>
      </w:r>
      <w:r>
        <w:rPr>
          <w:rFonts w:hint="eastAsia"/>
          <w:b/>
          <w:sz w:val="21"/>
          <w:szCs w:val="21"/>
          <w:lang w:val="en-US" w:eastAsia="zh-CN"/>
        </w:rPr>
        <w:t>4.4-</w:t>
      </w:r>
      <w:r>
        <w:rPr>
          <w:b/>
          <w:sz w:val="21"/>
          <w:szCs w:val="21"/>
        </w:rPr>
        <w:t>1  环境空气质量现状监测点位布设情况一览表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328"/>
        <w:gridCol w:w="2803"/>
        <w:gridCol w:w="1108"/>
        <w:gridCol w:w="1678"/>
        <w:gridCol w:w="138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6" w:hRule="atLeast"/>
          <w:jc w:val="center"/>
        </w:trPr>
        <w:tc>
          <w:tcPr>
            <w:tcW w:w="799" w:type="pct"/>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监测点编号</w:t>
            </w:r>
          </w:p>
        </w:tc>
        <w:tc>
          <w:tcPr>
            <w:tcW w:w="168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监测具体点位</w:t>
            </w:r>
          </w:p>
        </w:tc>
        <w:tc>
          <w:tcPr>
            <w:tcW w:w="66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1010" w:type="pct"/>
            <w:tcBorders>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c>
          <w:tcPr>
            <w:tcW w:w="834" w:type="pct"/>
            <w:tcBorders>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记录内容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12" w:space="0"/>
              <w:left w:val="nil"/>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G1</w:t>
            </w:r>
          </w:p>
        </w:tc>
        <w:tc>
          <w:tcPr>
            <w:tcW w:w="168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eastAsia="zh-CN"/>
              </w:rPr>
              <w:t>厂址中心（</w:t>
            </w:r>
            <w:r>
              <w:rPr>
                <w:rFonts w:hint="default" w:ascii="Times New Roman" w:hAnsi="Times New Roman" w:eastAsia="宋体" w:cs="Times New Roman"/>
                <w:spacing w:val="-3"/>
                <w:sz w:val="21"/>
                <w:szCs w:val="21"/>
              </w:rPr>
              <w:t>E113.704162，N25.191894</w:t>
            </w:r>
            <w:r>
              <w:rPr>
                <w:rFonts w:hint="eastAsia" w:ascii="Times New Roman" w:hAnsi="Times New Roman" w:cs="Times New Roman"/>
                <w:sz w:val="21"/>
                <w:szCs w:val="21"/>
                <w:lang w:eastAsia="zh-CN"/>
              </w:rPr>
              <w:t>）</w:t>
            </w:r>
          </w:p>
        </w:tc>
        <w:tc>
          <w:tcPr>
            <w:tcW w:w="66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w:t>
            </w:r>
          </w:p>
        </w:tc>
        <w:tc>
          <w:tcPr>
            <w:tcW w:w="1010" w:type="pct"/>
            <w:vMerge w:val="restart"/>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S、NH</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position w:val="2"/>
                <w:sz w:val="21"/>
                <w:szCs w:val="21"/>
              </w:rPr>
              <w:t>及臭气浓</w:t>
            </w:r>
            <w:r>
              <w:rPr>
                <w:rFonts w:hint="default" w:ascii="Times New Roman" w:hAnsi="Times New Roman" w:eastAsia="宋体" w:cs="Times New Roman"/>
                <w:sz w:val="21"/>
                <w:szCs w:val="21"/>
              </w:rPr>
              <w:t>度</w:t>
            </w:r>
          </w:p>
        </w:tc>
        <w:tc>
          <w:tcPr>
            <w:tcW w:w="834" w:type="pct"/>
            <w:vMerge w:val="restart"/>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坐标、监测时</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的风速、气温、风向、大气压等</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4" w:space="0"/>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G2</w:t>
            </w:r>
          </w:p>
        </w:tc>
        <w:tc>
          <w:tcPr>
            <w:tcW w:w="168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下风向</w:t>
            </w:r>
            <w:r>
              <w:rPr>
                <w:rFonts w:hint="default" w:ascii="Times New Roman" w:hAnsi="Times New Roman" w:eastAsia="宋体" w:cs="Times New Roman"/>
                <w:sz w:val="21"/>
                <w:szCs w:val="21"/>
              </w:rPr>
              <w:t xml:space="preserve"> (项目</w:t>
            </w:r>
            <w:r>
              <w:rPr>
                <w:rFonts w:hint="eastAsia" w:ascii="Times New Roman" w:hAnsi="Times New Roman" w:cs="Times New Roman"/>
                <w:sz w:val="21"/>
                <w:szCs w:val="21"/>
                <w:lang w:eastAsia="zh-CN"/>
              </w:rPr>
              <w:t>北</w:t>
            </w:r>
            <w:r>
              <w:rPr>
                <w:rFonts w:hint="default" w:ascii="Times New Roman" w:hAnsi="Times New Roman" w:eastAsia="宋体" w:cs="Times New Roman"/>
                <w:sz w:val="21"/>
                <w:szCs w:val="21"/>
              </w:rPr>
              <w:t xml:space="preserve">侧 </w:t>
            </w:r>
            <w:r>
              <w:rPr>
                <w:rFonts w:hint="eastAsia" w:ascii="Times New Roman" w:hAnsi="Times New Roman" w:cs="Times New Roman"/>
                <w:sz w:val="21"/>
                <w:szCs w:val="21"/>
                <w:lang w:val="en-US" w:eastAsia="zh-CN"/>
              </w:rPr>
              <w:t>80</w:t>
            </w:r>
            <w:r>
              <w:rPr>
                <w:rFonts w:hint="default" w:ascii="Times New Roman" w:hAnsi="Times New Roman" w:eastAsia="宋体" w:cs="Times New Roman"/>
                <w:sz w:val="21"/>
                <w:szCs w:val="21"/>
              </w:rPr>
              <w:t>0m</w:t>
            </w:r>
            <w:r>
              <w:rPr>
                <w:rFonts w:hint="eastAsia" w:ascii="Times New Roman" w:hAnsi="Times New Roman" w:cs="Times New Roman"/>
                <w:sz w:val="21"/>
                <w:szCs w:val="21"/>
                <w:lang w:eastAsia="zh-CN"/>
              </w:rPr>
              <w:t>，</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cs="Times New Roman"/>
                <w:sz w:val="21"/>
                <w:szCs w:val="21"/>
                <w:lang w:eastAsia="zh-CN"/>
              </w:rPr>
            </w:pPr>
            <w:r>
              <w:rPr>
                <w:rFonts w:hint="default" w:ascii="Times New Roman" w:hAnsi="Times New Roman" w:eastAsia="宋体" w:cs="Times New Roman"/>
                <w:sz w:val="21"/>
                <w:szCs w:val="21"/>
              </w:rPr>
              <w:t>E113.705149，N25.182544</w:t>
            </w:r>
            <w:r>
              <w:rPr>
                <w:rFonts w:hint="eastAsia" w:ascii="Times New Roman" w:hAnsi="Times New Roman" w:cs="Times New Roman"/>
                <w:sz w:val="21"/>
                <w:szCs w:val="21"/>
                <w:lang w:eastAsia="zh-CN"/>
              </w:rPr>
              <w:t>）</w:t>
            </w:r>
          </w:p>
        </w:tc>
        <w:tc>
          <w:tcPr>
            <w:tcW w:w="66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N</w:t>
            </w:r>
          </w:p>
        </w:tc>
        <w:tc>
          <w:tcPr>
            <w:tcW w:w="1010" w:type="pct"/>
            <w:vMerge w:val="continue"/>
            <w:tcBorders>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position w:val="2"/>
                <w:sz w:val="21"/>
                <w:szCs w:val="21"/>
              </w:rPr>
            </w:pPr>
          </w:p>
        </w:tc>
        <w:tc>
          <w:tcPr>
            <w:tcW w:w="834" w:type="pct"/>
            <w:vMerge w:val="continue"/>
            <w:tcBorders>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bl>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textAlignment w:val="baseline"/>
        <w:outlineLvl w:val="9"/>
      </w:pPr>
      <w:r>
        <w:drawing>
          <wp:inline distT="0" distB="0" distL="114300" distR="114300">
            <wp:extent cx="5238750" cy="3535680"/>
            <wp:effectExtent l="0" t="0" r="3810" b="0"/>
            <wp:docPr id="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0"/>
                    <pic:cNvPicPr>
                      <a:picLocks noChangeAspect="1"/>
                    </pic:cNvPicPr>
                  </pic:nvPicPr>
                  <pic:blipFill>
                    <a:blip r:embed="rId62"/>
                    <a:stretch>
                      <a:fillRect/>
                    </a:stretch>
                  </pic:blipFill>
                  <pic:spPr>
                    <a:xfrm>
                      <a:off x="0" y="0"/>
                      <a:ext cx="5238750" cy="3535680"/>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图4.4-1 项目空气监测点位示意图</w:t>
      </w:r>
    </w:p>
    <w:p>
      <w:pPr>
        <w:pStyle w:val="6"/>
        <w:rPr>
          <w:rFonts w:hint="eastAsia"/>
          <w:lang w:eastAsia="zh-CN"/>
        </w:rPr>
      </w:pPr>
      <w:r>
        <w:rPr>
          <w:rFonts w:hint="eastAsia"/>
          <w:lang w:eastAsia="zh-CN"/>
        </w:rPr>
        <w:t>监测时间及频率</w:t>
      </w:r>
    </w:p>
    <w:p>
      <w:pPr>
        <w:pStyle w:val="9"/>
        <w:rPr>
          <w:rFonts w:hint="eastAsia"/>
        </w:rPr>
      </w:pPr>
      <w:r>
        <w:rPr>
          <w:rFonts w:hint="eastAsia"/>
        </w:rPr>
        <w:t>监测时间：20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w:t>
      </w:r>
      <w:r>
        <w:rPr>
          <w:rFonts w:hint="eastAsia"/>
          <w:lang w:val="en-US" w:eastAsia="zh-CN"/>
        </w:rPr>
        <w:t>4月6</w:t>
      </w:r>
      <w:r>
        <w:rPr>
          <w:rFonts w:hint="eastAsia"/>
        </w:rPr>
        <w:t xml:space="preserve">日。 </w:t>
      </w:r>
    </w:p>
    <w:p>
      <w:pPr>
        <w:pStyle w:val="9"/>
        <w:rPr>
          <w:rFonts w:hint="eastAsia"/>
        </w:rPr>
      </w:pPr>
      <w:r>
        <w:rPr>
          <w:rFonts w:hint="eastAsia"/>
          <w:lang w:eastAsia="zh-CN"/>
        </w:rPr>
        <w:t>检测频率：</w:t>
      </w:r>
      <w:r>
        <w:rPr>
          <w:rFonts w:hint="eastAsia"/>
        </w:rPr>
        <w:t xml:space="preserve">根据GB3095-2012《环境空气质量标准》，连续7天采样， </w:t>
      </w:r>
    </w:p>
    <w:p>
      <w:pPr>
        <w:pStyle w:val="9"/>
        <w:rPr>
          <w:rFonts w:hint="eastAsia"/>
        </w:rPr>
      </w:pPr>
      <w:r>
        <w:rPr>
          <w:rFonts w:hint="eastAsia"/>
        </w:rPr>
        <w:t>H</w:t>
      </w:r>
      <w:r>
        <w:rPr>
          <w:rFonts w:hint="eastAsia"/>
          <w:vertAlign w:val="subscript"/>
        </w:rPr>
        <w:t>2</w:t>
      </w:r>
      <w:r>
        <w:rPr>
          <w:rFonts w:hint="eastAsia"/>
        </w:rPr>
        <w:t>S、HN</w:t>
      </w:r>
      <w:r>
        <w:rPr>
          <w:rFonts w:hint="eastAsia"/>
          <w:vertAlign w:val="subscript"/>
        </w:rPr>
        <w:t>3</w:t>
      </w:r>
      <w:r>
        <w:rPr>
          <w:rFonts w:hint="eastAsia"/>
        </w:rPr>
        <w:t>小时浓度每日采样4次，每次采样时间保证不少于45分钟，时间分别为02:00、08:00、14:00、20:00。臭气浓度2h采一次，共采集4次，取其最大测定值。</w:t>
      </w:r>
    </w:p>
    <w:p>
      <w:pPr>
        <w:pStyle w:val="9"/>
        <w:rPr>
          <w:rFonts w:hint="eastAsia"/>
        </w:rPr>
      </w:pPr>
      <w:r>
        <w:rPr>
          <w:rFonts w:hint="eastAsia"/>
        </w:rPr>
        <w:t>采样同时观测并记录当时的风向、风速、气温、气压、湿度等气象参数，并记录监测点经纬度。</w:t>
      </w:r>
    </w:p>
    <w:p>
      <w:pPr>
        <w:pStyle w:val="6"/>
        <w:rPr>
          <w:rFonts w:hint="eastAsia"/>
          <w:lang w:eastAsia="zh-CN"/>
        </w:rPr>
      </w:pPr>
      <w:r>
        <w:rPr>
          <w:rFonts w:hint="eastAsia"/>
          <w:lang w:eastAsia="zh-CN"/>
        </w:rPr>
        <w:t>分析方法</w:t>
      </w:r>
    </w:p>
    <w:p>
      <w:pPr>
        <w:pStyle w:val="9"/>
        <w:rPr>
          <w:rFonts w:hint="eastAsia"/>
        </w:rPr>
      </w:pPr>
      <w:r>
        <w:rPr>
          <w:rFonts w:hint="eastAsia"/>
        </w:rPr>
        <w:t>环境空气质量现状监测分析方法见表</w:t>
      </w:r>
      <w:r>
        <w:rPr>
          <w:rFonts w:hint="eastAsia"/>
          <w:lang w:val="en-US" w:eastAsia="zh-CN"/>
        </w:rPr>
        <w:t>4.4</w:t>
      </w:r>
      <w:r>
        <w:rPr>
          <w:rFonts w:hint="eastAsia"/>
        </w:rPr>
        <w:t>-</w:t>
      </w:r>
      <w:r>
        <w:rPr>
          <w:rFonts w:hint="eastAsia"/>
          <w:lang w:val="en-US" w:eastAsia="zh-CN"/>
        </w:rPr>
        <w:t>2</w:t>
      </w:r>
      <w:r>
        <w:rPr>
          <w:rFonts w:hint="eastAsia"/>
        </w:rPr>
        <w:t>。</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2</w:t>
      </w:r>
      <w:r>
        <w:rPr>
          <w:rFonts w:hint="default" w:ascii="Times New Roman" w:hAnsi="Times New Roman" w:eastAsia="宋体" w:cs="Times New Roman"/>
          <w:b/>
          <w:bCs/>
          <w:sz w:val="21"/>
          <w:szCs w:val="21"/>
          <w:lang w:val="en-US" w:eastAsia="zh-CN"/>
        </w:rPr>
        <w:t xml:space="preserve">   环境空气监测项目及分析方法</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3"/>
        <w:gridCol w:w="213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3"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5"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w:t>
            </w:r>
          </w:p>
        </w:tc>
        <w:tc>
          <w:tcPr>
            <w:tcW w:w="6258" w:type="dxa"/>
            <w:gridSpan w:val="2"/>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环境空气质量手工监测技术规范</w:t>
            </w:r>
            <w:r>
              <w:rPr>
                <w:rFonts w:hint="eastAsia"/>
                <w:sz w:val="21"/>
                <w:szCs w:val="21"/>
                <w:vertAlign w:val="baseline"/>
                <w:lang w:val="en-US" w:eastAsia="zh-CN"/>
              </w:rPr>
              <w:t xml:space="preserve">   HJ/T 194-2005</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环境空气质量标准  （GB 3095-2012）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氨</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eastAsia="宋体"/>
                <w:sz w:val="21"/>
                <w:szCs w:val="21"/>
                <w:vertAlign w:val="baseline"/>
                <w:lang w:eastAsia="zh-CN"/>
              </w:rPr>
              <w:t xml:space="preserve">环境空气和废气 氨的测定 纳氏试剂分光光度法 HJ 533-2009 </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硫化氢</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亚甲基蓝分光光度法 《空气和废气监测分析方法》国家环保总局 第四版 2003年</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臭气浓度</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空气质量 恶臭的测定 三点式比较嗅袋法 GB/T 14675-93</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10（无量纲）</w:t>
            </w:r>
          </w:p>
        </w:tc>
      </w:tr>
    </w:tbl>
    <w:p>
      <w:pPr>
        <w:pStyle w:val="6"/>
        <w:rPr>
          <w:rFonts w:hint="eastAsia"/>
          <w:lang w:eastAsia="zh-CN"/>
        </w:rPr>
      </w:pPr>
      <w:r>
        <w:rPr>
          <w:rFonts w:hint="eastAsia"/>
          <w:lang w:eastAsia="zh-CN"/>
        </w:rPr>
        <w:t xml:space="preserve">评价标准与评价方法 </w:t>
      </w:r>
    </w:p>
    <w:p>
      <w:pPr>
        <w:pStyle w:val="9"/>
        <w:rPr>
          <w:rFonts w:hint="eastAsia"/>
        </w:rPr>
      </w:pPr>
      <w:r>
        <w:rPr>
          <w:rFonts w:hint="eastAsia"/>
        </w:rPr>
        <w:t xml:space="preserve">本项目环境空气质量执行《环境空气质量标准》（GB3095-2012）二级标准。 </w:t>
      </w:r>
    </w:p>
    <w:p>
      <w:pPr>
        <w:pStyle w:val="9"/>
        <w:rPr>
          <w:rFonts w:hint="eastAsia"/>
        </w:rPr>
      </w:pPr>
      <w:r>
        <w:rPr>
          <w:rFonts w:hint="eastAsia"/>
        </w:rPr>
        <w:t xml:space="preserve">评价方法利用单因子指数法进行评价，评价公式： </w:t>
      </w:r>
    </w:p>
    <w:p>
      <w:pPr>
        <w:pStyle w:val="9"/>
        <w:ind w:left="0" w:leftChars="0" w:firstLine="0" w:firstLineChars="0"/>
        <w:jc w:val="center"/>
        <w:rPr>
          <w:rFonts w:hint="eastAsia" w:eastAsia="宋体"/>
          <w:lang w:eastAsia="zh-CN"/>
        </w:rPr>
      </w:pPr>
      <w:r>
        <w:rPr>
          <w:rFonts w:hint="eastAsia" w:eastAsia="宋体"/>
          <w:position w:val="-30"/>
          <w:lang w:eastAsia="zh-CN"/>
        </w:rPr>
        <w:object>
          <v:shape id="_x0000_i1043" o:spt="75" type="#_x0000_t75" style="height:34pt;width:78pt;" o:ole="t" filled="f" o:preferrelative="t" stroked="f" coordsize="21600,21600">
            <v:path/>
            <v:fill on="f" focussize="0,0"/>
            <v:stroke on="f"/>
            <v:imagedata r:id="rId64" o:title=""/>
            <o:lock v:ext="edit" grouping="f" rotation="f" text="f" aspectratio="t"/>
            <w10:wrap type="none"/>
            <w10:anchorlock/>
          </v:shape>
          <o:OLEObject Type="Embed" ProgID="Equation.KSEE3" ShapeID="_x0000_i1043" DrawAspect="Content" ObjectID="_1468075743" r:id="rId63">
            <o:LockedField>false</o:LockedField>
          </o:OLEObject>
        </w:object>
      </w:r>
    </w:p>
    <w:p>
      <w:pPr>
        <w:pStyle w:val="9"/>
        <w:rPr>
          <w:rFonts w:hint="eastAsia"/>
        </w:rPr>
      </w:pPr>
      <w:r>
        <w:rPr>
          <w:rFonts w:hint="eastAsia"/>
        </w:rPr>
        <w:t>式中：</w:t>
      </w:r>
    </w:p>
    <w:p>
      <w:pPr>
        <w:pStyle w:val="9"/>
        <w:rPr>
          <w:rFonts w:hint="eastAsia"/>
        </w:rPr>
      </w:pPr>
      <w:r>
        <w:rPr>
          <w:rFonts w:hint="eastAsia" w:eastAsia="宋体"/>
          <w:position w:val="-10"/>
          <w:lang w:eastAsia="zh-CN"/>
        </w:rPr>
        <w:object>
          <v:shape id="_x0000_i1044"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4" DrawAspect="Content" ObjectID="_1468075744" r:id="rId65">
            <o:LockedField>false</o:LockedField>
          </o:OLEObject>
        </w:object>
      </w:r>
      <w:r>
        <w:rPr>
          <w:rFonts w:hint="eastAsia"/>
        </w:rPr>
        <w:t>—某污染物的污染指数；</w:t>
      </w:r>
    </w:p>
    <w:p>
      <w:pPr>
        <w:pStyle w:val="9"/>
        <w:rPr>
          <w:rFonts w:hint="eastAsia"/>
        </w:rPr>
      </w:pPr>
      <w:r>
        <w:rPr>
          <w:rFonts w:hint="eastAsia" w:eastAsia="宋体"/>
          <w:position w:val="-10"/>
          <w:lang w:eastAsia="zh-CN"/>
        </w:rPr>
        <w:object>
          <v:shape id="_x0000_i1045" o:spt="75" type="#_x0000_t75" style="height:17pt;width:13.95pt;" o:ole="t" filled="f" o:preferrelative="t" stroked="f" coordsize="21600,21600">
            <v:path/>
            <v:fill on="f" focussize="0,0"/>
            <v:stroke on="f"/>
            <v:imagedata r:id="rId68" o:title=""/>
            <o:lock v:ext="edit" grouping="f" rotation="f" text="f" aspectratio="t"/>
            <w10:wrap type="none"/>
            <w10:anchorlock/>
          </v:shape>
          <o:OLEObject Type="Embed" ProgID="Equation.KSEE3" ShapeID="_x0000_i1045" DrawAspect="Content" ObjectID="_1468075745" r:id="rId67">
            <o:LockedField>false</o:LockedField>
          </o:OLEObject>
        </w:object>
      </w:r>
      <w:r>
        <w:rPr>
          <w:rFonts w:hint="eastAsia"/>
        </w:rPr>
        <w:t>—第i种污染物的实测浓度，（mg/m</w:t>
      </w:r>
      <w:r>
        <w:rPr>
          <w:rFonts w:hint="eastAsia"/>
          <w:vertAlign w:val="superscript"/>
        </w:rPr>
        <w:t>3</w:t>
      </w:r>
      <w:r>
        <w:rPr>
          <w:rFonts w:hint="eastAsia"/>
        </w:rPr>
        <w:t>）；</w:t>
      </w:r>
    </w:p>
    <w:p>
      <w:pPr>
        <w:pStyle w:val="9"/>
        <w:rPr>
          <w:rFonts w:hint="eastAsia"/>
        </w:rPr>
      </w:pPr>
      <w:r>
        <w:rPr>
          <w:rFonts w:hint="eastAsia" w:eastAsia="宋体"/>
          <w:position w:val="-12"/>
          <w:lang w:eastAsia="zh-CN"/>
        </w:rPr>
        <w:object>
          <v:shape id="_x0000_i1046" o:spt="75" type="#_x0000_t75" style="height:18pt;width:17pt;" o:ole="t" filled="f" o:preferrelative="t" stroked="f" coordsize="21600,21600">
            <v:path/>
            <v:fill on="f" focussize="0,0"/>
            <v:stroke on="f"/>
            <v:imagedata r:id="rId70" o:title=""/>
            <o:lock v:ext="edit" grouping="f" rotation="f" text="f" aspectratio="t"/>
            <w10:wrap type="none"/>
            <w10:anchorlock/>
          </v:shape>
          <o:OLEObject Type="Embed" ProgID="Equation.KSEE3" ShapeID="_x0000_i1046" DrawAspect="Content" ObjectID="_1468075746" r:id="rId69">
            <o:LockedField>false</o:LockedField>
          </o:OLEObject>
        </w:object>
      </w:r>
      <w:r>
        <w:rPr>
          <w:rFonts w:hint="eastAsia"/>
        </w:rPr>
        <w:t>—第i种污染物的评价标准，（mg/m</w:t>
      </w:r>
      <w:r>
        <w:rPr>
          <w:rFonts w:hint="eastAsia"/>
          <w:vertAlign w:val="superscript"/>
        </w:rPr>
        <w:t>3</w:t>
      </w:r>
      <w:r>
        <w:rPr>
          <w:rFonts w:hint="eastAsia"/>
        </w:rPr>
        <w:t xml:space="preserve">）。 </w:t>
      </w:r>
    </w:p>
    <w:p>
      <w:pPr>
        <w:pStyle w:val="9"/>
        <w:rPr>
          <w:rFonts w:hint="eastAsia"/>
        </w:rPr>
      </w:pPr>
      <w:r>
        <w:rPr>
          <w:rFonts w:hint="eastAsia"/>
        </w:rPr>
        <w:t>当</w:t>
      </w:r>
      <w:r>
        <w:rPr>
          <w:rFonts w:hint="eastAsia" w:eastAsia="宋体"/>
          <w:position w:val="-10"/>
          <w:lang w:eastAsia="zh-CN"/>
        </w:rPr>
        <w:object>
          <v:shape id="_x0000_i1047"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7" DrawAspect="Content" ObjectID="_1468075747" r:id="rId71">
            <o:LockedField>false</o:LockedField>
          </o:OLEObject>
        </w:object>
      </w:r>
      <w:r>
        <w:rPr>
          <w:rFonts w:hint="eastAsia"/>
        </w:rPr>
        <w:t>≥1时，说明调查区空气中该污染物浓度超过国家规定的标准限值，当</w:t>
      </w:r>
      <w:r>
        <w:rPr>
          <w:rFonts w:hint="eastAsia" w:eastAsia="宋体"/>
          <w:position w:val="-10"/>
          <w:lang w:eastAsia="zh-CN"/>
        </w:rPr>
        <w:object>
          <v:shape id="_x0000_i1048"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8" DrawAspect="Content" ObjectID="_1468075748" r:id="rId72">
            <o:LockedField>false</o:LockedField>
          </o:OLEObject>
        </w:object>
      </w:r>
      <w:r>
        <w:rPr>
          <w:rFonts w:hint="eastAsia"/>
        </w:rPr>
        <w:t xml:space="preserve">＜1时，说明调查区空气中该污染物浓度达到国家规定的标准限值。 </w:t>
      </w:r>
    </w:p>
    <w:p>
      <w:pPr>
        <w:pStyle w:val="6"/>
        <w:rPr>
          <w:rFonts w:hint="eastAsia"/>
          <w:lang w:eastAsia="zh-CN"/>
        </w:rPr>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3  监测期间气象记录表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065"/>
        <w:gridCol w:w="1277"/>
        <w:gridCol w:w="832"/>
        <w:gridCol w:w="777"/>
        <w:gridCol w:w="1200"/>
        <w:gridCol w:w="1240"/>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监测日期</w:t>
            </w:r>
          </w:p>
        </w:tc>
        <w:tc>
          <w:tcPr>
            <w:tcW w:w="1065"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832"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天气</w:t>
            </w:r>
          </w:p>
        </w:tc>
        <w:tc>
          <w:tcPr>
            <w:tcW w:w="7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风向</w:t>
            </w:r>
          </w:p>
        </w:tc>
        <w:tc>
          <w:tcPr>
            <w:tcW w:w="120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风速(m/s)</w:t>
            </w:r>
          </w:p>
        </w:tc>
        <w:tc>
          <w:tcPr>
            <w:tcW w:w="124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气压</w:t>
            </w:r>
            <w:r>
              <w:rPr>
                <w:rFonts w:hint="default" w:ascii="Times New Roman" w:hAnsi="Times New Roman" w:eastAsia="宋体" w:cs="Times New Roman"/>
                <w:sz w:val="21"/>
                <w:szCs w:val="21"/>
              </w:rPr>
              <w:t>（KPa）</w:t>
            </w:r>
          </w:p>
        </w:tc>
        <w:tc>
          <w:tcPr>
            <w:tcW w:w="106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气温</w:t>
            </w:r>
            <w:r>
              <w:rPr>
                <w:rFonts w:hint="default" w:ascii="Times New Roman" w:hAnsi="Times New Roman" w:eastAsia="宋体"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厂址中心</w:t>
            </w:r>
          </w:p>
        </w:tc>
        <w:tc>
          <w:tcPr>
            <w:tcW w:w="1065"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top w:val="single" w:color="auto" w:sz="12" w:space="0"/>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spacing w:line="280" w:lineRule="exact"/>
              <w:ind w:right="-105" w:rightChars="-50"/>
              <w:jc w:val="center"/>
              <w:rPr>
                <w:rFonts w:hint="eastAsia"/>
                <w:sz w:val="21"/>
                <w:szCs w:val="21"/>
                <w:vertAlign w:val="baseline"/>
              </w:rPr>
            </w:pPr>
            <w:r>
              <w:rPr>
                <w:rFonts w:hint="eastAsia" w:ascii="Times New Roman" w:hAnsi="Times New Roman" w:cs="Times New Roman"/>
                <w:sz w:val="21"/>
                <w:szCs w:val="21"/>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restart"/>
            <w:tcBorders>
              <w:left w:val="nil"/>
            </w:tcBorders>
            <w:noWrap w:val="0"/>
            <w:vAlign w:val="center"/>
          </w:tcPr>
          <w:p>
            <w:pPr>
              <w:widowControl/>
              <w:spacing w:line="280" w:lineRule="exact"/>
              <w:ind w:right="-105" w:rightChars="-50"/>
              <w:jc w:val="center"/>
              <w:rPr>
                <w:rFonts w:hint="eastAsia"/>
                <w:sz w:val="21"/>
                <w:szCs w:val="21"/>
                <w:vertAlign w:val="baseline"/>
              </w:rPr>
            </w:pPr>
            <w:r>
              <w:rPr>
                <w:rFonts w:hint="default" w:ascii="Times New Roman" w:hAnsi="Times New Roman" w:cs="Times New Roman"/>
                <w:sz w:val="21"/>
                <w:szCs w:val="21"/>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bottom w:val="single" w:color="auto" w:sz="12" w:space="0"/>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4.4-4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单位：mg/m</w:t>
      </w:r>
      <w:r>
        <w:rPr>
          <w:rFonts w:hint="default" w:ascii="Times New Roman" w:hAnsi="Times New Roman" w:eastAsia="宋体" w:cs="Times New Roman"/>
          <w:b/>
          <w:bCs/>
          <w:sz w:val="21"/>
          <w:szCs w:val="21"/>
          <w:vertAlign w:val="superscript"/>
          <w:lang w:val="en-US" w:eastAsia="zh-CN"/>
        </w:rPr>
        <w:t>3</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监测时间</w:t>
            </w:r>
          </w:p>
        </w:tc>
        <w:tc>
          <w:tcPr>
            <w:tcW w:w="4871" w:type="dxa"/>
            <w:gridSpan w:val="4"/>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氨</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硫化氢</w:t>
            </w:r>
          </w:p>
        </w:tc>
        <w:tc>
          <w:tcPr>
            <w:tcW w:w="1218"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rPr>
      </w:pPr>
      <w:r>
        <w:rPr>
          <w:rFonts w:hint="default" w:ascii="Times New Roman" w:hAnsi="Times New Roman" w:eastAsia="宋体" w:cs="Times New Roman"/>
          <w:b/>
          <w:bCs/>
          <w:sz w:val="18"/>
          <w:szCs w:val="18"/>
          <w:lang w:eastAsia="zh-CN"/>
        </w:rPr>
        <w:t>备注：</w:t>
      </w:r>
      <w:r>
        <w:rPr>
          <w:rFonts w:hint="eastAsia" w:cs="Times New Roman"/>
          <w:b/>
          <w:bCs/>
          <w:sz w:val="18"/>
          <w:szCs w:val="18"/>
          <w:lang w:eastAsia="zh-CN"/>
        </w:rPr>
        <w:t>质量指数中</w:t>
      </w:r>
      <w:r>
        <w:rPr>
          <w:rFonts w:hint="eastAsia" w:cs="Times New Roman"/>
          <w:b/>
          <w:bCs/>
          <w:sz w:val="18"/>
          <w:szCs w:val="18"/>
          <w:lang w:val="en-US" w:eastAsia="zh-CN"/>
        </w:rPr>
        <w:t>L</w:t>
      </w:r>
      <w:r>
        <w:rPr>
          <w:rFonts w:hint="eastAsia" w:cs="Times New Roman"/>
          <w:b/>
          <w:bCs/>
          <w:sz w:val="18"/>
          <w:szCs w:val="18"/>
          <w:lang w:eastAsia="zh-CN"/>
        </w:rPr>
        <w:t>按检出限计</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w:t>
      </w:r>
      <w:r>
        <w:rPr>
          <w:rFonts w:hint="eastAsia" w:cs="Times New Roman"/>
          <w:b/>
          <w:bCs/>
          <w:sz w:val="21"/>
          <w:szCs w:val="21"/>
          <w:lang w:val="en-US" w:eastAsia="zh-CN"/>
        </w:rPr>
        <w:t>5</w:t>
      </w:r>
      <w:r>
        <w:rPr>
          <w:rFonts w:hint="default" w:ascii="Times New Roman" w:hAnsi="Times New Roman" w:eastAsia="宋体" w:cs="Times New Roman"/>
          <w:b/>
          <w:bCs/>
          <w:sz w:val="21"/>
          <w:szCs w:val="21"/>
          <w:lang w:val="en-US" w:eastAsia="zh-CN"/>
        </w:rPr>
        <w:t xml:space="preserve">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w:t>
      </w:r>
      <w:r>
        <w:rPr>
          <w:rFonts w:hint="eastAsia" w:cs="Times New Roman"/>
          <w:b/>
          <w:bCs/>
          <w:sz w:val="21"/>
          <w:szCs w:val="21"/>
          <w:lang w:val="en-US" w:eastAsia="zh-CN"/>
        </w:rPr>
        <w:t>无量纲</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2435"/>
        <w:gridCol w:w="2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4871" w:type="dxa"/>
            <w:gridSpan w:val="2"/>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2435"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臭气浓度</w:t>
            </w:r>
          </w:p>
        </w:tc>
        <w:tc>
          <w:tcPr>
            <w:tcW w:w="243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18</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13</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12</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4" w:hRule="atLeast"/>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tcBorders>
              <w:bottom w:val="single" w:color="auto" w:sz="12" w:space="0"/>
            </w:tcBorders>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tcBorders>
              <w:bottom w:val="single" w:color="auto" w:sz="12" w:space="0"/>
            </w:tcBorders>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bl>
    <w:p>
      <w:pPr>
        <w:pStyle w:val="9"/>
        <w:rPr>
          <w:rFonts w:hint="eastAsia"/>
          <w:lang w:eastAsia="zh-CN"/>
        </w:rPr>
      </w:pPr>
      <w:r>
        <w:rPr>
          <w:rFonts w:hint="eastAsia"/>
          <w:lang w:eastAsia="zh-CN"/>
        </w:rPr>
        <w:t>从监测数据来看，</w:t>
      </w:r>
      <w:r>
        <w:rPr>
          <w:rFonts w:hint="eastAsia"/>
          <w:lang w:val="en-US" w:eastAsia="zh-CN"/>
        </w:rPr>
        <w:t>NH</w:t>
      </w:r>
      <w:r>
        <w:rPr>
          <w:rFonts w:hint="eastAsia"/>
          <w:vertAlign w:val="subscript"/>
          <w:lang w:val="en-US" w:eastAsia="zh-CN"/>
        </w:rPr>
        <w:t>3</w:t>
      </w:r>
      <w:r>
        <w:rPr>
          <w:rFonts w:hint="eastAsia"/>
          <w:lang w:val="en-US" w:eastAsia="zh-CN"/>
        </w:rPr>
        <w:t>、H</w:t>
      </w:r>
      <w:r>
        <w:rPr>
          <w:rFonts w:hint="eastAsia"/>
          <w:vertAlign w:val="subscript"/>
          <w:lang w:val="en-US" w:eastAsia="zh-CN"/>
        </w:rPr>
        <w:t>2</w:t>
      </w:r>
      <w:r>
        <w:rPr>
          <w:rFonts w:hint="eastAsia"/>
          <w:lang w:val="en-US" w:eastAsia="zh-CN"/>
        </w:rPr>
        <w:t>S符合《环境影响评价技术导则  大气环境》（HJ2.2-2018）附录D标准限值要求，臭气浓度满足</w:t>
      </w:r>
      <w:r>
        <w:rPr>
          <w:rFonts w:hint="eastAsia"/>
        </w:rPr>
        <w:t>《恶臭污染物排放标准》（GB14554-93）</w:t>
      </w:r>
      <w:r>
        <w:rPr>
          <w:rFonts w:hint="eastAsia"/>
          <w:lang w:eastAsia="zh-CN"/>
        </w:rPr>
        <w:t>中标准限值要求。</w:t>
      </w:r>
    </w:p>
    <w:p>
      <w:pPr>
        <w:pStyle w:val="9"/>
        <w:rPr>
          <w:rFonts w:hint="eastAsia"/>
          <w:lang w:eastAsia="zh-CN"/>
        </w:rPr>
      </w:pPr>
      <w:r>
        <w:rPr>
          <w:rFonts w:hint="eastAsia"/>
          <w:lang w:eastAsia="zh-CN"/>
        </w:rPr>
        <w:t>综上所述，各环境空气监测因子能够符合环境功能区要求，本项目所在区域环境空气质量较好。</w:t>
      </w:r>
    </w:p>
    <w:p>
      <w:pPr>
        <w:pStyle w:val="4"/>
      </w:pPr>
      <w:bookmarkStart w:id="47" w:name="_Toc969"/>
      <w:r>
        <w:rPr>
          <w:rFonts w:hint="eastAsia"/>
          <w:lang w:eastAsia="zh-CN"/>
        </w:rPr>
        <w:t>声</w:t>
      </w:r>
      <w:r>
        <w:t>环境质量现状调查与评价</w:t>
      </w:r>
      <w:bookmarkEnd w:id="47"/>
    </w:p>
    <w:p>
      <w:pPr>
        <w:pStyle w:val="5"/>
        <w:ind w:firstLine="562"/>
        <w:rPr>
          <w:rFonts w:hint="eastAsia"/>
        </w:rPr>
      </w:pPr>
      <w:r>
        <w:rPr>
          <w:rFonts w:hint="eastAsia"/>
          <w:lang w:eastAsia="zh-CN"/>
        </w:rPr>
        <w:t xml:space="preserve">监测点位 </w:t>
      </w:r>
    </w:p>
    <w:p>
      <w:pPr>
        <w:pStyle w:val="9"/>
        <w:rPr>
          <w:rFonts w:hint="eastAsia"/>
        </w:rPr>
      </w:pPr>
      <w:r>
        <w:rPr>
          <w:rFonts w:hint="eastAsia"/>
        </w:rPr>
        <w:t>为了解项目及周围区域声环境现状，在项目边界布设4个声环境质量现状监测点，监测点的位置描述见表</w:t>
      </w:r>
      <w:r>
        <w:rPr>
          <w:rFonts w:hint="eastAsia"/>
          <w:lang w:val="en-US" w:eastAsia="zh-CN"/>
        </w:rPr>
        <w:t>4.5</w:t>
      </w:r>
      <w:r>
        <w:rPr>
          <w:rFonts w:hint="eastAsia"/>
        </w:rPr>
        <w:t xml:space="preserve">-1。 </w:t>
      </w: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ascii="Times New Roman" w:hAnsi="Times New Roman" w:cs="Times New Roman"/>
          <w:b/>
          <w:sz w:val="21"/>
          <w:szCs w:val="21"/>
          <w:lang w:val="en-US" w:eastAsia="zh-CN"/>
        </w:rPr>
        <w:t>4.5-1</w:t>
      </w:r>
      <w:r>
        <w:rPr>
          <w:rFonts w:ascii="Times New Roman" w:hAnsi="Times New Roman" w:cs="Times New Roman"/>
          <w:b/>
          <w:sz w:val="21"/>
          <w:szCs w:val="21"/>
        </w:rPr>
        <w:t xml:space="preserve">   声环境质量现状监测点位布设情况一览表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35"/>
        <w:gridCol w:w="2103"/>
        <w:gridCol w:w="1276"/>
        <w:gridCol w:w="1279"/>
        <w:gridCol w:w="301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jc w:val="center"/>
        </w:trPr>
        <w:tc>
          <w:tcPr>
            <w:tcW w:w="382" w:type="pct"/>
            <w:tcBorders>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266"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监测点名称</w:t>
            </w:r>
          </w:p>
        </w:tc>
        <w:tc>
          <w:tcPr>
            <w:tcW w:w="768"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770"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距离</w:t>
            </w:r>
          </w:p>
        </w:tc>
        <w:tc>
          <w:tcPr>
            <w:tcW w:w="1812" w:type="pct"/>
            <w:tcBorders>
              <w:left w:val="single" w:color="000000" w:sz="4" w:space="0"/>
              <w:bottom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N1</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项目东边界外1m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E</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restart"/>
            <w:tcBorders>
              <w:top w:val="single" w:color="000000" w:sz="4" w:space="0"/>
              <w:left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连续等效A 声级Leq</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3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N2</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项目南边界外1m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S</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2"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N3</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项目西边界外1m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49" w:hRule="atLeast"/>
          <w:jc w:val="center"/>
        </w:trPr>
        <w:tc>
          <w:tcPr>
            <w:tcW w:w="382" w:type="pct"/>
            <w:tcBorders>
              <w:top w:val="single" w:color="000000" w:sz="4" w:space="0"/>
              <w:left w:val="nil"/>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N4</w:t>
            </w:r>
          </w:p>
        </w:tc>
        <w:tc>
          <w:tcPr>
            <w:tcW w:w="1266"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项目北边界外1m</w:t>
            </w:r>
          </w:p>
        </w:tc>
        <w:tc>
          <w:tcPr>
            <w:tcW w:w="768"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N</w:t>
            </w:r>
          </w:p>
        </w:tc>
        <w:tc>
          <w:tcPr>
            <w:tcW w:w="770"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textAlignment w:val="auto"/>
        <w:outlineLvl w:val="9"/>
      </w:pPr>
      <w:r>
        <w:drawing>
          <wp:inline distT="0" distB="0" distL="114300" distR="114300">
            <wp:extent cx="5200650" cy="4171950"/>
            <wp:effectExtent l="0" t="0" r="11430" b="3810"/>
            <wp:docPr id="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pic:cNvPicPr>
                      <a:picLocks noChangeAspect="1"/>
                    </pic:cNvPicPr>
                  </pic:nvPicPr>
                  <pic:blipFill>
                    <a:blip r:embed="rId73"/>
                    <a:stretch>
                      <a:fillRect/>
                    </a:stretch>
                  </pic:blipFill>
                  <pic:spPr>
                    <a:xfrm>
                      <a:off x="0" y="0"/>
                      <a:ext cx="5200650" cy="4171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eastAsia="宋体"/>
          <w:b/>
          <w:bCs/>
          <w:sz w:val="21"/>
          <w:szCs w:val="21"/>
          <w:lang w:val="en-US" w:eastAsia="zh-CN"/>
        </w:rPr>
      </w:pPr>
      <w:r>
        <w:rPr>
          <w:rFonts w:hint="eastAsia" w:eastAsia="宋体"/>
          <w:b/>
          <w:bCs/>
          <w:sz w:val="21"/>
          <w:szCs w:val="21"/>
          <w:lang w:eastAsia="zh-CN"/>
        </w:rPr>
        <w:t>图</w:t>
      </w:r>
      <w:r>
        <w:rPr>
          <w:rFonts w:hint="eastAsia" w:eastAsia="宋体"/>
          <w:b/>
          <w:bCs/>
          <w:sz w:val="21"/>
          <w:szCs w:val="21"/>
          <w:lang w:val="en-US" w:eastAsia="zh-CN"/>
        </w:rPr>
        <w:t>4.5-1   声环境监测点位示意图</w:t>
      </w:r>
    </w:p>
    <w:p>
      <w:pPr>
        <w:pStyle w:val="5"/>
        <w:ind w:firstLine="562"/>
      </w:pPr>
      <w:r>
        <w:rPr>
          <w:rFonts w:hint="eastAsia"/>
          <w:lang w:eastAsia="zh-CN"/>
        </w:rPr>
        <w:t xml:space="preserve">监测时间及频率 </w:t>
      </w:r>
    </w:p>
    <w:p>
      <w:pPr>
        <w:pStyle w:val="9"/>
        <w:rPr>
          <w:rFonts w:hint="eastAsia"/>
          <w:highlight w:val="none"/>
        </w:rPr>
      </w:pPr>
      <w:r>
        <w:rPr>
          <w:rFonts w:hint="eastAsia"/>
          <w:highlight w:val="none"/>
        </w:rPr>
        <w:t>监测时间：20</w:t>
      </w:r>
      <w:r>
        <w:rPr>
          <w:rFonts w:hint="eastAsia"/>
          <w:highlight w:val="none"/>
          <w:lang w:val="en-US" w:eastAsia="zh-CN"/>
        </w:rPr>
        <w:t>20</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31</w:t>
      </w:r>
      <w:r>
        <w:rPr>
          <w:rFonts w:hint="eastAsia"/>
          <w:highlight w:val="none"/>
        </w:rPr>
        <w:t>日~</w:t>
      </w:r>
      <w:r>
        <w:rPr>
          <w:rFonts w:hint="eastAsia"/>
          <w:highlight w:val="none"/>
          <w:lang w:val="en-US" w:eastAsia="zh-CN"/>
        </w:rPr>
        <w:t>4月1</w:t>
      </w:r>
      <w:r>
        <w:rPr>
          <w:rFonts w:hint="eastAsia"/>
          <w:highlight w:val="none"/>
        </w:rPr>
        <w:t xml:space="preserve">日。 </w:t>
      </w:r>
    </w:p>
    <w:p>
      <w:pPr>
        <w:pStyle w:val="9"/>
        <w:rPr>
          <w:rFonts w:hint="eastAsia"/>
        </w:rPr>
      </w:pPr>
      <w:r>
        <w:rPr>
          <w:rFonts w:hint="eastAsia"/>
        </w:rPr>
        <w:t>按《声环境质量标准》（GB3096-2008）及《工业企业厂界环境噪声排放标准》（GB12349-2008）中规定的测量方法进行监测，昼夜监测，连续监测2 天，监测时间分别为昼间06:00-22:00，夜间22:00-06:00。</w:t>
      </w:r>
    </w:p>
    <w:p>
      <w:pPr>
        <w:pStyle w:val="5"/>
        <w:ind w:firstLine="562"/>
      </w:pPr>
      <w:r>
        <w:rPr>
          <w:rFonts w:hint="eastAsia"/>
          <w:lang w:eastAsia="zh-CN"/>
        </w:rPr>
        <w:t xml:space="preserve">测量方法 </w:t>
      </w:r>
    </w:p>
    <w:p>
      <w:pPr>
        <w:pStyle w:val="9"/>
        <w:rPr>
          <w:rFonts w:hint="eastAsia"/>
        </w:rPr>
      </w:pPr>
      <w:r>
        <w:rPr>
          <w:rFonts w:hint="eastAsia"/>
        </w:rPr>
        <w:t xml:space="preserve">按照《声环境质量标准》（GB3096-2008）进行。 </w:t>
      </w:r>
    </w:p>
    <w:p>
      <w:pPr>
        <w:pStyle w:val="9"/>
        <w:rPr>
          <w:rFonts w:hint="eastAsia"/>
        </w:rPr>
      </w:pPr>
      <w:r>
        <w:rPr>
          <w:rFonts w:hint="eastAsia"/>
        </w:rPr>
        <w:t xml:space="preserve">本次评价选取的主要评价量为等效连续A声级，等效连续声级Leq评价量为： </w:t>
      </w:r>
    </w:p>
    <w:p>
      <w:pPr>
        <w:pStyle w:val="9"/>
        <w:ind w:left="0" w:leftChars="0" w:firstLine="0" w:firstLineChars="0"/>
        <w:jc w:val="center"/>
        <w:rPr>
          <w:rFonts w:hint="eastAsia" w:eastAsia="宋体"/>
          <w:lang w:eastAsia="zh-CN"/>
        </w:rPr>
      </w:pPr>
      <w:r>
        <w:rPr>
          <w:rFonts w:hint="eastAsia" w:eastAsia="宋体"/>
          <w:position w:val="-28"/>
          <w:lang w:eastAsia="zh-CN"/>
        </w:rPr>
        <w:object>
          <v:shape id="_x0000_i1049" o:spt="75" type="#_x0000_t75" style="height:34pt;width:142pt;" o:ole="t" filled="f" o:preferrelative="t" stroked="f" coordsize="21600,21600">
            <v:path/>
            <v:fill on="f" focussize="0,0"/>
            <v:stroke on="f"/>
            <v:imagedata r:id="rId75" o:title=""/>
            <o:lock v:ext="edit" grouping="f" rotation="f" text="f" aspectratio="t"/>
            <w10:wrap type="none"/>
            <w10:anchorlock/>
          </v:shape>
          <o:OLEObject Type="Embed" ProgID="Equation.KSEE3" ShapeID="_x0000_i1049" DrawAspect="Content" ObjectID="_1468075749" r:id="rId74">
            <o:LockedField>false</o:LockedField>
          </o:OLEObject>
        </w:object>
      </w:r>
    </w:p>
    <w:p>
      <w:pPr>
        <w:pStyle w:val="9"/>
        <w:rPr>
          <w:rFonts w:hint="eastAsia"/>
        </w:rPr>
      </w:pPr>
      <w:r>
        <w:rPr>
          <w:rFonts w:hint="eastAsia"/>
        </w:rPr>
        <w:t xml:space="preserve">取等时间间隔采样测量，以上公式化为： </w:t>
      </w:r>
    </w:p>
    <w:p>
      <w:pPr>
        <w:pStyle w:val="9"/>
        <w:jc w:val="center"/>
        <w:rPr>
          <w:rFonts w:hint="eastAsia"/>
        </w:rPr>
      </w:pPr>
      <w:r>
        <w:rPr>
          <w:rFonts w:hint="eastAsia" w:eastAsia="宋体"/>
          <w:position w:val="-30"/>
          <w:lang w:eastAsia="zh-CN"/>
        </w:rPr>
        <w:object>
          <v:shape id="_x0000_i1050" o:spt="75" type="#_x0000_t75" style="height:36pt;width:131pt;" o:ole="t" filled="f" o:preferrelative="t" stroked="f" coordsize="21600,21600">
            <v:path/>
            <v:fill on="f" focussize="0,0"/>
            <v:stroke on="f"/>
            <v:imagedata r:id="rId77" o:title=""/>
            <o:lock v:ext="edit" grouping="f" rotation="f" text="f" aspectratio="t"/>
            <w10:wrap type="none"/>
            <w10:anchorlock/>
          </v:shape>
          <o:OLEObject Type="Embed" ProgID="Equation.KSEE3" ShapeID="_x0000_i1050" DrawAspect="Content" ObjectID="_1468075750" r:id="rId76">
            <o:LockedField>false</o:LockedField>
          </o:OLEObject>
        </w:object>
      </w:r>
    </w:p>
    <w:p>
      <w:pPr>
        <w:pStyle w:val="9"/>
        <w:rPr>
          <w:rFonts w:hint="eastAsia"/>
          <w:lang w:val="en-US" w:eastAsia="zh-CN"/>
        </w:rPr>
      </w:pPr>
      <w:r>
        <w:rPr>
          <w:rFonts w:hint="eastAsia"/>
          <w:lang w:eastAsia="zh-CN"/>
        </w:rPr>
        <w:t>式中：</w:t>
      </w:r>
      <w:r>
        <w:rPr>
          <w:rFonts w:hint="eastAsia"/>
          <w:lang w:val="en-US" w:eastAsia="zh-CN"/>
        </w:rPr>
        <w:t>T——测量时间；</w:t>
      </w:r>
    </w:p>
    <w:p>
      <w:pPr>
        <w:pStyle w:val="9"/>
        <w:rPr>
          <w:rFonts w:hint="default"/>
          <w:lang w:val="en-US" w:eastAsia="zh-CN"/>
        </w:rPr>
      </w:pPr>
      <w:r>
        <w:rPr>
          <w:rFonts w:hint="eastAsia"/>
          <w:lang w:val="en-US" w:eastAsia="zh-CN"/>
        </w:rPr>
        <w:t xml:space="preserve">      L</w:t>
      </w:r>
      <w:r>
        <w:rPr>
          <w:rFonts w:hint="eastAsia"/>
          <w:vertAlign w:val="subscript"/>
          <w:lang w:val="en-US" w:eastAsia="zh-CN"/>
        </w:rPr>
        <w:t>A</w:t>
      </w:r>
      <w:r>
        <w:rPr>
          <w:rFonts w:hint="eastAsia"/>
          <w:lang w:val="en-US" w:eastAsia="zh-CN"/>
        </w:rPr>
        <w:t>——为时刻的瞬间声级；</w:t>
      </w:r>
    </w:p>
    <w:p>
      <w:pPr>
        <w:pStyle w:val="9"/>
        <w:ind w:firstLine="1200" w:firstLineChars="500"/>
        <w:rPr>
          <w:rFonts w:hint="eastAsia"/>
        </w:rPr>
      </w:pPr>
      <w:r>
        <w:rPr>
          <w:rFonts w:hint="eastAsia"/>
          <w:lang w:val="en-US" w:eastAsia="zh-CN"/>
        </w:rPr>
        <w:t>L</w:t>
      </w:r>
      <w:r>
        <w:rPr>
          <w:rFonts w:hint="eastAsia"/>
          <w:vertAlign w:val="subscript"/>
          <w:lang w:val="en-US" w:eastAsia="zh-CN"/>
        </w:rPr>
        <w:t>i</w:t>
      </w:r>
      <w:r>
        <w:rPr>
          <w:rFonts w:hint="eastAsia"/>
          <w:lang w:val="en-US" w:eastAsia="zh-CN"/>
        </w:rPr>
        <w:t>——第i次采样量的A声级；</w:t>
      </w:r>
    </w:p>
    <w:p>
      <w:pPr>
        <w:pStyle w:val="9"/>
        <w:rPr>
          <w:rFonts w:hint="eastAsia"/>
        </w:rPr>
      </w:pPr>
      <w:r>
        <w:rPr>
          <w:rFonts w:hint="eastAsia"/>
          <w:lang w:val="en-US" w:eastAsia="zh-CN"/>
        </w:rPr>
        <w:t xml:space="preserve">n——测点声级采样个数。 </w:t>
      </w:r>
    </w:p>
    <w:p>
      <w:pPr>
        <w:pStyle w:val="5"/>
        <w:ind w:firstLine="562"/>
      </w:pPr>
      <w:r>
        <w:rPr>
          <w:rFonts w:hint="eastAsia"/>
          <w:lang w:eastAsia="zh-CN"/>
        </w:rPr>
        <w:t xml:space="preserve">评价标准 </w:t>
      </w:r>
    </w:p>
    <w:p>
      <w:pPr>
        <w:pStyle w:val="9"/>
        <w:rPr>
          <w:rFonts w:hint="eastAsia"/>
        </w:rPr>
      </w:pPr>
      <w:r>
        <w:rPr>
          <w:rFonts w:hint="eastAsia"/>
        </w:rPr>
        <w:t xml:space="preserve">本项目所在区域执行《声环境质量标准》（GB3096-2008）1类标准，标准见下表。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4.5-2  声环境质量标准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类别</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昼间</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Ⅰ类</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55</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45</w:t>
            </w:r>
          </w:p>
        </w:tc>
      </w:tr>
    </w:tbl>
    <w:p>
      <w:pPr>
        <w:pStyle w:val="5"/>
        <w:ind w:firstLine="562"/>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通过对评价范围的噪声测量，得出各测点的昼间和夜间的环境背景噪声监测结果， 详见下表。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厂区周围环境噪声现状监测结果</w:t>
      </w:r>
      <w:r>
        <w:rPr>
          <w:rFonts w:hint="default" w:ascii="Times New Roman" w:hAnsi="Times New Roman" w:eastAsia="宋体" w:cs="Times New Roman"/>
          <w:b/>
          <w:bCs/>
          <w:sz w:val="21"/>
          <w:szCs w:val="21"/>
          <w:lang w:val="en-US" w:eastAsia="zh-CN"/>
        </w:rPr>
        <w:t xml:space="preserve">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6"/>
        <w:gridCol w:w="1548"/>
        <w:gridCol w:w="887"/>
        <w:gridCol w:w="840"/>
        <w:gridCol w:w="870"/>
        <w:gridCol w:w="930"/>
        <w:gridCol w:w="2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编号</w:t>
            </w:r>
          </w:p>
        </w:tc>
        <w:tc>
          <w:tcPr>
            <w:tcW w:w="1548"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采样点名称</w:t>
            </w:r>
          </w:p>
        </w:tc>
        <w:tc>
          <w:tcPr>
            <w:tcW w:w="1727"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2020.3.31</w:t>
            </w:r>
          </w:p>
        </w:tc>
        <w:tc>
          <w:tcPr>
            <w:tcW w:w="1800"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2020.4.1</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1548"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88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昼间</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夜间</w:t>
            </w:r>
          </w:p>
        </w:tc>
        <w:tc>
          <w:tcPr>
            <w:tcW w:w="87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昼间</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夜间</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rPr>
            </w:pPr>
            <w:r>
              <w:rPr>
                <w:rFonts w:hint="eastAsia"/>
                <w:sz w:val="21"/>
                <w:szCs w:val="21"/>
                <w:vertAlign w:val="baseline"/>
                <w:lang w:val="en-US" w:eastAsia="zh-CN"/>
              </w:rPr>
              <w:t>N1</w:t>
            </w:r>
          </w:p>
        </w:tc>
        <w:tc>
          <w:tcPr>
            <w:tcW w:w="1548"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项目东边界</w:t>
            </w:r>
            <w:r>
              <w:rPr>
                <w:rFonts w:hint="eastAsia"/>
                <w:sz w:val="21"/>
                <w:szCs w:val="21"/>
                <w:vertAlign w:val="baseline"/>
                <w:lang w:val="en-US" w:eastAsia="zh-CN"/>
              </w:rPr>
              <w:t>1m</w:t>
            </w:r>
          </w:p>
        </w:tc>
        <w:tc>
          <w:tcPr>
            <w:tcW w:w="88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43.6</w:t>
            </w:r>
          </w:p>
        </w:tc>
        <w:tc>
          <w:tcPr>
            <w:tcW w:w="870" w:type="dxa"/>
            <w:tcBorders>
              <w:top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52.0</w:t>
            </w:r>
          </w:p>
        </w:tc>
        <w:tc>
          <w:tcPr>
            <w:tcW w:w="93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43.0</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b w:val="0"/>
                <w:bCs w:val="0"/>
                <w:sz w:val="21"/>
                <w:szCs w:val="21"/>
                <w:vertAlign w:val="baseline"/>
                <w:lang w:eastAsia="zh-CN"/>
              </w:rPr>
              <w:t>《声环境质量标准》（</w:t>
            </w:r>
            <w:r>
              <w:rPr>
                <w:rFonts w:hint="eastAsia"/>
                <w:b w:val="0"/>
                <w:bCs w:val="0"/>
                <w:sz w:val="21"/>
                <w:szCs w:val="21"/>
                <w:vertAlign w:val="baseline"/>
                <w:lang w:val="en-US" w:eastAsia="zh-CN"/>
              </w:rPr>
              <w:t>GB3096-2008</w:t>
            </w:r>
            <w:r>
              <w:rPr>
                <w:rFonts w:hint="eastAsia"/>
                <w:b w:val="0"/>
                <w:bCs w:val="0"/>
                <w:sz w:val="21"/>
                <w:szCs w:val="21"/>
                <w:vertAlign w:val="baseline"/>
                <w:lang w:eastAsia="zh-CN"/>
              </w:rPr>
              <w:t>）Ⅰ类标准，昼间≤</w:t>
            </w:r>
            <w:r>
              <w:rPr>
                <w:rFonts w:hint="eastAsia"/>
                <w:b w:val="0"/>
                <w:bCs w:val="0"/>
                <w:sz w:val="21"/>
                <w:szCs w:val="21"/>
                <w:vertAlign w:val="baseline"/>
                <w:lang w:val="en-US" w:eastAsia="zh-CN"/>
              </w:rPr>
              <w:t>55</w:t>
            </w:r>
            <w:r>
              <w:rPr>
                <w:rFonts w:hint="default" w:ascii="Times New Roman" w:hAnsi="Times New Roman" w:eastAsia="宋体" w:cs="Times New Roman"/>
                <w:b w:val="0"/>
                <w:bCs w:val="0"/>
                <w:sz w:val="21"/>
                <w:szCs w:val="21"/>
                <w:lang w:val="en-US" w:eastAsia="zh-CN"/>
              </w:rPr>
              <w:t>dB（A）</w:t>
            </w:r>
            <w:r>
              <w:rPr>
                <w:rFonts w:hint="eastAsia" w:ascii="Times New Roman" w:hAnsi="Times New Roman" w:cs="Times New Roman"/>
                <w:b w:val="0"/>
                <w:bCs w:val="0"/>
                <w:sz w:val="21"/>
                <w:szCs w:val="21"/>
                <w:lang w:val="en-US" w:eastAsia="zh-CN"/>
              </w:rPr>
              <w:t>，夜间</w:t>
            </w:r>
            <w:r>
              <w:rPr>
                <w:rFonts w:hint="eastAsia"/>
                <w:b w:val="0"/>
                <w:bCs w:val="0"/>
                <w:sz w:val="21"/>
                <w:szCs w:val="21"/>
                <w:vertAlign w:val="baseline"/>
                <w:lang w:eastAsia="zh-CN"/>
              </w:rPr>
              <w:t>≤</w:t>
            </w:r>
            <w:r>
              <w:rPr>
                <w:rFonts w:hint="eastAsia" w:ascii="Times New Roman" w:hAnsi="Times New Roman" w:cs="Times New Roman"/>
                <w:b w:val="0"/>
                <w:bCs w:val="0"/>
                <w:sz w:val="21"/>
                <w:szCs w:val="21"/>
                <w:lang w:val="en-US" w:eastAsia="zh-CN"/>
              </w:rPr>
              <w:t>45</w:t>
            </w:r>
            <w:r>
              <w:rPr>
                <w:rFonts w:hint="default" w:ascii="Times New Roman" w:hAnsi="Times New Roman" w:eastAsia="宋体" w:cs="Times New Roman"/>
                <w:b w:val="0"/>
                <w:bCs w:val="0"/>
                <w:sz w:val="21"/>
                <w:szCs w:val="21"/>
                <w:lang w:val="en-US" w:eastAsia="zh-CN"/>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N2</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项目南边界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52.1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43.6</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N3</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项目西边界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49.3</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42.8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50.1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42.1</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N4</w:t>
            </w:r>
          </w:p>
        </w:tc>
        <w:tc>
          <w:tcPr>
            <w:tcW w:w="1548"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项目北边界</w:t>
            </w:r>
            <w:r>
              <w:rPr>
                <w:rFonts w:hint="eastAsia"/>
                <w:sz w:val="21"/>
                <w:szCs w:val="21"/>
                <w:vertAlign w:val="baseline"/>
                <w:lang w:val="en-US" w:eastAsia="zh-CN"/>
              </w:rPr>
              <w:t>1m</w:t>
            </w:r>
          </w:p>
        </w:tc>
        <w:tc>
          <w:tcPr>
            <w:tcW w:w="887" w:type="dxa"/>
            <w:tcBorders>
              <w:bottom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49.0</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tcBorders>
              <w:bottom w:val="single" w:color="auto" w:sz="12" w:space="0"/>
            </w:tcBorders>
            <w:noWrap w:val="0"/>
            <w:vAlign w:val="center"/>
          </w:tcPr>
          <w:p>
            <w:pPr>
              <w:jc w:val="center"/>
              <w:rPr>
                <w:rFonts w:hint="default" w:ascii="Times New Roman" w:hAnsi="Times New Roman" w:eastAsia="宋体" w:cs="Times New Roman"/>
                <w:color w:val="000000"/>
                <w:kern w:val="2"/>
                <w:sz w:val="21"/>
                <w:szCs w:val="21"/>
                <w:lang w:val="en-US" w:eastAsia="zh-CN" w:bidi="ar-SA"/>
              </w:rPr>
            </w:pPr>
            <w:r>
              <w:rPr>
                <w:rFonts w:hint="eastAsia"/>
                <w:color w:val="000000"/>
                <w:sz w:val="21"/>
                <w:szCs w:val="21"/>
                <w:lang w:val="en-US" w:eastAsia="zh-CN"/>
              </w:rPr>
              <w:t>50.9</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olor w:val="000000"/>
                <w:sz w:val="21"/>
                <w:szCs w:val="21"/>
                <w:lang w:val="en-US" w:eastAsia="zh-CN"/>
              </w:rPr>
              <w:t>42.8</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bl>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lang w:eastAsia="zh-CN"/>
        </w:rPr>
        <w:t>综上所述，</w:t>
      </w:r>
      <w:r>
        <w:rPr>
          <w:rFonts w:hint="eastAsia"/>
        </w:rPr>
        <w:t xml:space="preserve">本项目四周边界执行《声环境质量标准》（GB3096-2008）1类标准。从监测结果可知，本项目所在地的声环境质量现状均能满足《声环境质量标准》（GB3096-2008）1类标准的要求，即噪声昼间≤55dB(A)、夜间≤45dB(A)。可见，本项目所在地的声环境现状良好。 </w:t>
      </w:r>
    </w:p>
    <w:p>
      <w:pPr>
        <w:pStyle w:val="4"/>
      </w:pPr>
      <w:bookmarkStart w:id="48" w:name="_Toc15516"/>
      <w:r>
        <w:rPr>
          <w:rFonts w:hint="eastAsia"/>
          <w:lang w:eastAsia="zh-CN"/>
        </w:rPr>
        <w:t>土壤</w:t>
      </w:r>
      <w:r>
        <w:t>环境质量现状调查与评价</w:t>
      </w:r>
      <w:bookmarkEnd w:id="48"/>
    </w:p>
    <w:p>
      <w:pPr>
        <w:pStyle w:val="5"/>
        <w:ind w:firstLine="562"/>
      </w:pPr>
      <w:r>
        <w:rPr>
          <w:rFonts w:hint="eastAsia"/>
          <w:lang w:eastAsia="zh-CN"/>
        </w:rPr>
        <w:t xml:space="preserve">监测布点 </w:t>
      </w:r>
    </w:p>
    <w:p>
      <w:pPr>
        <w:pStyle w:val="9"/>
        <w:rPr>
          <w:rFonts w:hint="eastAsia"/>
        </w:rPr>
      </w:pPr>
      <w:r>
        <w:rPr>
          <w:rFonts w:hint="eastAsia"/>
        </w:rPr>
        <w:t xml:space="preserve">根据《环境影响评价技术导则 土壤环境（试行）》（HJ964-2018），本评价设置3个土壤样点，均在占地范围内，具体如下。 </w:t>
      </w: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eastAsia="宋体" w:cs="Times New Roman"/>
          <w:b/>
          <w:sz w:val="21"/>
          <w:szCs w:val="21"/>
          <w:lang w:val="en-US" w:eastAsia="zh-CN"/>
        </w:rPr>
        <w:t>4.6-1</w:t>
      </w:r>
      <w:r>
        <w:rPr>
          <w:rFonts w:ascii="Times New Roman" w:hAnsi="Times New Roman" w:cs="Times New Roman"/>
          <w:b/>
          <w:sz w:val="21"/>
          <w:szCs w:val="21"/>
        </w:rPr>
        <w:t xml:space="preserve">   </w:t>
      </w:r>
      <w:r>
        <w:rPr>
          <w:rFonts w:hint="eastAsia" w:ascii="Times New Roman" w:hAnsi="Times New Roman" w:eastAsia="宋体" w:cs="Times New Roman"/>
          <w:b/>
          <w:sz w:val="21"/>
          <w:szCs w:val="21"/>
          <w:lang w:eastAsia="zh-CN"/>
        </w:rPr>
        <w:t>土壤</w:t>
      </w:r>
      <w:r>
        <w:rPr>
          <w:rFonts w:ascii="Times New Roman" w:hAnsi="Times New Roman" w:cs="Times New Roman"/>
          <w:b/>
          <w:sz w:val="21"/>
          <w:szCs w:val="21"/>
        </w:rPr>
        <w:t>环境质量现状监测点位布设情况一览表</w:t>
      </w:r>
    </w:p>
    <w:tbl>
      <w:tblPr>
        <w:tblStyle w:val="63"/>
        <w:tblW w:w="0" w:type="auto"/>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515"/>
        <w:gridCol w:w="1286"/>
        <w:gridCol w:w="3349"/>
        <w:gridCol w:w="21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范围</w:t>
            </w:r>
          </w:p>
        </w:tc>
        <w:tc>
          <w:tcPr>
            <w:tcW w:w="1286"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编号</w:t>
            </w:r>
          </w:p>
        </w:tc>
        <w:tc>
          <w:tcPr>
            <w:tcW w:w="3349"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经纬度</w:t>
            </w:r>
          </w:p>
        </w:tc>
        <w:tc>
          <w:tcPr>
            <w:tcW w:w="2153" w:type="dxa"/>
            <w:tcBorders>
              <w:left w:val="single" w:color="000000" w:sz="4" w:space="0"/>
              <w:bottom w:val="single" w:color="000000" w:sz="12"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vMerge w:val="restart"/>
            <w:tcBorders>
              <w:top w:val="single" w:color="000000" w:sz="12" w:space="0"/>
              <w:left w:val="nil"/>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占地范围内</w:t>
            </w:r>
          </w:p>
        </w:tc>
        <w:tc>
          <w:tcPr>
            <w:tcW w:w="1286"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T1</w:t>
            </w:r>
          </w:p>
        </w:tc>
        <w:tc>
          <w:tcPr>
            <w:tcW w:w="3349"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E113.704076，N25.190942</w:t>
            </w:r>
          </w:p>
        </w:tc>
        <w:tc>
          <w:tcPr>
            <w:tcW w:w="2153" w:type="dxa"/>
            <w:tcBorders>
              <w:top w:val="single" w:color="000000" w:sz="12"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6"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T2</w:t>
            </w:r>
          </w:p>
        </w:tc>
        <w:tc>
          <w:tcPr>
            <w:tcW w:w="3349"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E113.707509，N25.192806</w:t>
            </w:r>
          </w:p>
        </w:tc>
        <w:tc>
          <w:tcPr>
            <w:tcW w:w="2153" w:type="dxa"/>
            <w:tcBorders>
              <w:top w:val="single" w:color="000000" w:sz="4"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83"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T3</w:t>
            </w:r>
          </w:p>
        </w:tc>
        <w:tc>
          <w:tcPr>
            <w:tcW w:w="3349"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E113.703475，N25.193933</w:t>
            </w:r>
          </w:p>
        </w:tc>
        <w:tc>
          <w:tcPr>
            <w:tcW w:w="2153" w:type="dxa"/>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bl>
    <w:p>
      <w:pPr>
        <w:keepNext w:val="0"/>
        <w:keepLines w:val="0"/>
        <w:pageBreakBefore w:val="0"/>
        <w:widowControl/>
        <w:kinsoku/>
        <w:wordWrap/>
        <w:overflowPunct/>
        <w:topLinePunct w:val="0"/>
        <w:autoSpaceDE w:val="0"/>
        <w:autoSpaceDN w:val="0"/>
        <w:bidi w:val="0"/>
        <w:adjustRightInd w:val="0"/>
        <w:snapToGrid/>
        <w:spacing w:line="360" w:lineRule="auto"/>
        <w:jc w:val="left"/>
        <w:textAlignment w:val="auto"/>
      </w:pPr>
      <w:r>
        <w:drawing>
          <wp:inline distT="0" distB="0" distL="114300" distR="114300">
            <wp:extent cx="5229225" cy="4457700"/>
            <wp:effectExtent l="0" t="0" r="13335" b="7620"/>
            <wp:docPr id="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pic:cNvPicPr>
                      <a:picLocks noChangeAspect="1"/>
                    </pic:cNvPicPr>
                  </pic:nvPicPr>
                  <pic:blipFill>
                    <a:blip r:embed="rId78"/>
                    <a:stretch>
                      <a:fillRect/>
                    </a:stretch>
                  </pic:blipFill>
                  <pic:spPr>
                    <a:xfrm>
                      <a:off x="0" y="0"/>
                      <a:ext cx="5229225" cy="4457700"/>
                    </a:xfrm>
                    <a:prstGeom prst="rect">
                      <a:avLst/>
                    </a:prstGeom>
                    <a:noFill/>
                    <a:ln>
                      <a:noFill/>
                    </a:ln>
                  </pic:spPr>
                </pic:pic>
              </a:graphicData>
            </a:graphic>
          </wp:inline>
        </w:drawing>
      </w:r>
    </w:p>
    <w:p>
      <w:pPr>
        <w:keepNext w:val="0"/>
        <w:keepLines w:val="0"/>
        <w:pageBreakBefore w:val="0"/>
        <w:widowControl/>
        <w:kinsoku/>
        <w:wordWrap/>
        <w:overflowPunct/>
        <w:topLinePunct w:val="0"/>
        <w:autoSpaceDE w:val="0"/>
        <w:autoSpaceDN w:val="0"/>
        <w:bidi w:val="0"/>
        <w:adjustRightInd w:val="0"/>
        <w:snapToGrid/>
        <w:spacing w:line="360" w:lineRule="auto"/>
        <w:jc w:val="center"/>
        <w:textAlignment w:val="auto"/>
        <w:rPr>
          <w:rFonts w:hint="eastAsia"/>
          <w:lang w:val="en-US" w:eastAsia="zh-CN"/>
        </w:rPr>
      </w:pPr>
      <w:r>
        <w:rPr>
          <w:rFonts w:hint="eastAsia" w:eastAsia="宋体"/>
          <w:b/>
          <w:bCs/>
          <w:sz w:val="21"/>
          <w:szCs w:val="21"/>
          <w:lang w:eastAsia="zh-CN"/>
        </w:rPr>
        <w:t>图</w:t>
      </w:r>
      <w:r>
        <w:rPr>
          <w:rFonts w:hint="eastAsia" w:eastAsia="宋体"/>
          <w:b/>
          <w:bCs/>
          <w:sz w:val="21"/>
          <w:szCs w:val="21"/>
          <w:lang w:val="en-US" w:eastAsia="zh-CN"/>
        </w:rPr>
        <w:t>4.6-1   土壤环境监测点位示意图</w:t>
      </w:r>
    </w:p>
    <w:p>
      <w:pPr>
        <w:pStyle w:val="5"/>
        <w:ind w:firstLine="562"/>
      </w:pPr>
      <w:r>
        <w:rPr>
          <w:rFonts w:hint="eastAsia"/>
          <w:lang w:eastAsia="zh-CN"/>
        </w:rPr>
        <w:t xml:space="preserve">监测项目 </w:t>
      </w:r>
    </w:p>
    <w:p>
      <w:pPr>
        <w:pStyle w:val="9"/>
        <w:rPr>
          <w:rFonts w:hint="eastAsia"/>
        </w:rPr>
      </w:pPr>
      <w:r>
        <w:rPr>
          <w:rFonts w:hint="eastAsia"/>
        </w:rPr>
        <w:t xml:space="preserve">监测项目包括pH、镉、汞、砷、铅、铬、铜、镍、锌共9项。 </w:t>
      </w:r>
    </w:p>
    <w:p>
      <w:pPr>
        <w:pStyle w:val="5"/>
        <w:ind w:firstLine="562"/>
      </w:pPr>
      <w:r>
        <w:rPr>
          <w:rFonts w:hint="eastAsia"/>
          <w:lang w:eastAsia="zh-CN"/>
        </w:rPr>
        <w:t xml:space="preserve">监测时间和频率 </w:t>
      </w:r>
    </w:p>
    <w:p>
      <w:pPr>
        <w:pStyle w:val="9"/>
        <w:rPr>
          <w:rFonts w:hint="eastAsia"/>
        </w:rPr>
      </w:pPr>
      <w:r>
        <w:rPr>
          <w:rFonts w:hint="eastAsia"/>
          <w:lang w:val="en-US" w:eastAsia="zh-CN"/>
        </w:rPr>
        <w:t>一次性采样。</w:t>
      </w:r>
    </w:p>
    <w:p>
      <w:pPr>
        <w:pStyle w:val="5"/>
        <w:ind w:firstLine="562"/>
      </w:pPr>
      <w:r>
        <w:rPr>
          <w:rFonts w:hint="eastAsia"/>
          <w:lang w:eastAsia="zh-CN"/>
        </w:rPr>
        <w:t xml:space="preserve">监测与分析方法 </w:t>
      </w:r>
    </w:p>
    <w:p>
      <w:pPr>
        <w:pStyle w:val="9"/>
        <w:rPr>
          <w:rFonts w:hint="eastAsia"/>
        </w:rPr>
      </w:pPr>
      <w:r>
        <w:rPr>
          <w:rFonts w:hint="eastAsia"/>
        </w:rPr>
        <w:t>各监测因子的监测方法见下表。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4.6-2  土壤分析方法和检出限</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4"/>
        <w:gridCol w:w="21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pH值</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电位法</w:t>
            </w:r>
            <w:r>
              <w:rPr>
                <w:rFonts w:hint="eastAsia"/>
                <w:sz w:val="21"/>
                <w:szCs w:val="21"/>
                <w:vertAlign w:val="baseline"/>
                <w:lang w:val="en-US" w:eastAsia="zh-CN"/>
              </w:rPr>
              <w:t>HJ962-2018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0-14（无量纲）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砷</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原子荧光法</w:t>
            </w:r>
            <w:r>
              <w:rPr>
                <w:rFonts w:hint="eastAsia"/>
                <w:sz w:val="21"/>
                <w:szCs w:val="21"/>
                <w:vertAlign w:val="baseline"/>
                <w:lang w:val="en-US" w:eastAsia="zh-CN"/>
              </w:rPr>
              <w:t>GB/T22105.2-2008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汞</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原子荧光法</w:t>
            </w:r>
            <w:r>
              <w:rPr>
                <w:rFonts w:hint="eastAsia"/>
                <w:sz w:val="21"/>
                <w:szCs w:val="21"/>
                <w:vertAlign w:val="baseline"/>
                <w:lang w:val="en-US" w:eastAsia="zh-CN"/>
              </w:rPr>
              <w:t>GB/T22105.1-2008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0.002mg/kg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铅</w:t>
            </w:r>
          </w:p>
        </w:tc>
        <w:tc>
          <w:tcPr>
            <w:tcW w:w="4124"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石墨炉原子吸收分光光度法</w:t>
            </w:r>
            <w:r>
              <w:rPr>
                <w:rFonts w:hint="eastAsia"/>
                <w:sz w:val="21"/>
                <w:szCs w:val="21"/>
                <w:vertAlign w:val="baseline"/>
                <w:lang w:val="en-US" w:eastAsia="zh-CN"/>
              </w:rPr>
              <w:t>GB/T17141-1997</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镉</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镍</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3mg/kg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锌</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铬</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4mg/kg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bl>
    <w:p>
      <w:pPr>
        <w:pStyle w:val="5"/>
        <w:ind w:firstLine="562"/>
      </w:pPr>
      <w:r>
        <w:rPr>
          <w:rFonts w:hint="eastAsia"/>
          <w:lang w:eastAsia="zh-CN"/>
        </w:rPr>
        <w:t xml:space="preserve">监测结果及评价 </w:t>
      </w:r>
    </w:p>
    <w:p>
      <w:pPr>
        <w:pStyle w:val="9"/>
        <w:rPr>
          <w:rFonts w:hint="eastAsia"/>
        </w:rPr>
      </w:pPr>
      <w:r>
        <w:rPr>
          <w:rFonts w:hint="eastAsia"/>
        </w:rPr>
        <w:t>本项目土壤监测结果详见下表。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各测点</w:t>
      </w:r>
      <w:r>
        <w:rPr>
          <w:rFonts w:hint="default" w:ascii="Times New Roman" w:hAnsi="Times New Roman" w:eastAsia="宋体" w:cs="Times New Roman"/>
          <w:b/>
          <w:bCs/>
          <w:sz w:val="21"/>
          <w:szCs w:val="21"/>
          <w:lang w:val="en-US" w:eastAsia="zh-CN"/>
        </w:rPr>
        <w:t>土壤</w:t>
      </w:r>
      <w:r>
        <w:rPr>
          <w:rFonts w:hint="eastAsia" w:ascii="Times New Roman" w:hAnsi="Times New Roman" w:cs="Times New Roman"/>
          <w:b/>
          <w:bCs/>
          <w:sz w:val="21"/>
          <w:szCs w:val="21"/>
          <w:lang w:val="en-US" w:eastAsia="zh-CN"/>
        </w:rPr>
        <w:t>监测结果（单位：mg/kg干土，pH除外）</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1"/>
        <w:gridCol w:w="1909"/>
        <w:gridCol w:w="1420"/>
        <w:gridCol w:w="1420"/>
        <w:gridCol w:w="1421"/>
        <w:gridCol w:w="14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序号</w:t>
            </w:r>
          </w:p>
        </w:tc>
        <w:tc>
          <w:tcPr>
            <w:tcW w:w="1909"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监测项目</w:t>
            </w:r>
          </w:p>
        </w:tc>
        <w:tc>
          <w:tcPr>
            <w:tcW w:w="4261" w:type="dxa"/>
            <w:gridSpan w:val="3"/>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监测结果</w:t>
            </w:r>
          </w:p>
        </w:tc>
        <w:tc>
          <w:tcPr>
            <w:tcW w:w="142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93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909"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T1</w:t>
            </w: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T2</w:t>
            </w:r>
          </w:p>
        </w:tc>
        <w:tc>
          <w:tcPr>
            <w:tcW w:w="1421" w:type="dxa"/>
            <w:tcBorders>
              <w:bottom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T3</w:t>
            </w:r>
          </w:p>
        </w:tc>
        <w:tc>
          <w:tcPr>
            <w:tcW w:w="142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w:t>
            </w:r>
          </w:p>
        </w:tc>
        <w:tc>
          <w:tcPr>
            <w:tcW w:w="1909"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pH值</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4.79</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4.41</w:t>
            </w:r>
          </w:p>
        </w:tc>
        <w:tc>
          <w:tcPr>
            <w:tcW w:w="1421" w:type="dxa"/>
            <w:tcBorders>
              <w:top w:val="single" w:color="auto" w:sz="12" w:space="0"/>
              <w:bottom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4.44</w:t>
            </w:r>
          </w:p>
        </w:tc>
        <w:tc>
          <w:tcPr>
            <w:tcW w:w="142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镉</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0.16</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汞</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0.084</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0.038</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4</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砷</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7.06</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8.33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9.17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5</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铅</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21</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6</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铬</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vertAlign w:val="subscript"/>
                <w:lang w:val="en-US" w:eastAsia="zh-CN"/>
              </w:rPr>
              <w:t>L</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8</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镍</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锌</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11</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gridSpan w:val="2"/>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ascii="Times New Roman" w:hAnsi="Times New Roman" w:eastAsia="宋体" w:cs="Times New Roman"/>
                <w:sz w:val="21"/>
                <w:szCs w:val="21"/>
                <w:vertAlign w:val="baseline"/>
                <w:lang w:val="en-US" w:eastAsia="zh-CN"/>
              </w:rPr>
              <w:t>备注</w:t>
            </w:r>
          </w:p>
        </w:tc>
        <w:tc>
          <w:tcPr>
            <w:tcW w:w="5682" w:type="dxa"/>
            <w:gridSpan w:val="4"/>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宋体" w:hAnsi="宋体" w:eastAsia="宋体" w:cs="宋体"/>
                <w:sz w:val="24"/>
                <w:szCs w:val="24"/>
                <w:lang w:val="en-US" w:eastAsia="zh-CN"/>
              </w:rPr>
              <w:t>L表示低于方法检出限</w:t>
            </w:r>
          </w:p>
        </w:tc>
      </w:tr>
    </w:tbl>
    <w:p>
      <w:pPr>
        <w:pStyle w:val="9"/>
        <w:rPr>
          <w:rFonts w:hint="eastAsia"/>
        </w:rPr>
      </w:pPr>
      <w:r>
        <w:rPr>
          <w:rFonts w:hint="eastAsia"/>
        </w:rPr>
        <w:t>从监测结果可知，本次监测的所有土壤样点中，所有监测因子均满足《土壤环境质量 农用地土壤污染风险管控标准（试行）》（GB15618-2018）筛选值标准，说明本项目所在地土壤环境质量满足相关标准要求。</w:t>
      </w:r>
    </w:p>
    <w:p>
      <w:pPr>
        <w:pStyle w:val="4"/>
      </w:pPr>
      <w:bookmarkStart w:id="49" w:name="_Toc17504"/>
      <w:r>
        <w:t>生态环境质量现状调查与评价</w:t>
      </w:r>
      <w:bookmarkEnd w:id="49"/>
    </w:p>
    <w:p>
      <w:pPr>
        <w:pStyle w:val="9"/>
        <w:rPr>
          <w:rFonts w:hint="eastAsia"/>
        </w:rPr>
      </w:pPr>
      <w:r>
        <w:rPr>
          <w:rFonts w:hint="eastAsia"/>
        </w:rPr>
        <w:t>根据现场踏勘，项目用地现状为低山丘陵山地，评价范围内植物均为广东常见物种，无国家重点保护的植物物种。项目用地内土地类型简单，没有珍惜濒危的野生动植物。</w:t>
      </w:r>
    </w:p>
    <w:p>
      <w:pPr>
        <w:pStyle w:val="9"/>
        <w:rPr>
          <w:rFonts w:hint="eastAsia" w:eastAsia="宋体"/>
          <w:lang w:eastAsia="zh-CN"/>
        </w:rPr>
      </w:pPr>
      <w:r>
        <w:rPr>
          <w:rFonts w:hint="eastAsia"/>
        </w:rPr>
        <w:t>项目周边区域主要现状为山体、耕地等。部分区域主要现状是村庄、道路。周边区域现状用地以缓丘山地为主，东、北部现状为山体，是附近村民的经济林：竹林。林相结构单一，层次不明显，乔木层为单一的松树，覆盖率较高，达50%～70%。竹林高约7m，杆径为3～5cm。南、西部为耕地、少量的居民</w:t>
      </w:r>
      <w:r>
        <w:rPr>
          <w:rFonts w:hint="eastAsia"/>
          <w:lang w:eastAsia="zh-CN"/>
        </w:rPr>
        <w:t>。</w:t>
      </w:r>
    </w:p>
    <w:p>
      <w:pPr>
        <w:pStyle w:val="9"/>
        <w:rPr>
          <w:rFonts w:hint="eastAsia" w:eastAsia="宋体"/>
          <w:lang w:eastAsia="zh-CN"/>
        </w:rPr>
      </w:pPr>
      <w:r>
        <w:rPr>
          <w:rFonts w:hint="eastAsia"/>
        </w:rPr>
        <w:t>由此可见，本建设项目涉及区域生态系统结构简单，物种单一，生物多样性指数较低，因此项目建设对区域生态系统及生物多样性的影响较小</w:t>
      </w:r>
      <w:r>
        <w:rPr>
          <w:rFonts w:hint="eastAsia"/>
          <w:lang w:eastAsia="zh-CN"/>
        </w:rPr>
        <w:t>。</w:t>
      </w:r>
    </w:p>
    <w:tbl>
      <w:tblPr>
        <w:tblStyle w:val="63"/>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361"/>
        <w:gridCol w:w="42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35" w:hRule="atLeast"/>
        </w:trPr>
        <w:tc>
          <w:tcPr>
            <w:tcW w:w="4361" w:type="dxa"/>
          </w:tcPr>
          <w:p>
            <w:pPr>
              <w:pStyle w:val="866"/>
              <w:spacing w:before="4"/>
              <w:jc w:val="left"/>
              <w:rPr>
                <w:b/>
                <w:sz w:val="3"/>
              </w:rPr>
            </w:pPr>
            <w:bookmarkStart w:id="50" w:name="_Toc511676644"/>
          </w:p>
          <w:p>
            <w:pPr>
              <w:pStyle w:val="866"/>
              <w:ind w:left="106"/>
              <w:jc w:val="left"/>
              <w:rPr>
                <w:sz w:val="20"/>
              </w:rPr>
            </w:pPr>
            <w:r>
              <w:rPr>
                <w:sz w:val="20"/>
              </w:rPr>
              <w:drawing>
                <wp:inline distT="0" distB="0" distL="0" distR="0">
                  <wp:extent cx="2659380" cy="1822450"/>
                  <wp:effectExtent l="0" t="0" r="7620" b="6350"/>
                  <wp:docPr id="5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92.jpeg"/>
                          <pic:cNvPicPr>
                            <a:picLocks noChangeAspect="1"/>
                          </pic:cNvPicPr>
                        </pic:nvPicPr>
                        <pic:blipFill>
                          <a:blip r:embed="rId79" cstate="print"/>
                          <a:stretch>
                            <a:fillRect/>
                          </a:stretch>
                        </pic:blipFill>
                        <pic:spPr>
                          <a:xfrm>
                            <a:off x="0" y="0"/>
                            <a:ext cx="2659679" cy="1823084"/>
                          </a:xfrm>
                          <a:prstGeom prst="rect">
                            <a:avLst/>
                          </a:prstGeom>
                        </pic:spPr>
                      </pic:pic>
                    </a:graphicData>
                  </a:graphic>
                </wp:inline>
              </w:drawing>
            </w:r>
          </w:p>
        </w:tc>
        <w:tc>
          <w:tcPr>
            <w:tcW w:w="4253" w:type="dxa"/>
          </w:tcPr>
          <w:p>
            <w:pPr>
              <w:pStyle w:val="866"/>
              <w:jc w:val="left"/>
              <w:rPr>
                <w:b/>
                <w:sz w:val="4"/>
              </w:rPr>
            </w:pPr>
          </w:p>
          <w:p>
            <w:pPr>
              <w:pStyle w:val="866"/>
              <w:ind w:left="214"/>
              <w:jc w:val="left"/>
              <w:rPr>
                <w:sz w:val="20"/>
              </w:rPr>
            </w:pPr>
            <w:r>
              <w:rPr>
                <w:sz w:val="20"/>
              </w:rPr>
              <w:drawing>
                <wp:inline distT="0" distB="0" distL="0" distR="0">
                  <wp:extent cx="2423160" cy="1793875"/>
                  <wp:effectExtent l="0" t="0" r="15240" b="15875"/>
                  <wp:docPr id="20"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3.jpeg"/>
                          <pic:cNvPicPr>
                            <a:picLocks noChangeAspect="1"/>
                          </pic:cNvPicPr>
                        </pic:nvPicPr>
                        <pic:blipFill>
                          <a:blip r:embed="rId80" cstate="print"/>
                          <a:stretch>
                            <a:fillRect/>
                          </a:stretch>
                        </pic:blipFill>
                        <pic:spPr>
                          <a:xfrm>
                            <a:off x="0" y="0"/>
                            <a:ext cx="2423435" cy="1793938"/>
                          </a:xfrm>
                          <a:prstGeom prst="rect">
                            <a:avLst/>
                          </a:prstGeom>
                        </pic:spPr>
                      </pic:pic>
                    </a:graphicData>
                  </a:graphic>
                </wp:inline>
              </w:drawing>
            </w:r>
          </w:p>
        </w:tc>
      </w:tr>
    </w:tbl>
    <w:p>
      <w:pPr>
        <w:pStyle w:val="20"/>
        <w:rPr>
          <w:rFonts w:hint="eastAsia" w:eastAsia="宋体"/>
          <w:lang w:eastAsia="zh-CN"/>
        </w:rPr>
        <w:sectPr>
          <w:footerReference r:id="rId1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t xml:space="preserve">图 </w:t>
      </w:r>
      <w:r>
        <w:rPr>
          <w:rFonts w:ascii="Times New Roman" w:eastAsia="Times New Roman"/>
        </w:rPr>
        <w:t xml:space="preserve">5.7-1  </w:t>
      </w:r>
      <w:r>
        <w:t>项目周边的植被</w:t>
      </w:r>
      <w:r>
        <w:rPr>
          <w:rFonts w:hint="eastAsia"/>
          <w:lang w:eastAsia="zh-CN"/>
        </w:rPr>
        <w:t>情况</w:t>
      </w:r>
    </w:p>
    <w:bookmarkEnd w:id="50"/>
    <w:p>
      <w:pPr>
        <w:pStyle w:val="3"/>
        <w:jc w:val="center"/>
      </w:pPr>
      <w:bookmarkStart w:id="51" w:name="_Toc346282515"/>
      <w:bookmarkStart w:id="52" w:name="_Toc29769"/>
      <w:r>
        <w:t>环境影响预测与</w:t>
      </w:r>
      <w:bookmarkEnd w:id="51"/>
      <w:r>
        <w:rPr>
          <w:rFonts w:hint="eastAsia"/>
          <w:lang w:eastAsia="zh-CN"/>
        </w:rPr>
        <w:t>评价</w:t>
      </w:r>
      <w:bookmarkEnd w:id="52"/>
    </w:p>
    <w:p>
      <w:pPr>
        <w:pStyle w:val="4"/>
      </w:pPr>
      <w:bookmarkStart w:id="53" w:name="_Toc13604"/>
      <w:bookmarkStart w:id="54" w:name="_Toc346282516"/>
      <w:r>
        <w:t>施工期环境影响评价</w:t>
      </w:r>
      <w:bookmarkEnd w:id="53"/>
    </w:p>
    <w:bookmarkEnd w:id="54"/>
    <w:p>
      <w:pPr>
        <w:pStyle w:val="9"/>
      </w:pPr>
      <w:bookmarkStart w:id="55" w:name="_Toc346282517"/>
      <w:bookmarkStart w:id="56" w:name="_Ref342579701"/>
      <w:r>
        <w:rPr>
          <w:rFonts w:hint="eastAsia"/>
        </w:rPr>
        <w:t xml:space="preserve">项目施工期间的环境影响因素主要有施工扬尘、施工机械与运输车辆机车尾气、施工废水、施工人员生活污水、施工噪声、物料运输交通噪声、废弃土石方、施工建筑垃圾以及施工人员生产垃圾等，这些污染物均会对周围环境造成不同程度的影响。 </w:t>
      </w:r>
    </w:p>
    <w:p>
      <w:pPr>
        <w:pStyle w:val="5"/>
        <w:ind w:firstLine="562"/>
      </w:pPr>
      <w:r>
        <w:rPr>
          <w:rFonts w:hint="eastAsia"/>
          <w:lang w:eastAsia="zh-CN"/>
        </w:rPr>
        <w:t>施工期大气环境影响分析</w:t>
      </w:r>
    </w:p>
    <w:p>
      <w:pPr>
        <w:pStyle w:val="9"/>
        <w:rPr>
          <w:rFonts w:hint="eastAsia"/>
          <w:lang w:eastAsia="zh-CN"/>
        </w:rPr>
      </w:pPr>
      <w:r>
        <w:rPr>
          <w:rFonts w:hint="eastAsia"/>
          <w:lang w:eastAsia="zh-CN"/>
        </w:rPr>
        <w:t xml:space="preserve"> 项目施工期对空气环境产生影响的作业环节有：土石方挖填、场地平整、材料运输、装卸与堆存以及施工机械、运输车辆排放的机车尾气，主要污染物有扬尘、二氧化氮、一氧化碳等。 </w:t>
      </w:r>
    </w:p>
    <w:p>
      <w:pPr>
        <w:pStyle w:val="6"/>
        <w:rPr>
          <w:rFonts w:hint="eastAsia"/>
        </w:rPr>
      </w:pPr>
      <w:r>
        <w:rPr>
          <w:rFonts w:hint="eastAsia"/>
          <w:lang w:eastAsia="zh-CN"/>
        </w:rPr>
        <w:t>施工扬尘</w:t>
      </w:r>
    </w:p>
    <w:p>
      <w:pPr>
        <w:pStyle w:val="9"/>
        <w:rPr>
          <w:rFonts w:hint="eastAsia"/>
          <w:lang w:eastAsia="zh-CN"/>
        </w:rPr>
      </w:pPr>
      <w:r>
        <w:rPr>
          <w:rFonts w:hint="eastAsia"/>
          <w:lang w:eastAsia="zh-CN"/>
        </w:rPr>
        <w:t xml:space="preserve">施工期扬尘主要产生于土石方开挖调运、平整土地、弃土、建材采购运输、装卸、堆放、拌和等作业，使空气中总悬浮颗粒物含量增加，对周边大气环境产生一定的影响。 项目施工期间扬尘按其原因主要为风力扬尘和动力扬尘，其中风力起尘主要是由于露天堆放的建材（如砂石、临时堆土等）及裸露的施工区表层浮尘因天气干燥及大风，产生风力扬尘；而动力扬尘，主要是在建材的装卸、搅拌过程中，由于外力而产生的尘粒再悬浮而造成，其中施工及装卸车辆造成的扬尘最为严重。 </w:t>
      </w:r>
    </w:p>
    <w:p>
      <w:pPr>
        <w:pStyle w:val="9"/>
        <w:rPr>
          <w:rFonts w:hint="eastAsia"/>
          <w:lang w:eastAsia="zh-CN"/>
        </w:rPr>
      </w:pPr>
      <w:r>
        <w:rPr>
          <w:rFonts w:hint="eastAsia"/>
          <w:lang w:eastAsia="zh-CN"/>
        </w:rPr>
        <w:t xml:space="preserve">根据国内外的有关研究资料，施工扬尘的排放源属于无组织的面源，其起尘量 与许多因素有关，工程建设的挖土机等在工作时的起尘量与挖坑深度、挖土机抓斗 与地面的相对高度、风速、土壤的颗粒度、土壤含水量等有关。地面上的粉尘，在环境风速足够大时（大于颗粒土沙的起动速度时）就产生了扬尘，其源强大小与颗粒物的粒径大小、比重，以及环境的风速、湿度等因素有关，风速越大，颗粒越小，土沙的含水率越小，扬尘的含水率越小，扬尘的产生量就越大。 </w:t>
      </w:r>
    </w:p>
    <w:p>
      <w:pPr>
        <w:pStyle w:val="9"/>
      </w:pPr>
      <w:r>
        <w:rPr>
          <w:rFonts w:hint="eastAsia"/>
          <w:lang w:eastAsia="zh-CN"/>
        </w:rPr>
        <w:t>施工现场的扬尘大小与施工现场的条件、管理水平、机械化强度及施工季节、 建设地区土质及天气情况等诸多因素有关。本评价以某建筑工地施工现场扬尘监测数据为例，采用类比法对施工过程可能产生的扬尘影响进行分析，扬尘浓度随距离变化情况见表</w:t>
      </w:r>
      <w:r>
        <w:rPr>
          <w:rFonts w:hint="eastAsia"/>
          <w:lang w:val="en-US" w:eastAsia="zh-CN"/>
        </w:rPr>
        <w:t>5</w:t>
      </w:r>
      <w:r>
        <w:rPr>
          <w:rFonts w:hint="eastAsia"/>
          <w:lang w:eastAsia="zh-CN"/>
        </w:rPr>
        <w:t>.1-1。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5.1-1  施工现场扬尘随距离变化的浓度分布一览表   单位：mg/m</w:t>
      </w:r>
      <w:r>
        <w:rPr>
          <w:rFonts w:hint="eastAsia"/>
          <w:b/>
          <w:bCs/>
          <w:sz w:val="21"/>
          <w:szCs w:val="21"/>
          <w:vertAlign w:val="superscript"/>
          <w:lang w:val="en-US" w:eastAsia="zh-CN"/>
        </w:rPr>
        <w:t>3</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207"/>
        <w:gridCol w:w="1415"/>
        <w:gridCol w:w="1415"/>
        <w:gridCol w:w="1415"/>
        <w:gridCol w:w="1415"/>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防尘措施</w:t>
            </w:r>
          </w:p>
        </w:tc>
        <w:tc>
          <w:tcPr>
            <w:tcW w:w="4180"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工地下风向距离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w:t>
            </w:r>
          </w:p>
        </w:tc>
        <w:tc>
          <w:tcPr>
            <w:tcW w:w="60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1.303</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0.402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0.311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0.270</w:t>
            </w:r>
          </w:p>
        </w:tc>
        <w:tc>
          <w:tcPr>
            <w:tcW w:w="71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有围挡措施</w:t>
            </w: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0.824</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0.426</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0.221</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0.215</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0.206</w:t>
            </w:r>
          </w:p>
        </w:tc>
      </w:tr>
    </w:tbl>
    <w:p>
      <w:pPr>
        <w:pStyle w:val="9"/>
      </w:pPr>
    </w:p>
    <w:p>
      <w:pPr>
        <w:pStyle w:val="9"/>
        <w:rPr>
          <w:rFonts w:hint="eastAsia"/>
          <w:lang w:eastAsia="zh-CN"/>
        </w:rPr>
      </w:pPr>
      <w:r>
        <w:rPr>
          <w:rFonts w:hint="eastAsia"/>
          <w:lang w:eastAsia="zh-CN"/>
        </w:rPr>
        <w:t>由表</w:t>
      </w:r>
      <w:r>
        <w:rPr>
          <w:rFonts w:hint="eastAsia"/>
          <w:lang w:val="en-US" w:eastAsia="zh-CN"/>
        </w:rPr>
        <w:t>5</w:t>
      </w:r>
      <w:r>
        <w:rPr>
          <w:rFonts w:hint="eastAsia"/>
          <w:lang w:eastAsia="zh-CN"/>
        </w:rPr>
        <w:t xml:space="preserve">.1-1可知，在无任何防尘措施的情况下，施工现场对周围环境的影响较严重，30m范围内TSP浓度无法达到《大气污染物综合排放标准》（GB16297-1996）无组织排放监控浓度限值（1.0mg/L）；在有围挡措施的情况下，20m范围内TSP浓度可达到《大气污染物综合排放标准》（GB16297-1996）无组织排放监控浓度限值（1.0mg/L）。此外，洒水降尘是抑制扬尘简洁又有效的措施，对施工场地经常洒水保持表土湿润，可使扬尘减少70%左右，可将扬尘影响范围进一步缩小。 </w:t>
      </w:r>
    </w:p>
    <w:p>
      <w:pPr>
        <w:pStyle w:val="6"/>
        <w:rPr>
          <w:rFonts w:hint="eastAsia"/>
        </w:rPr>
      </w:pPr>
      <w:r>
        <w:rPr>
          <w:rFonts w:hint="eastAsia"/>
          <w:lang w:eastAsia="zh-CN"/>
        </w:rPr>
        <w:t>运输扬尘</w:t>
      </w:r>
    </w:p>
    <w:p>
      <w:pPr>
        <w:pStyle w:val="9"/>
        <w:rPr>
          <w:rFonts w:hint="eastAsia"/>
          <w:lang w:eastAsia="zh-CN"/>
        </w:rPr>
      </w:pPr>
      <w:r>
        <w:rPr>
          <w:rFonts w:hint="eastAsia"/>
          <w:lang w:eastAsia="zh-CN"/>
        </w:rPr>
        <w:t>运输产生的扬尘是一个非常重要的污染源，据有关文献，车辆行驶产生的扬尘占总扬尘的60%以上。物料运输车辆在行驶时滚动的车轮产生扬尘，尤其是重型车 辆，产生的扬尘更大，车辆行驶速度越快，产生的扬尘越大，同时，产生的扬尘量与道路的路面情况以及清洁程度有关。表</w:t>
      </w:r>
      <w:r>
        <w:rPr>
          <w:rFonts w:hint="eastAsia"/>
          <w:lang w:val="en-US" w:eastAsia="zh-CN"/>
        </w:rPr>
        <w:t>5</w:t>
      </w:r>
      <w:r>
        <w:rPr>
          <w:rFonts w:hint="eastAsia"/>
          <w:lang w:eastAsia="zh-CN"/>
        </w:rPr>
        <w:t xml:space="preserve">.1-2为一辆10吨卡车，通过一段长度为1千米的路面时，不同路面清洁程度、不同行驶速度情况下的扬尘量。 </w:t>
      </w:r>
    </w:p>
    <w:p>
      <w:pPr>
        <w:pStyle w:val="9"/>
        <w:rPr>
          <w:rFonts w:hint="eastAsia"/>
          <w:lang w:eastAsia="zh-CN"/>
        </w:rPr>
      </w:pPr>
      <w:r>
        <w:rPr>
          <w:rFonts w:hint="eastAsia"/>
          <w:lang w:eastAsia="zh-CN"/>
        </w:rPr>
        <w:t>由</w:t>
      </w:r>
      <w:r>
        <w:rPr>
          <w:rFonts w:hint="eastAsia"/>
          <w:lang w:val="en-US" w:eastAsia="zh-CN"/>
        </w:rPr>
        <w:t>5</w:t>
      </w:r>
      <w:r>
        <w:rPr>
          <w:rFonts w:hint="eastAsia"/>
          <w:lang w:eastAsia="zh-CN"/>
        </w:rPr>
        <w:t>.1-2可知，在同样路面清洁程度条件下，车速越快，扬尘量越大；而在同样 车速情况下，单位面积道路表面粉尘量越大，扬尘量越大，因此，限速行驶及保持路面的清洁是减少汽车扬尘的有效手段。</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5.1-2   在不同车速和地面清洁程度的汽车扬尘   单位：kg/辆·公里</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414"/>
        <w:gridCol w:w="1414"/>
        <w:gridCol w:w="1414"/>
        <w:gridCol w:w="1414"/>
        <w:gridCol w:w="1415"/>
        <w:gridCol w:w="14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sz w:val="21"/>
              </w:rPr>
              <mc:AlternateContent>
                <mc:Choice Requires="wps">
                  <w:drawing>
                    <wp:anchor distT="0" distB="0" distL="114300" distR="114300" simplePos="0" relativeHeight="251670528" behindDoc="0" locked="0" layoutInCell="1" allowOverlap="1">
                      <wp:simplePos x="0" y="0"/>
                      <wp:positionH relativeFrom="column">
                        <wp:posOffset>-48895</wp:posOffset>
                      </wp:positionH>
                      <wp:positionV relativeFrom="paragraph">
                        <wp:posOffset>8890</wp:posOffset>
                      </wp:positionV>
                      <wp:extent cx="848360" cy="330200"/>
                      <wp:effectExtent l="1905" t="4445" r="3175" b="15875"/>
                      <wp:wrapNone/>
                      <wp:docPr id="42" name="直接连接符 42"/>
                      <wp:cNvGraphicFramePr/>
                      <a:graphic xmlns:a="http://schemas.openxmlformats.org/drawingml/2006/main">
                        <a:graphicData uri="http://schemas.microsoft.com/office/word/2010/wordprocessingShape">
                          <wps:wsp>
                            <wps:cNvCnPr/>
                            <wps:spPr>
                              <a:xfrm flipH="1" flipV="1">
                                <a:off x="1094105" y="7031990"/>
                                <a:ext cx="848360" cy="330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3.85pt;margin-top:0.7pt;height:26pt;width:66.8pt;z-index:251670528;mso-width-relative:page;mso-height-relative:page;" filled="f" stroked="t" coordsize="21600,21600" o:gfxdata="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YHURDWAAAABwEAAA8AAAAAAAAAAQAgAAAAIgAAAGRycy9kb3du&#10;cmV2LnhtbFBLAQIUABQAAAAIAIdO4kB/99DbAQIAANcDAAAOAAAAAAAAAAEAIAAAACUBAABkcnMv&#10;ZTJvRG9jLnhtbFBLBQYAAAAABgAGAFkBAACYBQAAAAA=&#10;">
                      <v:fill on="f" focussize="0,0"/>
                      <v:stroke weight="0.5pt" color="#000000 [3213]" miterlimit="8" joinstyle="miter"/>
                      <v:imagedata o:title=""/>
                      <o:lock v:ext="edit" aspectratio="f"/>
                    </v:line>
                  </w:pict>
                </mc:Fallback>
              </mc:AlternateContent>
            </w:r>
            <w:r>
              <w:rPr>
                <w:rFonts w:hint="eastAsia"/>
                <w:sz w:val="21"/>
                <w:szCs w:val="21"/>
                <w:vertAlign w:val="baseline"/>
                <w:lang w:val="en-US" w:eastAsia="zh-CN"/>
              </w:rPr>
              <w:t xml:space="preserve">   P  </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lang w:eastAsia="zh-CN"/>
              </w:rPr>
            </w:pPr>
            <w:r>
              <w:rPr>
                <w:rFonts w:hint="eastAsia"/>
                <w:sz w:val="21"/>
                <w:szCs w:val="21"/>
                <w:vertAlign w:val="baseline"/>
                <w:lang w:eastAsia="zh-CN"/>
              </w:rPr>
              <w:t>车速</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w:t>
            </w:r>
          </w:p>
        </w:tc>
        <w:tc>
          <w:tcPr>
            <w:tcW w:w="71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5（km/h）</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0.051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0.086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0.116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0.144</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0.102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0.341</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0.153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0.257</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0.433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0.512</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20（km/h）</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0.429</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0.582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0.853</w:t>
            </w:r>
          </w:p>
        </w:tc>
        <w:tc>
          <w:tcPr>
            <w:tcW w:w="71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1.435</w:t>
            </w:r>
          </w:p>
        </w:tc>
      </w:tr>
    </w:tbl>
    <w:p>
      <w:pPr>
        <w:pStyle w:val="6"/>
        <w:rPr>
          <w:rFonts w:hint="eastAsia"/>
        </w:rPr>
      </w:pPr>
      <w:r>
        <w:rPr>
          <w:rFonts w:hint="eastAsia"/>
          <w:lang w:eastAsia="zh-CN"/>
        </w:rPr>
        <w:t xml:space="preserve">运输车辆和施工机械尾气 </w:t>
      </w:r>
    </w:p>
    <w:p>
      <w:pPr>
        <w:pStyle w:val="9"/>
        <w:rPr>
          <w:rFonts w:hint="eastAsia"/>
          <w:lang w:eastAsia="zh-CN"/>
        </w:rPr>
      </w:pPr>
      <w:r>
        <w:rPr>
          <w:rFonts w:hint="eastAsia"/>
          <w:lang w:eastAsia="zh-CN"/>
        </w:rPr>
        <w:t>施工使用的各种工程机械（如载重汽车、推土机、挖掘机等）主要以燃油为燃料，加上重型机械的尾气排放量较大，故尾气排放也使本项目所在区域内的大气环境受到污染。尾气中所含的有害物质主要有CO、THC、SO</w:t>
      </w:r>
      <w:r>
        <w:rPr>
          <w:rFonts w:hint="eastAsia"/>
          <w:vertAlign w:val="subscript"/>
          <w:lang w:eastAsia="zh-CN"/>
        </w:rPr>
        <w:t>2</w:t>
      </w:r>
      <w:r>
        <w:rPr>
          <w:rFonts w:hint="eastAsia"/>
          <w:lang w:eastAsia="zh-CN"/>
        </w:rPr>
        <w:t xml:space="preserve">、NOx等，对区域环境空气质量及施工人员产生一定影响。因此施工单位必须使用污染物排放符合国家标准的运输车辆和施工设备，加强设备、车辆的维护保养，使机械、车辆处于良好工作状态，严禁使用报废车辆和淘汰设备，以减少施工对周围环境的影响。 </w:t>
      </w:r>
    </w:p>
    <w:p>
      <w:pPr>
        <w:pStyle w:val="5"/>
        <w:ind w:firstLine="562"/>
      </w:pPr>
      <w:r>
        <w:rPr>
          <w:rFonts w:hint="eastAsia"/>
          <w:lang w:eastAsia="zh-CN"/>
        </w:rPr>
        <w:t>施工期水环境影响分析</w:t>
      </w:r>
    </w:p>
    <w:p>
      <w:pPr>
        <w:pStyle w:val="9"/>
        <w:rPr>
          <w:rFonts w:hint="eastAsia"/>
          <w:lang w:eastAsia="zh-CN"/>
        </w:rPr>
      </w:pPr>
      <w:r>
        <w:rPr>
          <w:rFonts w:hint="eastAsia"/>
          <w:lang w:eastAsia="zh-CN"/>
        </w:rPr>
        <w:t xml:space="preserve">项目施工期废水污染源主要包括各种运输车辆及施工机械所产生的清洗废水、施工过程的建筑排水以及施工人员的生活污水。 </w:t>
      </w:r>
    </w:p>
    <w:p>
      <w:pPr>
        <w:pStyle w:val="6"/>
        <w:rPr>
          <w:rFonts w:hint="eastAsia"/>
        </w:rPr>
      </w:pPr>
      <w:r>
        <w:rPr>
          <w:rFonts w:hint="eastAsia"/>
          <w:lang w:eastAsia="zh-CN"/>
        </w:rPr>
        <w:t xml:space="preserve">施工废水 </w:t>
      </w:r>
    </w:p>
    <w:p>
      <w:pPr>
        <w:pStyle w:val="9"/>
        <w:rPr>
          <w:rFonts w:hint="eastAsia"/>
          <w:lang w:eastAsia="zh-CN"/>
        </w:rPr>
      </w:pPr>
      <w:r>
        <w:rPr>
          <w:rFonts w:hint="eastAsia"/>
          <w:lang w:eastAsia="zh-CN"/>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6"/>
        <w:rPr>
          <w:rFonts w:hint="eastAsia"/>
        </w:rPr>
      </w:pPr>
      <w:r>
        <w:rPr>
          <w:rFonts w:hint="eastAsia"/>
          <w:lang w:eastAsia="zh-CN"/>
        </w:rPr>
        <w:t xml:space="preserve">生活污水 </w:t>
      </w:r>
    </w:p>
    <w:p>
      <w:pPr>
        <w:pStyle w:val="9"/>
        <w:rPr>
          <w:rFonts w:hint="eastAsia"/>
          <w:lang w:eastAsia="zh-CN"/>
        </w:rPr>
      </w:pPr>
      <w:r>
        <w:rPr>
          <w:rFonts w:hint="eastAsia"/>
          <w:lang w:eastAsia="zh-CN"/>
        </w:rPr>
        <w:t>根据建设单位提供的资料，项目施工期为</w:t>
      </w:r>
      <w:r>
        <w:rPr>
          <w:rFonts w:hint="eastAsia"/>
          <w:lang w:val="en-US" w:eastAsia="zh-CN"/>
        </w:rPr>
        <w:t>8</w:t>
      </w:r>
      <w:r>
        <w:rPr>
          <w:rFonts w:hint="eastAsia"/>
          <w:lang w:eastAsia="zh-CN"/>
        </w:rPr>
        <w:t>个月，施工平均人数每天按50人计，生活用水量按80L/人·d计，则生活用水量为4m</w:t>
      </w:r>
      <w:r>
        <w:rPr>
          <w:rFonts w:hint="eastAsia"/>
          <w:vertAlign w:val="superscript"/>
          <w:lang w:eastAsia="zh-CN"/>
        </w:rPr>
        <w:t>3</w:t>
      </w:r>
      <w:r>
        <w:rPr>
          <w:rFonts w:hint="eastAsia"/>
          <w:lang w:eastAsia="zh-CN"/>
        </w:rPr>
        <w:t>/d。生活污水产生量按用水量的80%计，则污水产生量为3.2m</w:t>
      </w:r>
      <w:r>
        <w:rPr>
          <w:rFonts w:hint="eastAsia"/>
          <w:vertAlign w:val="superscript"/>
          <w:lang w:eastAsia="zh-CN"/>
        </w:rPr>
        <w:t>3</w:t>
      </w:r>
      <w:r>
        <w:rPr>
          <w:rFonts w:hint="eastAsia"/>
          <w:lang w:eastAsia="zh-CN"/>
        </w:rPr>
        <w:t>/d。施工生活污水的主要污染因子为COD、BOD、SS和NH</w:t>
      </w:r>
      <w:r>
        <w:rPr>
          <w:rFonts w:hint="eastAsia"/>
          <w:vertAlign w:val="subscript"/>
          <w:lang w:eastAsia="zh-CN"/>
        </w:rPr>
        <w:t>3</w:t>
      </w:r>
      <w:r>
        <w:rPr>
          <w:rFonts w:hint="eastAsia"/>
          <w:lang w:eastAsia="zh-CN"/>
        </w:rPr>
        <w:t>-N等，浓度约为CODCr350mg/L、BOD</w:t>
      </w:r>
      <w:r>
        <w:rPr>
          <w:rFonts w:hint="eastAsia"/>
          <w:vertAlign w:val="subscript"/>
          <w:lang w:eastAsia="zh-CN"/>
        </w:rPr>
        <w:t>5</w:t>
      </w:r>
      <w:r>
        <w:rPr>
          <w:rFonts w:hint="eastAsia"/>
          <w:lang w:eastAsia="zh-CN"/>
        </w:rPr>
        <w:t>200mg/L、SS250mg/L、NH</w:t>
      </w:r>
      <w:r>
        <w:rPr>
          <w:rFonts w:hint="eastAsia"/>
          <w:vertAlign w:val="subscript"/>
          <w:lang w:eastAsia="zh-CN"/>
        </w:rPr>
        <w:t>3</w:t>
      </w:r>
      <w:r>
        <w:rPr>
          <w:rFonts w:hint="eastAsia"/>
          <w:lang w:eastAsia="zh-CN"/>
        </w:rPr>
        <w:t>-N 30mg/L。</w:t>
      </w:r>
      <w:r>
        <w:rPr>
          <w:rFonts w:hint="eastAsia"/>
          <w:lang w:val="en-US" w:eastAsia="zh-CN"/>
        </w:rPr>
        <w:t>施工人员生活污水经化粪池处理后回用绿化。</w:t>
      </w:r>
    </w:p>
    <w:p>
      <w:pPr>
        <w:pStyle w:val="5"/>
        <w:ind w:firstLine="562"/>
      </w:pPr>
      <w:r>
        <w:rPr>
          <w:rFonts w:hint="eastAsia"/>
          <w:lang w:eastAsia="zh-CN"/>
        </w:rPr>
        <w:t xml:space="preserve"> 施工期声环境影响分析</w:t>
      </w:r>
    </w:p>
    <w:p>
      <w:pPr>
        <w:pStyle w:val="6"/>
        <w:rPr>
          <w:rFonts w:hint="eastAsia"/>
        </w:rPr>
      </w:pPr>
      <w:r>
        <w:rPr>
          <w:rFonts w:hint="eastAsia"/>
          <w:lang w:eastAsia="zh-CN"/>
        </w:rPr>
        <w:t xml:space="preserve">施工期主要噪声源分析 </w:t>
      </w:r>
    </w:p>
    <w:p>
      <w:pPr>
        <w:pStyle w:val="9"/>
        <w:rPr>
          <w:rFonts w:hint="eastAsia"/>
          <w:lang w:eastAsia="zh-CN"/>
        </w:rPr>
      </w:pPr>
      <w:r>
        <w:rPr>
          <w:rFonts w:hint="eastAsia"/>
          <w:lang w:eastAsia="zh-CN"/>
        </w:rPr>
        <w:t xml:space="preserve">项目施工期对声环境的影响主要是各种机械噪声和车辆行驶的交通噪声。据对类似工程的监测，大部分机械设备作业噪声值在距声源1.0m处为80~103dB(A)，这些噪声均为间歇性非稳定声源。 </w:t>
      </w:r>
    </w:p>
    <w:p>
      <w:pPr>
        <w:pStyle w:val="6"/>
        <w:rPr>
          <w:rFonts w:hint="eastAsia"/>
        </w:rPr>
      </w:pPr>
      <w:r>
        <w:rPr>
          <w:rFonts w:hint="eastAsia"/>
          <w:lang w:eastAsia="zh-CN"/>
        </w:rPr>
        <w:t xml:space="preserve">预测内容 </w:t>
      </w:r>
    </w:p>
    <w:p>
      <w:pPr>
        <w:pStyle w:val="9"/>
        <w:rPr>
          <w:rFonts w:hint="default"/>
          <w:b/>
          <w:bCs/>
          <w:lang w:val="en-US" w:eastAsia="zh-CN"/>
        </w:rPr>
      </w:pPr>
      <w:r>
        <w:rPr>
          <w:rFonts w:hint="eastAsia"/>
          <w:b/>
          <w:bCs/>
          <w:lang w:val="en-US" w:eastAsia="zh-CN"/>
        </w:rPr>
        <w:t>（1）预测模式</w:t>
      </w:r>
    </w:p>
    <w:p>
      <w:pPr>
        <w:pStyle w:val="9"/>
      </w:pPr>
      <w:r>
        <w:rPr>
          <w:rFonts w:hint="eastAsia"/>
          <w:lang w:eastAsia="zh-CN"/>
        </w:rPr>
        <w:t>施工期间各工场的施工机械噪声可近似作为点声源处理，根据点声源噪声传播衰减模式，可估算施工期间与噪声声源不同距离处的噪声值。预测模式如下：</w:t>
      </w:r>
    </w:p>
    <w:p>
      <w:pPr>
        <w:pStyle w:val="9"/>
        <w:ind w:left="0" w:leftChars="0" w:firstLine="0" w:firstLineChars="0"/>
        <w:jc w:val="center"/>
      </w:pPr>
      <w:r>
        <w:rPr>
          <w:rFonts w:hint="eastAsia"/>
          <w:position w:val="-32"/>
          <w:lang w:eastAsia="zh-CN"/>
        </w:rPr>
        <w:object>
          <v:shape id="_x0000_i1051" o:spt="75" type="#_x0000_t75" style="height:38pt;width:139.95pt;" o:ole="t" filled="f" o:preferrelative="t" stroked="f" coordsize="21600,21600">
            <v:path/>
            <v:fill on="f" focussize="0,0"/>
            <v:stroke on="f"/>
            <v:imagedata r:id="rId82" o:title=""/>
            <o:lock v:ext="edit" aspectratio="t"/>
            <w10:wrap type="none"/>
            <w10:anchorlock/>
          </v:shape>
          <o:OLEObject Type="Embed" ProgID="Equation.KSEE3" ShapeID="_x0000_i1051" DrawAspect="Content" ObjectID="_1468075751" r:id="rId81">
            <o:LockedField>false</o:LockedField>
          </o:OLEObject>
        </w:object>
      </w:r>
    </w:p>
    <w:p>
      <w:pPr>
        <w:pStyle w:val="9"/>
        <w:rPr>
          <w:rFonts w:hint="eastAsia"/>
          <w:lang w:eastAsia="zh-CN"/>
        </w:rPr>
      </w:pPr>
      <w:r>
        <w:rPr>
          <w:rFonts w:hint="eastAsia"/>
          <w:lang w:eastAsia="zh-CN"/>
        </w:rPr>
        <w:t xml:space="preserve">式中： </w:t>
      </w:r>
    </w:p>
    <w:p>
      <w:pPr>
        <w:pStyle w:val="9"/>
        <w:ind w:firstLine="960" w:firstLineChars="400"/>
        <w:rPr>
          <w:rFonts w:hint="eastAsia"/>
          <w:lang w:eastAsia="zh-CN"/>
        </w:rPr>
      </w:pPr>
      <w:r>
        <w:rPr>
          <w:rFonts w:hint="eastAsia"/>
          <w:position w:val="-10"/>
          <w:lang w:eastAsia="zh-CN"/>
        </w:rPr>
        <w:object>
          <v:shape id="_x0000_i1052" o:spt="75" type="#_x0000_t75" style="height:17pt;width:24pt;" o:ole="t" filled="f" o:preferrelative="t" stroked="f" coordsize="21600,21600">
            <v:path/>
            <v:fill on="f" focussize="0,0"/>
            <v:stroke on="f"/>
            <v:imagedata r:id="rId84" o:title=""/>
            <o:lock v:ext="edit" aspectratio="t"/>
            <w10:wrap type="none"/>
            <w10:anchorlock/>
          </v:shape>
          <o:OLEObject Type="Embed" ProgID="Equation.KSEE3" ShapeID="_x0000_i1052" DrawAspect="Content" ObjectID="_1468075752" r:id="rId83">
            <o:LockedField>false</o:LockedField>
          </o:OLEObject>
        </w:object>
      </w:r>
      <w:r>
        <w:rPr>
          <w:rFonts w:hint="eastAsia"/>
          <w:lang w:eastAsia="zh-CN"/>
        </w:rPr>
        <w:t>—为距声源r处的声级，dB(A)；</w:t>
      </w:r>
    </w:p>
    <w:p>
      <w:pPr>
        <w:pStyle w:val="9"/>
        <w:ind w:firstLine="960" w:firstLineChars="400"/>
        <w:rPr>
          <w:rFonts w:hint="eastAsia"/>
          <w:lang w:eastAsia="zh-CN"/>
        </w:rPr>
      </w:pPr>
      <w:r>
        <w:rPr>
          <w:rFonts w:hint="eastAsia"/>
          <w:position w:val="-12"/>
          <w:lang w:eastAsia="zh-CN"/>
        </w:rPr>
        <w:object>
          <v:shape id="_x0000_i1053" o:spt="75" type="#_x0000_t75" style="height:18pt;width:28pt;" o:ole="t" filled="f" o:preferrelative="t" stroked="f" coordsize="21600,21600">
            <v:path/>
            <v:fill on="f" focussize="0,0"/>
            <v:stroke on="f"/>
            <v:imagedata r:id="rId86" o:title=""/>
            <o:lock v:ext="edit" aspectratio="t"/>
            <w10:wrap type="none"/>
            <w10:anchorlock/>
          </v:shape>
          <o:OLEObject Type="Embed" ProgID="Equation.KSEE3" ShapeID="_x0000_i1053" DrawAspect="Content" ObjectID="_1468075753" r:id="rId85">
            <o:LockedField>false</o:LockedField>
          </o:OLEObject>
        </w:object>
      </w:r>
      <w:r>
        <w:rPr>
          <w:rFonts w:hint="eastAsia"/>
          <w:lang w:eastAsia="zh-CN"/>
        </w:rPr>
        <w:t xml:space="preserve">—为距声源r0处的声级，dB(A)； </w:t>
      </w:r>
    </w:p>
    <w:p>
      <w:pPr>
        <w:pStyle w:val="9"/>
        <w:ind w:firstLine="960" w:firstLineChars="400"/>
        <w:rPr>
          <w:rFonts w:hint="eastAsia"/>
          <w:lang w:eastAsia="zh-CN"/>
        </w:rPr>
      </w:pPr>
      <w:r>
        <w:rPr>
          <w:rFonts w:hint="eastAsia"/>
          <w:lang w:eastAsia="zh-CN"/>
        </w:rPr>
        <w:t xml:space="preserve">△L为额外衰减率，dB(A)；本报告取3dB(A)计算。 </w:t>
      </w:r>
    </w:p>
    <w:p>
      <w:pPr>
        <w:pStyle w:val="9"/>
        <w:rPr>
          <w:rFonts w:hint="default"/>
          <w:b/>
          <w:bCs/>
          <w:lang w:val="en-US" w:eastAsia="zh-CN"/>
        </w:rPr>
      </w:pPr>
      <w:r>
        <w:rPr>
          <w:rFonts w:hint="eastAsia"/>
          <w:b/>
          <w:bCs/>
          <w:lang w:val="en-US" w:eastAsia="zh-CN"/>
        </w:rPr>
        <w:t>（2）评价标准</w:t>
      </w:r>
    </w:p>
    <w:p>
      <w:pPr>
        <w:pStyle w:val="9"/>
        <w:rPr>
          <w:rFonts w:hint="eastAsia"/>
          <w:lang w:eastAsia="zh-CN"/>
        </w:rPr>
      </w:pPr>
      <w:r>
        <w:rPr>
          <w:rFonts w:hint="eastAsia"/>
          <w:lang w:eastAsia="zh-CN"/>
        </w:rPr>
        <w:t>施工期声环境评价标准采用《建筑施工场界环境噪声排放标准》（GB12523-2011）；区域声环境质量评价采用《声环境质量标准》（GB3096-2008）</w:t>
      </w:r>
      <w:r>
        <w:rPr>
          <w:rFonts w:hint="eastAsia"/>
          <w:lang w:val="en-US" w:eastAsia="zh-CN"/>
        </w:rPr>
        <w:t>1</w:t>
      </w:r>
      <w:r>
        <w:rPr>
          <w:rFonts w:hint="eastAsia"/>
          <w:lang w:eastAsia="zh-CN"/>
        </w:rPr>
        <w:t xml:space="preserve">类标准。 </w:t>
      </w:r>
    </w:p>
    <w:p>
      <w:pPr>
        <w:pStyle w:val="9"/>
        <w:rPr>
          <w:rFonts w:hint="default"/>
          <w:b/>
          <w:bCs/>
          <w:lang w:val="en-US" w:eastAsia="zh-CN"/>
        </w:rPr>
      </w:pPr>
      <w:r>
        <w:rPr>
          <w:rFonts w:hint="eastAsia"/>
          <w:b/>
          <w:bCs/>
          <w:lang w:val="en-US" w:eastAsia="zh-CN"/>
        </w:rPr>
        <w:t>（3）预测结果</w:t>
      </w:r>
    </w:p>
    <w:p>
      <w:pPr>
        <w:pStyle w:val="9"/>
        <w:rPr>
          <w:rFonts w:hint="eastAsia"/>
          <w:lang w:eastAsia="zh-CN"/>
        </w:rPr>
      </w:pPr>
      <w:r>
        <w:rPr>
          <w:rFonts w:hint="eastAsia"/>
          <w:lang w:eastAsia="zh-CN"/>
        </w:rPr>
        <w:t>各种施工机械正常运行时，与声源不同距离处的噪声预测值见表</w:t>
      </w:r>
      <w:r>
        <w:rPr>
          <w:rFonts w:hint="eastAsia"/>
          <w:lang w:val="en-US" w:eastAsia="zh-CN"/>
        </w:rPr>
        <w:t>5</w:t>
      </w:r>
      <w:r>
        <w:rPr>
          <w:rFonts w:hint="eastAsia"/>
          <w:lang w:eastAsia="zh-CN"/>
        </w:rPr>
        <w:t xml:space="preserve">.1-3。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5.1-3   各施工机械噪声值随距离变化情况表   单位：dB（A）</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9"/>
        <w:gridCol w:w="1305"/>
        <w:gridCol w:w="1236"/>
        <w:gridCol w:w="1113"/>
        <w:gridCol w:w="1113"/>
        <w:gridCol w:w="1185"/>
        <w:gridCol w:w="1167"/>
        <w:gridCol w:w="1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机械名称</w:t>
            </w:r>
          </w:p>
        </w:tc>
        <w:tc>
          <w:tcPr>
            <w:tcW w:w="659" w:type="pct"/>
            <w:vMerge w:val="restar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噪声源强</w:t>
            </w:r>
          </w:p>
        </w:tc>
        <w:tc>
          <w:tcPr>
            <w:tcW w:w="3442"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距声源（</w:t>
            </w:r>
            <w:r>
              <w:rPr>
                <w:rFonts w:hint="eastAsia"/>
                <w:sz w:val="21"/>
                <w:szCs w:val="21"/>
                <w:vertAlign w:val="baseline"/>
                <w:lang w:val="en-US" w:eastAsia="zh-CN"/>
              </w:rPr>
              <w:t>m</w:t>
            </w:r>
            <w:r>
              <w:rPr>
                <w:rFonts w:hint="eastAsia"/>
                <w:sz w:val="21"/>
                <w:szCs w:val="21"/>
                <w:vertAlign w:val="baseline"/>
                <w:lang w:eastAsia="zh-CN"/>
              </w:rPr>
              <w:t>）处的噪声预测值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59" w:type="pct"/>
            <w:vMerge w:val="continue"/>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30m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60m</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挖掘机</w:t>
            </w:r>
          </w:p>
        </w:tc>
        <w:tc>
          <w:tcPr>
            <w:tcW w:w="65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49.4</w:t>
            </w:r>
          </w:p>
        </w:tc>
        <w:tc>
          <w:tcPr>
            <w:tcW w:w="59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45.0</w:t>
            </w:r>
          </w:p>
        </w:tc>
        <w:tc>
          <w:tcPr>
            <w:tcW w:w="58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41.5</w:t>
            </w:r>
          </w:p>
        </w:tc>
        <w:tc>
          <w:tcPr>
            <w:tcW w:w="503"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装载机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推土机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混凝土搅拌机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90</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66.5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54.4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捣振器</w:t>
            </w:r>
          </w:p>
        </w:tc>
        <w:tc>
          <w:tcPr>
            <w:tcW w:w="65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95</w:t>
            </w: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71.5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65.5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59.4</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55.0</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bl>
    <w:p>
      <w:pPr>
        <w:pStyle w:val="9"/>
      </w:pPr>
      <w:r>
        <w:rPr>
          <w:rFonts w:hint="eastAsia"/>
          <w:lang w:eastAsia="zh-CN"/>
        </w:rPr>
        <w:t>从表</w:t>
      </w:r>
      <w:r>
        <w:rPr>
          <w:rFonts w:hint="eastAsia"/>
          <w:lang w:val="en-US" w:eastAsia="zh-CN"/>
        </w:rPr>
        <w:t>5</w:t>
      </w:r>
      <w:r>
        <w:rPr>
          <w:rFonts w:hint="eastAsia"/>
          <w:lang w:eastAsia="zh-CN"/>
        </w:rPr>
        <w:t>.1-3可以看出，各施工机械的噪声经100m距离衰减后，预测值均在70dB(A)以下，达到《建筑施工场界环境噪声排放标准》（GB12523-2011）（昼间）标准。各施工机械的噪声经100m距离衰减后，预测值均在</w:t>
      </w:r>
      <w:r>
        <w:rPr>
          <w:rFonts w:hint="eastAsia"/>
          <w:lang w:val="en-US" w:eastAsia="zh-CN"/>
        </w:rPr>
        <w:t>50</w:t>
      </w:r>
      <w:r>
        <w:rPr>
          <w:rFonts w:hint="eastAsia"/>
          <w:lang w:eastAsia="zh-CN"/>
        </w:rPr>
        <w:t>dB(A)以下，达到《声环境质量标准》（GB3096-2008）</w:t>
      </w:r>
      <w:r>
        <w:rPr>
          <w:rFonts w:hint="eastAsia"/>
          <w:lang w:val="en-US" w:eastAsia="zh-CN"/>
        </w:rPr>
        <w:t>1</w:t>
      </w:r>
      <w:r>
        <w:rPr>
          <w:rFonts w:hint="eastAsia"/>
          <w:lang w:eastAsia="zh-CN"/>
        </w:rPr>
        <w:t>类标准（昼间）标准。本项目养殖场周边500m范围内无居民等敏感点，施工噪声不会对周边居民产生影响。</w:t>
      </w:r>
    </w:p>
    <w:p>
      <w:pPr>
        <w:pStyle w:val="5"/>
        <w:ind w:firstLine="562"/>
      </w:pPr>
      <w:r>
        <w:rPr>
          <w:rFonts w:hint="eastAsia"/>
          <w:lang w:eastAsia="zh-CN"/>
        </w:rPr>
        <w:t xml:space="preserve"> 施工期固体废物影响分析</w:t>
      </w:r>
    </w:p>
    <w:p>
      <w:pPr>
        <w:pStyle w:val="9"/>
      </w:pPr>
      <w:r>
        <w:rPr>
          <w:rFonts w:hint="eastAsia"/>
        </w:rPr>
        <w:t xml:space="preserve">项目施工期固体废物主要包括建筑垃圾、废弃土方和施工人员产生的生活垃圾。 </w:t>
      </w:r>
    </w:p>
    <w:p>
      <w:pPr>
        <w:pStyle w:val="6"/>
        <w:rPr>
          <w:rFonts w:hint="eastAsia"/>
        </w:rPr>
      </w:pPr>
      <w:r>
        <w:rPr>
          <w:rFonts w:hint="eastAsia"/>
          <w:lang w:eastAsia="zh-CN"/>
        </w:rPr>
        <w:t xml:space="preserve">生活垃圾 </w:t>
      </w:r>
    </w:p>
    <w:p>
      <w:pPr>
        <w:pStyle w:val="9"/>
      </w:pPr>
      <w:r>
        <w:rPr>
          <w:rFonts w:hint="eastAsia"/>
        </w:rPr>
        <w:t>项目工地施工人员拟定50人，生活垃圾产生量以1.0kg/(d•人)计，生活垃圾产生量为50kg/d。施工期生活垃圾应采用定点收集方式，设立专门的容器加以收集，并运往附近村屯的生活垃圾处理点处置。</w:t>
      </w:r>
    </w:p>
    <w:bookmarkEnd w:id="55"/>
    <w:bookmarkEnd w:id="56"/>
    <w:p>
      <w:pPr>
        <w:pStyle w:val="6"/>
        <w:rPr>
          <w:rFonts w:hint="eastAsia"/>
        </w:rPr>
      </w:pPr>
      <w:bookmarkStart w:id="57" w:name="_Toc346282518"/>
      <w:r>
        <w:rPr>
          <w:rFonts w:hint="eastAsia"/>
          <w:lang w:eastAsia="zh-CN"/>
        </w:rPr>
        <w:t xml:space="preserve">建筑垃圾 </w:t>
      </w:r>
    </w:p>
    <w:p>
      <w:pPr>
        <w:pStyle w:val="9"/>
      </w:pPr>
      <w:r>
        <w:rPr>
          <w:rFonts w:hint="eastAsia"/>
        </w:rPr>
        <w:t xml:space="preserve">施工期间建筑垃圾对于可以回收利用的，如废金属、废钢筋、废铁丝、废砖块、废木材等应尽量回收利用；其他不能回收利用的建筑材料作为填料用于场地平整，无建筑垃圾外排。建筑垃圾通过合理分类处理后，对环境的影响不大。 </w:t>
      </w:r>
    </w:p>
    <w:p>
      <w:pPr>
        <w:pStyle w:val="6"/>
        <w:rPr>
          <w:rFonts w:hint="eastAsia"/>
        </w:rPr>
      </w:pPr>
      <w:r>
        <w:rPr>
          <w:rFonts w:hint="eastAsia"/>
          <w:lang w:eastAsia="zh-CN"/>
        </w:rPr>
        <w:t xml:space="preserve">废弃土方 </w:t>
      </w:r>
    </w:p>
    <w:p>
      <w:pPr>
        <w:pStyle w:val="8"/>
        <w:rPr>
          <w:rFonts w:hint="eastAsia"/>
        </w:rPr>
      </w:pPr>
      <w:r>
        <w:rPr>
          <w:rFonts w:hint="eastAsia"/>
        </w:rPr>
        <w:t>根据项目总平布置，</w:t>
      </w:r>
      <w:r>
        <w:rPr>
          <w:rFonts w:hint="eastAsia"/>
          <w:color w:val="auto"/>
        </w:rPr>
        <w:t>项目养殖区布设在地势较平坦的</w:t>
      </w:r>
      <w:r>
        <w:rPr>
          <w:rFonts w:hint="eastAsia"/>
          <w:color w:val="auto"/>
          <w:lang w:eastAsia="zh-CN"/>
        </w:rPr>
        <w:t>地方</w:t>
      </w:r>
      <w:r>
        <w:rPr>
          <w:rFonts w:hint="eastAsia"/>
          <w:color w:val="auto"/>
        </w:rPr>
        <w:t>，项</w:t>
      </w:r>
      <w:r>
        <w:rPr>
          <w:rFonts w:hint="eastAsia"/>
        </w:rPr>
        <w:t xml:space="preserve">目土方阶段主要是推平地势较高的区域，将产生的土方填到地势较低的区域，场地内取弃土方量基本平衡，无废弃土方。项目在土方阶段应注重水土保持，积极采取措施，减小项目挖方、填方过程产生的影响。 </w:t>
      </w:r>
    </w:p>
    <w:p>
      <w:pPr>
        <w:pStyle w:val="5"/>
        <w:ind w:firstLine="562"/>
      </w:pPr>
      <w:r>
        <w:rPr>
          <w:rFonts w:hint="eastAsia"/>
          <w:lang w:eastAsia="zh-CN"/>
        </w:rPr>
        <w:t xml:space="preserve"> 施工期生态环境影响分析</w:t>
      </w:r>
    </w:p>
    <w:p>
      <w:pPr>
        <w:pStyle w:val="9"/>
      </w:pPr>
      <w:r>
        <w:rPr>
          <w:rFonts w:hint="eastAsia"/>
        </w:rPr>
        <w:t xml:space="preserve">拟建项目位于乡村区域，现状用地类型以旱地为主，有少量林地。项目施工期要剥离原地表面的覆盖层，对场地进行平整及压实工作，然后进行猪舍、道路、办公生活区、生产辅助设施等建设，成植被破坏、地形改变以及水土流失，对野生动物的生存环境也生成一定的影响。项目建成后，用地类型转变为建筑用地，与周边环境存在一定的介质差异。 </w:t>
      </w:r>
    </w:p>
    <w:p>
      <w:pPr>
        <w:pStyle w:val="6"/>
        <w:rPr>
          <w:rFonts w:hint="eastAsia"/>
        </w:rPr>
      </w:pPr>
      <w:r>
        <w:rPr>
          <w:rFonts w:hint="eastAsia"/>
          <w:lang w:eastAsia="zh-CN"/>
        </w:rPr>
        <w:t xml:space="preserve">对植物的影响 </w:t>
      </w:r>
    </w:p>
    <w:p>
      <w:pPr>
        <w:pStyle w:val="9"/>
      </w:pPr>
      <w:r>
        <w:rPr>
          <w:rFonts w:hint="eastAsia"/>
        </w:rPr>
        <w:t>项目建设用地以旱地为主，有少量林地和荒地。用地区域生态系统属农业生态系统，以人工种植的</w:t>
      </w:r>
      <w:r>
        <w:rPr>
          <w:rFonts w:hint="eastAsia"/>
          <w:lang w:eastAsia="zh-CN"/>
        </w:rPr>
        <w:t>树木</w:t>
      </w:r>
      <w:r>
        <w:rPr>
          <w:rFonts w:hint="eastAsia"/>
        </w:rPr>
        <w:t xml:space="preserve">和自然荒草植被主，没有发现珍稀植物保护物种。项目施工前期进行土地平整，工程用地区域内的原有植被将遭到破坏。项目完工后，通过采用点、线、面相结合的方法，场区功能分区、道路两旁等进行乔、灌、草三结合的绿化，因此，项目建设施工对植物环境不会产生明显的影响。 </w:t>
      </w:r>
    </w:p>
    <w:p>
      <w:pPr>
        <w:pStyle w:val="6"/>
        <w:rPr>
          <w:rFonts w:hint="eastAsia"/>
        </w:rPr>
      </w:pPr>
      <w:r>
        <w:rPr>
          <w:rFonts w:hint="eastAsia"/>
          <w:lang w:eastAsia="zh-CN"/>
        </w:rPr>
        <w:t xml:space="preserve">对野生动物的影响 </w:t>
      </w:r>
    </w:p>
    <w:p>
      <w:pPr>
        <w:pStyle w:val="9"/>
        <w:rPr>
          <w:rFonts w:hint="eastAsia"/>
        </w:rPr>
      </w:pPr>
      <w:r>
        <w:rPr>
          <w:rFonts w:hint="eastAsia"/>
        </w:rPr>
        <w:t xml:space="preserve">项目施工期的工程占地、植被破坏以及施工人员活动挤占、减少了野生动物生存空间，施工噪声使野生动物受惊吓；交通运输、人员来往等活动都对野生动物的栖息地带来不良影响，使野生动物迁徙或逃逸，使生态系统造成一定程度的不可逆的影响。 </w:t>
      </w:r>
    </w:p>
    <w:p>
      <w:pPr>
        <w:pStyle w:val="9"/>
      </w:pPr>
      <w:r>
        <w:rPr>
          <w:rFonts w:hint="eastAsia"/>
        </w:rPr>
        <w:t xml:space="preserve">但项目所在地区域属农业生态系统，人类活动相对较频繁，没有发现大型野生动物，也没有发现保护类动物，且项目建成后，区域植被得到较大的恢复。因此，项目施工对野生动物不会造成明显的影响。 </w:t>
      </w:r>
    </w:p>
    <w:p>
      <w:pPr>
        <w:pStyle w:val="6"/>
        <w:rPr>
          <w:rFonts w:hint="eastAsia"/>
        </w:rPr>
      </w:pPr>
      <w:r>
        <w:rPr>
          <w:rFonts w:hint="eastAsia"/>
          <w:lang w:eastAsia="zh-CN"/>
        </w:rPr>
        <w:t xml:space="preserve">对土壤的影响 </w:t>
      </w:r>
    </w:p>
    <w:p>
      <w:pPr>
        <w:pStyle w:val="9"/>
      </w:pPr>
      <w:r>
        <w:rPr>
          <w:rFonts w:hint="eastAsia"/>
        </w:rPr>
        <w:t xml:space="preserve">工程施工必然会出现大量挖土、弃土和填土，原有自然土壤的结构将受到破坏，抵抗侵蚀能力较强的表层土壤在土石方量中所占的比例很小，土石方填挖过程中的工程土壤结构松散，有机质含量小，抵抗侵蚀的能力也大为减弱，易被冲刷。另外，项目建成后，原有的自然林地土壤部分将会变成硬化的水泥地，改变了土壤原有的结构和特性。 </w:t>
      </w:r>
    </w:p>
    <w:p>
      <w:pPr>
        <w:pStyle w:val="6"/>
        <w:rPr>
          <w:rFonts w:hint="eastAsia"/>
        </w:rPr>
      </w:pPr>
      <w:r>
        <w:rPr>
          <w:rFonts w:hint="eastAsia"/>
          <w:lang w:eastAsia="zh-CN"/>
        </w:rPr>
        <w:t xml:space="preserve">对农业生态系统的影响 </w:t>
      </w:r>
    </w:p>
    <w:p>
      <w:pPr>
        <w:pStyle w:val="9"/>
      </w:pPr>
      <w:r>
        <w:rPr>
          <w:rFonts w:hint="eastAsia"/>
        </w:rPr>
        <w:t>施工期由于水土流失，对工程区</w:t>
      </w:r>
      <w:r>
        <w:rPr>
          <w:rFonts w:hint="eastAsia"/>
          <w:lang w:eastAsia="zh-CN"/>
        </w:rPr>
        <w:t>农田</w:t>
      </w:r>
      <w:r>
        <w:rPr>
          <w:rFonts w:hint="eastAsia"/>
        </w:rPr>
        <w:t>地可能会造成一定的影响，主要是雨季施工场地泥沙中细小的部分随地表径流以</w:t>
      </w:r>
      <w:r>
        <w:rPr>
          <w:rFonts w:hint="default"/>
        </w:rPr>
        <w:t>“</w:t>
      </w:r>
      <w:r>
        <w:rPr>
          <w:rFonts w:hint="eastAsia"/>
        </w:rPr>
        <w:t>黄泥水</w:t>
      </w:r>
      <w:r>
        <w:rPr>
          <w:rFonts w:hint="default"/>
        </w:rPr>
        <w:t>”</w:t>
      </w:r>
      <w:r>
        <w:rPr>
          <w:rFonts w:hint="eastAsia"/>
        </w:rPr>
        <w:t xml:space="preserve">的形式进入甘蔗地，影响土壤的团粒结构，进而影响到农作物的生长；其次是由于车辆运输和机械作业，将产生大量的扬尘，这些扬尘在作物的叶片上聚集，达到一定厚度时将影响到农作物的光合作用，影响农作物的产量和品质。 </w:t>
      </w:r>
    </w:p>
    <w:p>
      <w:pPr>
        <w:pStyle w:val="9"/>
        <w:rPr>
          <w:rFonts w:hint="eastAsia"/>
        </w:rPr>
      </w:pPr>
      <w:r>
        <w:rPr>
          <w:rFonts w:hint="eastAsia"/>
        </w:rPr>
        <w:t xml:space="preserve">项目施工过程中，于场区周围建设截污排水沟，将施工废水、场区雨水拦截并经沉淀处理后回用于场区施工洒水降尘，不能回用部分外排，防止其到处漫流，最大限度地减轻项目施工水土流失对附近甘蔗地生产的影响。另外，在施工场所及主要道路经常洒水降尘，最大限度地减轻项目施工对附近农业生态系统中农作物的影响。 </w:t>
      </w:r>
    </w:p>
    <w:p>
      <w:pPr>
        <w:pStyle w:val="8"/>
        <w:rPr>
          <w:rFonts w:hint="eastAsia"/>
        </w:rPr>
      </w:pPr>
      <w:r>
        <w:rPr>
          <w:rFonts w:hint="eastAsia"/>
        </w:rPr>
        <w:t>综上所述，项目建设破坏了局部的自然地形地貌，改变地表覆盖层，使局部生态系统发生一定的改变；项目建设对区域的动、植物的生存环境产生暂时性的影响，但项目占地面积不大，且项目建设有较大面积的绿化面积，因此，总体而言项目建设其对周边生态环境影响的程度和范围均较小。</w:t>
      </w:r>
    </w:p>
    <w:p>
      <w:pPr>
        <w:pStyle w:val="4"/>
      </w:pPr>
      <w:bookmarkStart w:id="58" w:name="_Toc32704"/>
      <w:bookmarkStart w:id="59" w:name="_Toc20037"/>
      <w:r>
        <w:rPr>
          <w:rFonts w:hint="eastAsia"/>
          <w:lang w:eastAsia="zh-CN"/>
        </w:rPr>
        <w:t>营运期</w:t>
      </w:r>
      <w:r>
        <w:t>环境影响</w:t>
      </w:r>
      <w:r>
        <w:rPr>
          <w:rFonts w:hint="eastAsia"/>
          <w:lang w:eastAsia="zh-CN"/>
        </w:rPr>
        <w:t>分析</w:t>
      </w:r>
      <w:bookmarkEnd w:id="58"/>
      <w:bookmarkEnd w:id="59"/>
    </w:p>
    <w:p>
      <w:pPr>
        <w:pStyle w:val="5"/>
        <w:ind w:firstLine="562"/>
      </w:pPr>
      <w:r>
        <w:rPr>
          <w:rFonts w:hint="eastAsia"/>
          <w:lang w:eastAsia="zh-CN"/>
        </w:rPr>
        <w:t xml:space="preserve"> 营运期环境空气影响分析</w:t>
      </w:r>
    </w:p>
    <w:p>
      <w:pPr>
        <w:pStyle w:val="6"/>
        <w:rPr>
          <w:rFonts w:hint="eastAsia"/>
        </w:rPr>
      </w:pPr>
      <w:r>
        <w:rPr>
          <w:rFonts w:hint="eastAsia"/>
          <w:lang w:eastAsia="zh-CN"/>
        </w:rPr>
        <w:t xml:space="preserve">长期地面气象资料分析  </w:t>
      </w:r>
    </w:p>
    <w:p>
      <w:pPr>
        <w:pStyle w:val="9"/>
        <w:rPr>
          <w:rFonts w:hint="eastAsia"/>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20年（1996-2015年）的气象观测资料统计，其主要气候特征见表5.2-1。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3"/>
        <w:gridCol w:w="4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5.2-2  仁化累年各月平均风速（m/s）、平均气温（℃）</w:t>
      </w:r>
    </w:p>
    <w:tbl>
      <w:tblPr>
        <w:tblStyle w:val="64"/>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1"/>
        <w:gridCol w:w="761"/>
        <w:gridCol w:w="761"/>
        <w:gridCol w:w="761"/>
        <w:gridCol w:w="761"/>
        <w:gridCol w:w="761"/>
        <w:gridCol w:w="761"/>
        <w:gridCol w:w="761"/>
        <w:gridCol w:w="762"/>
        <w:gridCol w:w="762"/>
        <w:gridCol w:w="762"/>
        <w:gridCol w:w="762"/>
        <w:gridCol w:w="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38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6"/>
        <w:gridCol w:w="1139"/>
        <w:gridCol w:w="988"/>
        <w:gridCol w:w="988"/>
        <w:gridCol w:w="988"/>
        <w:gridCol w:w="988"/>
        <w:gridCol w:w="873"/>
        <w:gridCol w:w="889"/>
        <w:gridCol w:w="907"/>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keepNext w:val="0"/>
        <w:keepLines w:val="0"/>
        <w:pageBreakBefore w:val="0"/>
        <w:widowControl w:val="0"/>
        <w:kinsoku/>
        <w:wordWrap/>
        <w:overflowPunct/>
        <w:topLinePunct w:val="0"/>
        <w:autoSpaceDE w:val="0"/>
        <w:autoSpaceDN w:val="0"/>
        <w:bidi w:val="0"/>
        <w:adjustRightInd/>
        <w:snapToGrid/>
        <w:spacing w:before="0" w:beforeLines="50"/>
        <w:ind w:left="105" w:leftChars="50" w:firstLine="0" w:firstLineChars="0"/>
        <w:jc w:val="center"/>
        <w:textAlignment w:val="auto"/>
        <w:rPr>
          <w:rFonts w:hint="eastAsia" w:cs="Times New Roman"/>
          <w:color w:val="000000"/>
          <w:sz w:val="24"/>
          <w:szCs w:val="24"/>
          <w:lang w:eastAsia="zh-CN"/>
        </w:rPr>
      </w:pPr>
      <w:r>
        <w:drawing>
          <wp:inline distT="0" distB="0" distL="114300" distR="114300">
            <wp:extent cx="2353310" cy="2522855"/>
            <wp:effectExtent l="12700" t="12700" r="15240" b="17145"/>
            <wp:docPr id="1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5.2-1   仁化气象站累年各季风向玫瑰图（统计年限：1996-2015年）</w:t>
      </w:r>
    </w:p>
    <w:p>
      <w:pPr>
        <w:pStyle w:val="6"/>
        <w:rPr>
          <w:rFonts w:hint="eastAsia"/>
        </w:rPr>
      </w:pPr>
      <w:r>
        <w:rPr>
          <w:rFonts w:hint="eastAsia"/>
          <w:lang w:eastAsia="zh-CN"/>
        </w:rPr>
        <w:t xml:space="preserve">预测结果  </w:t>
      </w:r>
    </w:p>
    <w:p>
      <w:pPr>
        <w:pStyle w:val="9"/>
        <w:rPr>
          <w:rFonts w:hint="eastAsia"/>
          <w:lang w:val="en-US" w:eastAsia="zh-CN"/>
        </w:rPr>
      </w:pPr>
      <w:r>
        <w:rPr>
          <w:rFonts w:hint="eastAsia"/>
          <w:lang w:val="en-US" w:eastAsia="zh-CN"/>
        </w:rPr>
        <w:t>项目使用估算模式软件AERSCREEN计算评价等级，每个污染源排放的污染物占标率及最大值出现的距离见下表。</w:t>
      </w:r>
    </w:p>
    <w:p>
      <w:pPr>
        <w:pStyle w:val="9"/>
        <w:ind w:left="0" w:leftChars="0" w:firstLine="0" w:firstLineChars="0"/>
        <w:jc w:val="center"/>
      </w:pPr>
      <w:r>
        <w:drawing>
          <wp:inline distT="0" distB="0" distL="114300" distR="114300">
            <wp:extent cx="5272405" cy="4601210"/>
            <wp:effectExtent l="0" t="0" r="4445" b="8890"/>
            <wp:docPr id="1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2"/>
                    <pic:cNvPicPr>
                      <a:picLocks noChangeAspect="1"/>
                    </pic:cNvPicPr>
                  </pic:nvPicPr>
                  <pic:blipFill>
                    <a:blip r:embed="rId87"/>
                    <a:stretch>
                      <a:fillRect/>
                    </a:stretch>
                  </pic:blipFill>
                  <pic:spPr>
                    <a:xfrm>
                      <a:off x="0" y="0"/>
                      <a:ext cx="5272405" cy="4601210"/>
                    </a:xfrm>
                    <a:prstGeom prst="rect">
                      <a:avLst/>
                    </a:prstGeom>
                    <a:noFill/>
                    <a:ln>
                      <a:noFill/>
                    </a:ln>
                  </pic:spPr>
                </pic:pic>
              </a:graphicData>
            </a:graphic>
          </wp:inline>
        </w:drawing>
      </w:r>
    </w:p>
    <w:p>
      <w:pPr>
        <w:pStyle w:val="9"/>
        <w:ind w:left="0" w:leftChars="0" w:firstLine="0" w:firstLineChars="0"/>
        <w:jc w:val="center"/>
        <w:rPr>
          <w:rFonts w:hint="default"/>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5.2-2  AERSCREEN估算模型参数截图</w:t>
      </w:r>
    </w:p>
    <w:p>
      <w:pPr>
        <w:pStyle w:val="9"/>
        <w:ind w:left="0" w:leftChars="0" w:firstLine="0" w:firstLineChars="0"/>
        <w:rPr>
          <w:rFonts w:hint="eastAsia"/>
          <w:lang w:val="en-US" w:eastAsia="zh-CN"/>
        </w:rPr>
      </w:pPr>
      <w:r>
        <w:drawing>
          <wp:inline distT="0" distB="0" distL="114300" distR="114300">
            <wp:extent cx="6147435" cy="3933825"/>
            <wp:effectExtent l="0" t="0" r="9525" b="13335"/>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pic:cNvPicPr>
                      <a:picLocks noChangeAspect="1"/>
                    </pic:cNvPicPr>
                  </pic:nvPicPr>
                  <pic:blipFill>
                    <a:blip r:embed="rId88"/>
                    <a:stretch>
                      <a:fillRect/>
                    </a:stretch>
                  </pic:blipFill>
                  <pic:spPr>
                    <a:xfrm>
                      <a:off x="0" y="0"/>
                      <a:ext cx="6147435" cy="3933825"/>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eastAsia="zh-CN"/>
        </w:rPr>
        <w:t>图</w:t>
      </w:r>
      <w:r>
        <w:rPr>
          <w:rFonts w:hint="default" w:ascii="Times New Roman" w:hAnsi="Times New Roman" w:eastAsia="宋体" w:cs="Times New Roman"/>
          <w:b/>
          <w:bCs/>
          <w:color w:val="auto"/>
          <w:sz w:val="21"/>
          <w:szCs w:val="21"/>
          <w:lang w:val="en-US" w:eastAsia="zh-CN"/>
        </w:rPr>
        <w:t>5.2-3  AERSCREEN估算计算结果截图</w:t>
      </w:r>
    </w:p>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5.2-4 </w:t>
      </w:r>
      <w:r>
        <w:rPr>
          <w:rFonts w:hint="eastAsia" w:ascii="Times New Roman" w:hAnsi="Times New Roman"/>
          <w:b/>
          <w:sz w:val="21"/>
          <w:szCs w:val="21"/>
        </w:rPr>
        <w:t xml:space="preserve"> </w:t>
      </w:r>
      <w:r>
        <w:rPr>
          <w:rFonts w:hint="eastAsia" w:ascii="Times New Roman" w:hAnsi="Times New Roman"/>
          <w:b/>
          <w:sz w:val="21"/>
          <w:szCs w:val="21"/>
          <w:lang w:val="en-US" w:eastAsia="zh-CN"/>
        </w:rPr>
        <w:t>异位发酵床</w:t>
      </w:r>
      <w:r>
        <w:rPr>
          <w:rFonts w:hint="eastAsia" w:ascii="Times New Roman" w:hAnsi="Times New Roman"/>
          <w:b/>
          <w:sz w:val="21"/>
          <w:szCs w:val="21"/>
          <w:lang w:eastAsia="zh-CN"/>
        </w:rPr>
        <w:t>无组织废气正常工况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988"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12.2750</w:t>
            </w:r>
          </w:p>
        </w:tc>
        <w:tc>
          <w:tcPr>
            <w:tcW w:w="744"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6.1375</w:t>
            </w:r>
          </w:p>
        </w:tc>
        <w:tc>
          <w:tcPr>
            <w:tcW w:w="897"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0.6138</w:t>
            </w:r>
          </w:p>
        </w:tc>
        <w:tc>
          <w:tcPr>
            <w:tcW w:w="741" w:type="pct"/>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7.8292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3.9146</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0.3915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3.9146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4.8070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3.5627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1.7813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1.7813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2.8635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1.4318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0.1432</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2.4127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0.1206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2.0819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1.0410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0.1041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1.8390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0.9195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1.6602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0.8301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0.0830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1.5155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0.7578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0.0758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1.3956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0.6978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0.0698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1.2080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0.6040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1.0687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0.5343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0.0534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0.9616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0.4808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0.8760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0.4380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0.8057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0.4029</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0.0403</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0.6727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0.0336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0.5784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0.2892</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0.0289</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0.5075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0.2538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0.0254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0.0226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0.4076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0.3709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0.1855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0.1921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0.1746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0.0873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0.0087</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0.1599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0.0800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0.1474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0.0737</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0.1365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0.1270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988"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0.0937</w:t>
            </w:r>
          </w:p>
        </w:tc>
        <w:tc>
          <w:tcPr>
            <w:tcW w:w="744"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0.0468</w:t>
            </w:r>
          </w:p>
        </w:tc>
        <w:tc>
          <w:tcPr>
            <w:tcW w:w="897"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0.0047</w:t>
            </w:r>
          </w:p>
        </w:tc>
        <w:tc>
          <w:tcPr>
            <w:tcW w:w="741" w:type="pct"/>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0.0735</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0.0368</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16.5040</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0.8252</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26</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5.2-5 </w:t>
      </w:r>
      <w:r>
        <w:rPr>
          <w:rFonts w:hint="eastAsia" w:ascii="Times New Roman" w:hAnsi="Times New Roman"/>
          <w:b/>
          <w:sz w:val="21"/>
          <w:szCs w:val="21"/>
        </w:rPr>
        <w:t xml:space="preserve"> </w:t>
      </w:r>
      <w:r>
        <w:rPr>
          <w:rFonts w:hint="eastAsia" w:ascii="Times New Roman" w:hAnsi="Times New Roman"/>
          <w:b/>
          <w:sz w:val="21"/>
          <w:szCs w:val="21"/>
          <w:lang w:val="en-US" w:eastAsia="zh-CN"/>
        </w:rPr>
        <w:t>猪舍</w:t>
      </w:r>
      <w:r>
        <w:rPr>
          <w:rFonts w:hint="eastAsia" w:ascii="Times New Roman" w:hAnsi="Times New Roman"/>
          <w:b/>
          <w:sz w:val="21"/>
          <w:szCs w:val="21"/>
          <w:lang w:eastAsia="zh-CN"/>
        </w:rPr>
        <w:t>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7.0308</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3.5154</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0.4218</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8.6932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4.3466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0.5216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7.1018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3.5509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0.4261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5.7115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2.8558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3.4269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4.7492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2.3746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0.2850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2.8495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2.0316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2.4379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3.5517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1.7758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0.2131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2.1310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3.1533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1.5767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0.1892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1.8920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2.8353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1.4177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2.6032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1.3016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0.1562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1.5619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1.2045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2.1007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1.0503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1.2604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1.8646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0.9323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1.6808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0.8404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1.5638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0.7819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0.7192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0.0863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1.2010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0.0721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1.0325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0.5162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0.9060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0.4530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0.8072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0.4036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0.7277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0.3638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0.3311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0.0397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0.3430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0.3118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0.1559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0.2855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0.1427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0.0171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0.0158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0.2437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0.1218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0.1134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0.0136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0.1672</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0.0836</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0.0100</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0.1313</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0.0656</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0.0079</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8.7906</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4.3953</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0.5274</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92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5.2-6 </w:t>
      </w:r>
      <w:r>
        <w:rPr>
          <w:rFonts w:hint="eastAsia" w:ascii="Times New Roman" w:hAnsi="Times New Roman"/>
          <w:b/>
          <w:sz w:val="21"/>
          <w:szCs w:val="21"/>
        </w:rPr>
        <w:t xml:space="preserve"> </w:t>
      </w:r>
      <w:r>
        <w:rPr>
          <w:rFonts w:hint="eastAsia" w:ascii="Times New Roman" w:hAnsi="Times New Roman"/>
          <w:b/>
          <w:sz w:val="21"/>
          <w:szCs w:val="21"/>
          <w:lang w:eastAsia="zh-CN"/>
        </w:rPr>
        <w:t>污水处理设施无组织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5.5816</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2.7908</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0.3005</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3.6114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1.8057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0.1945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1.9446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2.2250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1.1125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0.1198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0.0889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0.8889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1.3271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0.6635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1.1145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0.5573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0.9665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0.0520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0.8537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0.4269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0.7707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0.3854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0.7036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0.3518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0.0379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0.6479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0.3239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0.5608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0.4961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0.2481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0.0267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0.2672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0.4464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0.2232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0.4067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0.3740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0.1870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0.3123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0.1562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0.0168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0.2685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0.1343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0.2356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0.1178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0.2099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0.1050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0.0113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0.0861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0.0811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0.0405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0.0742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0.0371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0.0342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0.0634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0.0317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0.0590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0.0295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0.0435</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0.0217</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0.0023</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0.0341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0.0171</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0.0018</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6.7131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3.3565</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0.3615</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32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
        <w:rPr>
          <w:rFonts w:hint="default" w:ascii="Times New Roman" w:hAnsi="Times New Roman" w:eastAsia="宋体" w:cs="Times New Roman"/>
        </w:rPr>
      </w:pPr>
      <w:r>
        <w:rPr>
          <w:rFonts w:hint="default" w:ascii="Times New Roman" w:hAnsi="Times New Roman" w:eastAsia="宋体" w:cs="Times New Roman"/>
        </w:rPr>
        <w:t xml:space="preserve"> 本项目P</w:t>
      </w:r>
      <w:r>
        <w:rPr>
          <w:rFonts w:hint="default" w:ascii="Times New Roman" w:hAnsi="Times New Roman" w:eastAsia="宋体" w:cs="Times New Roman"/>
          <w:vertAlign w:val="subscript"/>
        </w:rPr>
        <w:t>max</w:t>
      </w:r>
      <w:r>
        <w:rPr>
          <w:rFonts w:hint="default" w:ascii="Times New Roman" w:hAnsi="Times New Roman" w:eastAsia="宋体" w:cs="Times New Roman"/>
        </w:rPr>
        <w:t>最大值出现为异位发酵床排放的NH</w:t>
      </w:r>
      <w:r>
        <w:rPr>
          <w:rFonts w:hint="default" w:ascii="Times New Roman" w:hAnsi="Times New Roman" w:eastAsia="宋体" w:cs="Times New Roman"/>
          <w:vertAlign w:val="subscript"/>
        </w:rPr>
        <w:t>3</w:t>
      </w:r>
      <w:r>
        <w:rPr>
          <w:rFonts w:hint="default" w:ascii="Times New Roman" w:hAnsi="Times New Roman" w:eastAsia="宋体" w:cs="Times New Roman"/>
        </w:rPr>
        <w:t>P</w:t>
      </w:r>
      <w:r>
        <w:rPr>
          <w:rFonts w:hint="default" w:ascii="Times New Roman" w:hAnsi="Times New Roman" w:eastAsia="宋体" w:cs="Times New Roman"/>
          <w:vertAlign w:val="subscript"/>
        </w:rPr>
        <w:t>max</w:t>
      </w:r>
      <w:r>
        <w:rPr>
          <w:rFonts w:hint="default" w:ascii="Times New Roman" w:hAnsi="Times New Roman" w:eastAsia="宋体" w:cs="Times New Roman"/>
        </w:rPr>
        <w:t>值为8.252%</w:t>
      </w:r>
      <w:r>
        <w:rPr>
          <w:rFonts w:hint="default" w:ascii="Times New Roman" w:hAnsi="Times New Roman" w:eastAsia="宋体" w:cs="Times New Roman"/>
          <w:lang w:eastAsia="zh-CN"/>
        </w:rPr>
        <w:t>，</w:t>
      </w:r>
      <w:r>
        <w:rPr>
          <w:rFonts w:hint="default" w:ascii="Times New Roman" w:hAnsi="Times New Roman" w:eastAsia="宋体" w:cs="Times New Roman"/>
        </w:rPr>
        <w:t>C</w:t>
      </w:r>
      <w:r>
        <w:rPr>
          <w:rFonts w:hint="default" w:ascii="Times New Roman" w:hAnsi="Times New Roman" w:eastAsia="宋体" w:cs="Times New Roman"/>
          <w:vertAlign w:val="subscript"/>
        </w:rPr>
        <w:t>max</w:t>
      </w:r>
      <w:r>
        <w:rPr>
          <w:rFonts w:hint="default" w:ascii="Times New Roman" w:hAnsi="Times New Roman" w:eastAsia="宋体" w:cs="Times New Roman"/>
        </w:rPr>
        <w:t>为16.504μg/m³，根据《环境影响评价技术导则 大气环境》（HJ2.2-2018）分级判据，确定本项目大气环境影响评价工作等级为二级。</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根据《环境影响评价技术导则 大气环境》（HJ2.2-2018）的要求“一级评价项目应采用进一步预测模型开展大气环境影响预测与评价；二级评价项目不进行进一步预测与评价，只对污染物排放量进行核算；三级评价不进行进一步预测与评价”。本项目为</w:t>
      </w:r>
      <w:r>
        <w:rPr>
          <w:rFonts w:hint="eastAsia" w:ascii="Times New Roman" w:hAnsi="宋体"/>
          <w:color w:val="000000"/>
          <w:kern w:val="2"/>
          <w:sz w:val="24"/>
          <w:szCs w:val="24"/>
          <w:lang w:val="en-US" w:eastAsia="zh-CN" w:bidi="ar-SA"/>
        </w:rPr>
        <w:t>二</w:t>
      </w:r>
      <w:r>
        <w:rPr>
          <w:rFonts w:hint="default" w:ascii="Times New Roman" w:hAnsi="宋体"/>
          <w:color w:val="000000"/>
          <w:kern w:val="2"/>
          <w:sz w:val="24"/>
          <w:szCs w:val="24"/>
          <w:lang w:val="en-US" w:eastAsia="zh-CN" w:bidi="ar-SA"/>
        </w:rPr>
        <w:t>级评价项目，不进行进一步预测与评价</w:t>
      </w:r>
      <w:r>
        <w:rPr>
          <w:rFonts w:hint="eastAsia" w:ascii="Times New Roman" w:hAnsi="宋体"/>
          <w:color w:val="000000"/>
          <w:kern w:val="2"/>
          <w:sz w:val="24"/>
          <w:szCs w:val="24"/>
          <w:lang w:val="en-US" w:eastAsia="zh-CN" w:bidi="ar-SA"/>
        </w:rPr>
        <w:t>，</w:t>
      </w:r>
      <w:r>
        <w:rPr>
          <w:rFonts w:hint="eastAsia" w:ascii="Times New Roman" w:hAnsi="Times New Roman"/>
          <w:bCs/>
          <w:color w:val="auto"/>
          <w:kern w:val="2"/>
          <w:sz w:val="24"/>
          <w:szCs w:val="24"/>
          <w:lang w:val="en-US" w:eastAsia="zh-CN" w:bidi="ar-SA"/>
        </w:rPr>
        <w:t>仅需要对污染物排放量进行核算</w:t>
      </w:r>
      <w:r>
        <w:rPr>
          <w:rFonts w:hint="default" w:ascii="Times New Roman" w:hAnsi="Times New Roman"/>
          <w:bCs/>
          <w:color w:val="auto"/>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项目下风向</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default" w:ascii="Times New Roman" w:hAnsi="宋体"/>
          <w:color w:val="000000"/>
          <w:kern w:val="2"/>
          <w:sz w:val="24"/>
          <w:szCs w:val="24"/>
          <w:lang w:val="en-US" w:eastAsia="zh-CN" w:bidi="ar-SA"/>
        </w:rPr>
        <w:t>最大落地浓度(占标率)为16.50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（8.252%），小于《环境空气质量标准》（GB3095-2012）二级标准</w:t>
      </w:r>
      <w:r>
        <w:rPr>
          <w:rFonts w:hint="eastAsia" w:ascii="Times New Roman" w:hAnsi="宋体"/>
          <w:color w:val="000000"/>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Times New Roman"/>
          <w:bCs/>
          <w:color w:val="auto"/>
          <w:kern w:val="2"/>
          <w:sz w:val="24"/>
          <w:szCs w:val="24"/>
          <w:lang w:val="en-US" w:eastAsia="zh-CN" w:bidi="ar-SA"/>
        </w:rPr>
      </w:pPr>
      <w:r>
        <w:rPr>
          <w:rFonts w:hint="default" w:ascii="Times New Roman" w:hAnsi="Times New Roman"/>
          <w:bCs/>
          <w:color w:val="auto"/>
          <w:kern w:val="2"/>
          <w:sz w:val="24"/>
          <w:szCs w:val="24"/>
          <w:lang w:val="en-US" w:eastAsia="zh-CN" w:bidi="ar-SA"/>
        </w:rPr>
        <w:t>综上所述，项目投入使用后，排放的颗粒物</w:t>
      </w:r>
      <w:r>
        <w:rPr>
          <w:rFonts w:hint="eastAsia" w:ascii="Times New Roman" w:hAnsi="Times New Roman"/>
          <w:bCs/>
          <w:color w:val="auto"/>
          <w:kern w:val="2"/>
          <w:sz w:val="24"/>
          <w:szCs w:val="24"/>
          <w:lang w:val="en-US" w:eastAsia="zh-CN" w:bidi="ar-SA"/>
        </w:rPr>
        <w:t>废气</w:t>
      </w:r>
      <w:r>
        <w:rPr>
          <w:rFonts w:hint="default" w:ascii="Times New Roman" w:hAnsi="Times New Roman"/>
          <w:bCs/>
          <w:color w:val="auto"/>
          <w:kern w:val="2"/>
          <w:sz w:val="24"/>
          <w:szCs w:val="24"/>
          <w:lang w:val="en-US" w:eastAsia="zh-CN" w:bidi="ar-SA"/>
        </w:rPr>
        <w:t>对周围环境空气的环境影响较小</w:t>
      </w:r>
      <w:r>
        <w:rPr>
          <w:rFonts w:hint="eastAsia" w:ascii="Times New Roman" w:hAnsi="Times New Roman"/>
          <w:bCs/>
          <w:color w:val="auto"/>
          <w:kern w:val="2"/>
          <w:sz w:val="24"/>
          <w:szCs w:val="24"/>
          <w:lang w:val="en-US" w:eastAsia="zh-CN" w:bidi="ar-SA"/>
        </w:rPr>
        <w:t>。</w:t>
      </w:r>
    </w:p>
    <w:p>
      <w:pPr>
        <w:pStyle w:val="6"/>
        <w:rPr>
          <w:rFonts w:hint="eastAsia"/>
        </w:rPr>
      </w:pPr>
      <w:r>
        <w:rPr>
          <w:rFonts w:hint="eastAsia"/>
          <w:lang w:eastAsia="zh-CN"/>
        </w:rPr>
        <w:t xml:space="preserve">大气环境防护距离  </w:t>
      </w:r>
    </w:p>
    <w:p>
      <w:pPr>
        <w:pStyle w:val="9"/>
        <w:rPr>
          <w:rFonts w:hint="eastAsia"/>
        </w:rPr>
      </w:pPr>
      <w:r>
        <w:rPr>
          <w:rFonts w:hint="eastAsia"/>
        </w:rPr>
        <w:t>根据《环境影响评价技术导则 大气环境》（HJ2.2-2018），对于项目厂界浓度满足大气污染物厂界浓度限值，但厂界外大气污染物短期贡献浓度超过环境质量浓度限值的，可以自厂界外设置一定范围的大气环境防护区域，以确保大气环境防护区域外的污染物贡献浓度满足环境质量标准。根据估算模式的预测结果，</w:t>
      </w:r>
      <w:r>
        <w:rPr>
          <w:rFonts w:hint="eastAsia"/>
          <w:lang w:val="en-US" w:eastAsia="zh-CN"/>
        </w:rPr>
        <w:t>项目</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eastAsia"/>
          <w:lang w:val="en-US" w:eastAsia="zh-CN"/>
        </w:rPr>
        <w:t>下风向最大落地浓度(占标率)为</w:t>
      </w:r>
      <w:r>
        <w:rPr>
          <w:rFonts w:hint="default" w:ascii="Times New Roman" w:hAnsi="宋体"/>
          <w:color w:val="000000"/>
          <w:kern w:val="2"/>
          <w:sz w:val="24"/>
          <w:szCs w:val="24"/>
          <w:lang w:val="en-US" w:eastAsia="zh-CN" w:bidi="ar-SA"/>
        </w:rPr>
        <w:t>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w:t>
      </w:r>
      <w:r>
        <w:rPr>
          <w:rFonts w:hint="eastAsia"/>
          <w:lang w:val="en-US" w:eastAsia="zh-CN"/>
        </w:rPr>
        <w:t>）</w:t>
      </w:r>
      <w:r>
        <w:rPr>
          <w:rFonts w:hint="eastAsia"/>
        </w:rPr>
        <w:t xml:space="preserve">小于10%，厂界外不存在短期贡献浓度超标点。 </w:t>
      </w:r>
    </w:p>
    <w:p>
      <w:pPr>
        <w:pStyle w:val="864"/>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Cs/>
          <w:color w:val="FF0000"/>
          <w:kern w:val="2"/>
          <w:sz w:val="24"/>
          <w:szCs w:val="24"/>
          <w:lang w:val="en-US" w:eastAsia="zh-CN" w:bidi="ar-SA"/>
        </w:rPr>
      </w:pPr>
      <w:r>
        <w:rPr>
          <w:rFonts w:hint="eastAsia" w:ascii="宋体" w:hAnsi="宋体" w:eastAsia="宋体"/>
          <w:color w:val="000000"/>
          <w:sz w:val="24"/>
          <w:szCs w:val="24"/>
        </w:rPr>
        <w:t>因此，本项目无需设置大气</w:t>
      </w:r>
      <w:r>
        <w:rPr>
          <w:rFonts w:hint="eastAsia" w:ascii="宋体" w:hAnsi="宋体" w:eastAsia="宋体"/>
          <w:color w:val="000000"/>
          <w:sz w:val="24"/>
          <w:szCs w:val="24"/>
          <w:lang w:eastAsia="zh-CN"/>
        </w:rPr>
        <w:t>环境</w:t>
      </w:r>
      <w:r>
        <w:rPr>
          <w:rFonts w:hint="eastAsia" w:ascii="宋体" w:hAnsi="宋体" w:eastAsia="宋体"/>
          <w:color w:val="000000"/>
          <w:sz w:val="24"/>
          <w:szCs w:val="24"/>
        </w:rPr>
        <w:t xml:space="preserve">防护距离。 </w:t>
      </w:r>
    </w:p>
    <w:p>
      <w:pPr>
        <w:pStyle w:val="6"/>
        <w:rPr>
          <w:rFonts w:hint="eastAsia"/>
        </w:rPr>
      </w:pPr>
      <w:r>
        <w:rPr>
          <w:rFonts w:hint="eastAsia"/>
          <w:lang w:eastAsia="zh-CN"/>
        </w:rPr>
        <w:t xml:space="preserve">大气污染物排放量核算  </w:t>
      </w:r>
    </w:p>
    <w:p>
      <w:pPr>
        <w:pStyle w:val="8"/>
        <w:rPr>
          <w:rFonts w:hint="eastAsia"/>
          <w:lang w:val="en-US" w:eastAsia="zh-CN"/>
        </w:rPr>
      </w:pPr>
      <w:r>
        <w:rPr>
          <w:rFonts w:hint="eastAsia"/>
          <w:lang w:val="en-US" w:eastAsia="zh-CN"/>
        </w:rPr>
        <w:t>根据《环境影响评价技术导则 大气环境》（HJ2.2-2018），二级评价项目不进行进一步预测与评价，只对污染物排放量进行核算；三级评价不进行进一步预测与评价”。本项目为二级评价项目，不进行进一步预测与评价，仅需要对污染物排放量进行核算，见表5.2-7。</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eastAsia" w:ascii="Times New Roman" w:hAnsi="Times New Roman" w:cs="Times New Roman"/>
          <w:b/>
          <w:color w:val="000000"/>
          <w:sz w:val="21"/>
          <w:szCs w:val="21"/>
          <w:lang w:eastAsia="zh-CN"/>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7</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无组织排放量核算表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2"/>
        <w:gridCol w:w="743"/>
        <w:gridCol w:w="1498"/>
        <w:gridCol w:w="765"/>
        <w:gridCol w:w="6"/>
        <w:gridCol w:w="987"/>
        <w:gridCol w:w="2649"/>
        <w:gridCol w:w="1341"/>
        <w:gridCol w:w="6"/>
        <w:gridCol w:w="1319"/>
        <w:gridCol w:w="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序号</w:t>
            </w:r>
          </w:p>
        </w:tc>
        <w:tc>
          <w:tcPr>
            <w:tcW w:w="375"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排放口编号</w:t>
            </w:r>
          </w:p>
        </w:tc>
        <w:tc>
          <w:tcPr>
            <w:tcW w:w="75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产污环节</w:t>
            </w:r>
          </w:p>
        </w:tc>
        <w:tc>
          <w:tcPr>
            <w:tcW w:w="38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污染物</w:t>
            </w:r>
          </w:p>
        </w:tc>
        <w:tc>
          <w:tcPr>
            <w:tcW w:w="501" w:type="pct"/>
            <w:gridSpan w:val="2"/>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主要污染防治措施</w:t>
            </w:r>
          </w:p>
        </w:tc>
        <w:tc>
          <w:tcPr>
            <w:tcW w:w="2014" w:type="pct"/>
            <w:gridSpan w:val="2"/>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国家或地方污染物排放标准</w:t>
            </w:r>
          </w:p>
        </w:tc>
        <w:tc>
          <w:tcPr>
            <w:tcW w:w="669" w:type="pct"/>
            <w:gridSpan w:val="2"/>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年排放量</w:t>
            </w:r>
          </w:p>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w:t>
            </w:r>
            <w:r>
              <w:rPr>
                <w:rFonts w:hint="default" w:ascii="Times New Roman" w:hAnsi="Times New Roman" w:eastAsia="宋体" w:cs="Times New Roman"/>
                <w:b w:val="0"/>
                <w:bCs/>
                <w:color w:val="000000"/>
                <w:sz w:val="21"/>
                <w:szCs w:val="21"/>
                <w:vertAlign w:val="baseline"/>
                <w:lang w:val="en-US" w:eastAsia="zh-CN"/>
              </w:rPr>
              <w:t>t/a</w:t>
            </w:r>
            <w:r>
              <w:rPr>
                <w:rFonts w:hint="default" w:ascii="Times New Roman" w:hAnsi="Times New Roman" w:eastAsia="宋体" w:cs="Times New Roman"/>
                <w:b w:val="0"/>
                <w:bCs/>
                <w:color w:val="00000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501" w:type="pct"/>
            <w:gridSpan w:val="2"/>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标准名称</w:t>
            </w:r>
          </w:p>
        </w:tc>
        <w:tc>
          <w:tcPr>
            <w:tcW w:w="67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浓度限值</w:t>
            </w:r>
            <w:r>
              <w:rPr>
                <w:rFonts w:hint="default" w:ascii="Times New Roman" w:hAnsi="Times New Roman" w:eastAsia="宋体" w:cs="Times New Roman"/>
                <w:b w:val="0"/>
                <w:bCs/>
                <w:color w:val="000000"/>
                <w:sz w:val="21"/>
                <w:szCs w:val="21"/>
                <w:vertAlign w:val="baseline"/>
                <w:lang w:val="en-US" w:eastAsia="zh-CN"/>
              </w:rPr>
              <w:t>(</w:t>
            </w:r>
            <w:r>
              <w:rPr>
                <w:rFonts w:hint="eastAsia" w:cs="Times New Roman"/>
                <w:b w:val="0"/>
                <w:bCs/>
                <w:color w:val="000000"/>
                <w:sz w:val="21"/>
                <w:szCs w:val="21"/>
                <w:vertAlign w:val="baseline"/>
                <w:lang w:val="en-US" w:eastAsia="zh-CN"/>
              </w:rPr>
              <w:t>m</w:t>
            </w:r>
            <w:r>
              <w:rPr>
                <w:rFonts w:hint="default" w:ascii="Times New Roman" w:hAnsi="Times New Roman" w:eastAsia="宋体" w:cs="Times New Roman"/>
                <w:b w:val="0"/>
                <w:bCs/>
                <w:color w:val="000000"/>
                <w:sz w:val="21"/>
                <w:szCs w:val="21"/>
                <w:vertAlign w:val="baseline"/>
                <w:lang w:val="en-US" w:eastAsia="zh-CN"/>
              </w:rPr>
              <w:t>g/m</w:t>
            </w:r>
            <w:r>
              <w:rPr>
                <w:rFonts w:hint="default" w:ascii="Times New Roman" w:hAnsi="Times New Roman" w:eastAsia="宋体" w:cs="Times New Roman"/>
                <w:b w:val="0"/>
                <w:bCs/>
                <w:color w:val="000000"/>
                <w:sz w:val="21"/>
                <w:szCs w:val="21"/>
                <w:vertAlign w:val="superscript"/>
                <w:lang w:val="en-US" w:eastAsia="zh-CN"/>
              </w:rPr>
              <w:t>3</w:t>
            </w:r>
            <w:r>
              <w:rPr>
                <w:rFonts w:hint="default" w:ascii="Times New Roman" w:hAnsi="Times New Roman" w:eastAsia="宋体" w:cs="Times New Roman"/>
                <w:b w:val="0"/>
                <w:bCs/>
                <w:color w:val="000000"/>
                <w:sz w:val="21"/>
                <w:szCs w:val="21"/>
                <w:vertAlign w:val="baseline"/>
                <w:lang w:val="en-US" w:eastAsia="zh-CN"/>
              </w:rPr>
              <w:t>）</w:t>
            </w:r>
          </w:p>
        </w:tc>
        <w:tc>
          <w:tcPr>
            <w:tcW w:w="669" w:type="pct"/>
            <w:gridSpan w:val="2"/>
            <w:vMerge w:val="continue"/>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456" w:hRule="atLeast"/>
        </w:trPr>
        <w:tc>
          <w:tcPr>
            <w:tcW w:w="294" w:type="pct"/>
            <w:vMerge w:val="restart"/>
            <w:tcBorders>
              <w:top w:val="single" w:color="auto" w:sz="12"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w:t>
            </w:r>
          </w:p>
        </w:tc>
        <w:tc>
          <w:tcPr>
            <w:tcW w:w="375"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厂界</w:t>
            </w:r>
          </w:p>
        </w:tc>
        <w:tc>
          <w:tcPr>
            <w:tcW w:w="756"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猪舍、污水处理设施、异位发酵床</w:t>
            </w:r>
          </w:p>
        </w:tc>
        <w:tc>
          <w:tcPr>
            <w:tcW w:w="386"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501" w:type="pct"/>
            <w:gridSpan w:val="2"/>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eastAsia" w:cs="Times New Roman"/>
                <w:b w:val="0"/>
                <w:bCs/>
                <w:color w:val="000000"/>
                <w:sz w:val="21"/>
                <w:szCs w:val="21"/>
                <w:vertAlign w:val="baseline"/>
                <w:lang w:eastAsia="zh-CN"/>
              </w:rPr>
              <w:t>生物</w:t>
            </w:r>
            <w:r>
              <w:rPr>
                <w:rFonts w:hint="default" w:ascii="Times New Roman" w:hAnsi="Times New Roman" w:eastAsia="宋体" w:cs="Times New Roman"/>
                <w:b w:val="0"/>
                <w:bCs/>
                <w:color w:val="000000"/>
                <w:sz w:val="21"/>
                <w:szCs w:val="21"/>
                <w:vertAlign w:val="baseline"/>
                <w:lang w:eastAsia="zh-CN"/>
              </w:rPr>
              <w:t>除臭剂、绿化稀释</w:t>
            </w:r>
          </w:p>
        </w:tc>
        <w:tc>
          <w:tcPr>
            <w:tcW w:w="1337"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《恶臭污染物排放标准》（</w:t>
            </w:r>
            <w:r>
              <w:rPr>
                <w:rFonts w:hint="default" w:ascii="Times New Roman" w:hAnsi="Times New Roman" w:eastAsia="宋体" w:cs="Times New Roman"/>
                <w:b w:val="0"/>
                <w:bCs/>
                <w:color w:val="000000"/>
                <w:sz w:val="21"/>
                <w:szCs w:val="21"/>
                <w:vertAlign w:val="baseline"/>
                <w:lang w:val="en-US" w:eastAsia="zh-CN"/>
              </w:rPr>
              <w:t>GB14554-93</w:t>
            </w:r>
            <w:r>
              <w:rPr>
                <w:rFonts w:hint="default" w:ascii="Times New Roman" w:hAnsi="Times New Roman" w:eastAsia="宋体" w:cs="Times New Roman"/>
                <w:b w:val="0"/>
                <w:bCs/>
                <w:color w:val="000000"/>
                <w:sz w:val="21"/>
                <w:szCs w:val="21"/>
                <w:vertAlign w:val="baseline"/>
                <w:lang w:eastAsia="zh-CN"/>
              </w:rPr>
              <w:t>）中表</w:t>
            </w:r>
            <w:r>
              <w:rPr>
                <w:rFonts w:hint="default" w:ascii="Times New Roman" w:hAnsi="Times New Roman" w:eastAsia="宋体" w:cs="Times New Roman"/>
                <w:b w:val="0"/>
                <w:bCs/>
                <w:color w:val="000000"/>
                <w:sz w:val="21"/>
                <w:szCs w:val="21"/>
                <w:vertAlign w:val="baseline"/>
                <w:lang w:val="en-US" w:eastAsia="zh-CN"/>
              </w:rPr>
              <w:t>1新改扩建二级厂界标准</w:t>
            </w:r>
          </w:p>
        </w:tc>
        <w:tc>
          <w:tcPr>
            <w:tcW w:w="677"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1.5</w:t>
            </w:r>
          </w:p>
        </w:tc>
        <w:tc>
          <w:tcPr>
            <w:tcW w:w="669" w:type="pct"/>
            <w:gridSpan w:val="2"/>
            <w:tcBorders>
              <w:top w:val="single" w:color="auto" w:sz="12"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501" w:type="pct"/>
            <w:gridSpan w:val="2"/>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677"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0.06</w:t>
            </w:r>
          </w:p>
        </w:tc>
        <w:tc>
          <w:tcPr>
            <w:tcW w:w="669" w:type="pct"/>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tcBorders>
              <w:top w:val="single" w:color="auto" w:sz="4" w:space="0"/>
              <w:left w:val="nil"/>
              <w:bottom w:val="single" w:color="auto" w:sz="4"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eastAsia" w:ascii="Times New Roman" w:hAnsi="Times New Roman" w:cs="Times New Roman"/>
                <w:b w:val="0"/>
                <w:bCs/>
                <w:color w:val="000000"/>
                <w:sz w:val="21"/>
                <w:szCs w:val="21"/>
                <w:vertAlign w:val="baseline"/>
                <w:lang w:eastAsia="zh-CN"/>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restart"/>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sz w:val="21"/>
                <w:szCs w:val="21"/>
                <w:vertAlign w:val="baseline"/>
                <w:lang w:val="en-US" w:eastAsia="zh-CN"/>
              </w:rPr>
            </w:pPr>
            <w:r>
              <w:rPr>
                <w:rFonts w:hint="eastAsia" w:ascii="Times New Roman" w:hAnsi="Times New Roman" w:cs="Times New Roman"/>
                <w:b w:val="0"/>
                <w:bCs/>
                <w:color w:val="000000"/>
                <w:sz w:val="21"/>
                <w:szCs w:val="21"/>
                <w:vertAlign w:val="baseline"/>
                <w:lang w:val="en-US" w:eastAsia="zh-CN"/>
              </w:rPr>
              <w:t>无组织排放总计</w:t>
            </w:r>
          </w:p>
        </w:tc>
        <w:tc>
          <w:tcPr>
            <w:tcW w:w="2515" w:type="pct"/>
            <w:gridSpan w:val="4"/>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1329" w:type="dxa"/>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continue"/>
            <w:tcBorders>
              <w:top w:val="single" w:color="auto" w:sz="4"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p>
        </w:tc>
        <w:tc>
          <w:tcPr>
            <w:tcW w:w="2515" w:type="pct"/>
            <w:gridSpan w:val="4"/>
            <w:tcBorders>
              <w:top w:val="single" w:color="auto" w:sz="4"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1329" w:type="dxa"/>
            <w:gridSpan w:val="2"/>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default" w:ascii="Times New Roman" w:hAnsi="Times New Roman" w:cs="Times New Roman"/>
          <w:b/>
          <w:color w:val="000000"/>
          <w:sz w:val="21"/>
          <w:szCs w:val="21"/>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8</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年排放量核算表</w:t>
      </w:r>
    </w:p>
    <w:tbl>
      <w:tblPr>
        <w:tblStyle w:val="64"/>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4423"/>
        <w:gridCol w:w="34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5"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序号</w:t>
            </w:r>
          </w:p>
        </w:tc>
        <w:tc>
          <w:tcPr>
            <w:tcW w:w="2232"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污染物</w:t>
            </w:r>
          </w:p>
        </w:tc>
        <w:tc>
          <w:tcPr>
            <w:tcW w:w="1761"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1</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2</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pStyle w:val="6"/>
        <w:rPr>
          <w:rFonts w:hint="eastAsia"/>
        </w:rPr>
      </w:pPr>
      <w:r>
        <w:rPr>
          <w:rFonts w:hint="eastAsia"/>
          <w:lang w:eastAsia="zh-CN"/>
        </w:rPr>
        <w:t xml:space="preserve">大气环境影响评价自查表  </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auto"/>
          <w:kern w:val="2"/>
          <w:sz w:val="24"/>
          <w:szCs w:val="24"/>
          <w:lang w:val="en-US" w:eastAsia="zh-CN" w:bidi="ar-SA"/>
        </w:rPr>
      </w:pPr>
      <w:r>
        <w:rPr>
          <w:rFonts w:hint="default" w:ascii="Times New Roman" w:hAnsi="宋体"/>
          <w:color w:val="auto"/>
          <w:kern w:val="2"/>
          <w:sz w:val="24"/>
          <w:szCs w:val="24"/>
          <w:lang w:val="en-US" w:eastAsia="zh-CN" w:bidi="ar-SA"/>
        </w:rPr>
        <w:t>以下为项目大气环境影响评价自查表：</w:t>
      </w:r>
    </w:p>
    <w:p>
      <w:pPr>
        <w:pStyle w:val="864"/>
        <w:spacing w:line="240" w:lineRule="auto"/>
        <w:ind w:firstLine="0" w:firstLineChars="0"/>
        <w:jc w:val="center"/>
        <w:rPr>
          <w:rFonts w:ascii="Times New Roman" w:hAnsi="Times New Roman"/>
          <w:b/>
          <w:color w:val="auto"/>
          <w:sz w:val="21"/>
          <w:szCs w:val="24"/>
        </w:rPr>
      </w:pPr>
      <w:r>
        <w:rPr>
          <w:rFonts w:hint="eastAsia" w:ascii="Times New Roman" w:hAnsi="Times New Roman"/>
          <w:b/>
          <w:color w:val="auto"/>
          <w:sz w:val="21"/>
          <w:szCs w:val="24"/>
        </w:rPr>
        <w:t>表</w:t>
      </w:r>
      <w:r>
        <w:rPr>
          <w:rFonts w:hint="eastAsia" w:ascii="Times New Roman" w:hAnsi="Times New Roman"/>
          <w:b/>
          <w:color w:val="auto"/>
          <w:sz w:val="21"/>
          <w:szCs w:val="24"/>
          <w:lang w:val="en-US" w:eastAsia="zh-CN"/>
        </w:rPr>
        <w:t>5.2-9</w:t>
      </w:r>
      <w:r>
        <w:rPr>
          <w:rFonts w:hint="eastAsia" w:ascii="Times New Roman" w:hAnsi="Times New Roman"/>
          <w:b/>
          <w:color w:val="auto"/>
          <w:sz w:val="21"/>
          <w:szCs w:val="24"/>
        </w:rPr>
        <w:t xml:space="preserve">  </w:t>
      </w:r>
      <w:r>
        <w:rPr>
          <w:rFonts w:hint="eastAsia" w:ascii="Times New Roman" w:hAnsi="Times New Roman"/>
          <w:b/>
          <w:color w:val="auto"/>
          <w:sz w:val="21"/>
          <w:szCs w:val="24"/>
          <w:lang w:val="en-US" w:eastAsia="zh-CN"/>
        </w:rPr>
        <w:t>大气环境影响评价自查表</w:t>
      </w:r>
    </w:p>
    <w:tbl>
      <w:tblPr>
        <w:tblStyle w:val="63"/>
        <w:tblW w:w="4984" w:type="pct"/>
        <w:tblInd w:w="0" w:type="dxa"/>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25"/>
        <w:gridCol w:w="2459"/>
        <w:gridCol w:w="1205"/>
        <w:gridCol w:w="223"/>
        <w:gridCol w:w="687"/>
        <w:gridCol w:w="764"/>
        <w:gridCol w:w="383"/>
        <w:gridCol w:w="128"/>
        <w:gridCol w:w="1003"/>
        <w:gridCol w:w="265"/>
        <w:gridCol w:w="447"/>
        <w:gridCol w:w="1285"/>
      </w:tblGrid>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3" w:hRule="atLeast"/>
        </w:trPr>
        <w:tc>
          <w:tcPr>
            <w:tcW w:w="1764" w:type="pct"/>
            <w:gridSpan w:val="2"/>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工作内容</w:t>
            </w:r>
          </w:p>
        </w:tc>
        <w:tc>
          <w:tcPr>
            <w:tcW w:w="3235" w:type="pct"/>
            <w:gridSpan w:val="10"/>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自查项目</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评价等级与范围</w:t>
            </w:r>
          </w:p>
        </w:tc>
        <w:tc>
          <w:tcPr>
            <w:tcW w:w="1244" w:type="pc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w:t>
            </w:r>
          </w:p>
        </w:tc>
        <w:tc>
          <w:tcPr>
            <w:tcW w:w="723" w:type="pct"/>
            <w:gridSpan w:val="2"/>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一级□</w:t>
            </w:r>
          </w:p>
        </w:tc>
        <w:tc>
          <w:tcPr>
            <w:tcW w:w="1501" w:type="pct"/>
            <w:gridSpan w:val="5"/>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二级</w:t>
            </w:r>
            <w:r>
              <w:rPr>
                <w:rFonts w:ascii="Times New Roman" w:hAnsi="Times New Roman" w:cs="Times New Roman"/>
                <w:color w:val="auto"/>
                <w:kern w:val="2"/>
                <w:sz w:val="18"/>
                <w:szCs w:val="18"/>
              </w:rPr>
              <w:sym w:font="Wingdings 2" w:char="0052"/>
            </w:r>
          </w:p>
        </w:tc>
        <w:tc>
          <w:tcPr>
            <w:tcW w:w="1010" w:type="pct"/>
            <w:gridSpan w:val="3"/>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三级</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评级范围</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边长=50km□</w:t>
            </w:r>
          </w:p>
        </w:tc>
        <w:tc>
          <w:tcPr>
            <w:tcW w:w="1501"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边长=5~50km□</w:t>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边长=5km</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5"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因子</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评价因子</w:t>
            </w:r>
          </w:p>
        </w:tc>
        <w:tc>
          <w:tcPr>
            <w:tcW w:w="1458"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基本污染物（</w:t>
            </w:r>
            <w:r>
              <w:rPr>
                <w:rFonts w:hint="eastAsia" w:ascii="Times New Roman" w:hAnsi="Times New Roman" w:cs="Times New Roman"/>
                <w:color w:val="auto"/>
                <w:kern w:val="2"/>
                <w:sz w:val="18"/>
                <w:szCs w:val="18"/>
                <w:lang w:val="en-US" w:eastAsia="zh-CN"/>
              </w:rPr>
              <w:t xml:space="preserve">  </w:t>
            </w:r>
            <w:r>
              <w:rPr>
                <w:rFonts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其他污染物（</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777" w:type="pct"/>
            <w:gridSpan w:val="6"/>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包括二次PM2.5</w:t>
            </w:r>
            <w:r>
              <w:rPr>
                <w:rFonts w:hint="eastAsia"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不包括PM2.5</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0"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610"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国家标准</w:t>
            </w:r>
            <w:r>
              <w:rPr>
                <w:rFonts w:ascii="Times New Roman" w:hAnsi="Times New Roman" w:cs="Times New Roman"/>
                <w:color w:val="auto"/>
                <w:kern w:val="2"/>
                <w:sz w:val="18"/>
                <w:szCs w:val="18"/>
              </w:rPr>
              <w:sym w:font="Wingdings 2" w:char="F052"/>
            </w:r>
          </w:p>
        </w:tc>
        <w:tc>
          <w:tcPr>
            <w:tcW w:w="848"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地方标准</w:t>
            </w:r>
            <w:r>
              <w:rPr>
                <w:rFonts w:ascii="Times New Roman" w:hAnsi="Times New Roman" w:cs="Times New Roman"/>
                <w:color w:val="auto"/>
                <w:kern w:val="2"/>
                <w:sz w:val="18"/>
                <w:szCs w:val="18"/>
              </w:rPr>
              <w:sym w:font="Wingdings 2" w:char="0052"/>
            </w:r>
          </w:p>
        </w:tc>
        <w:tc>
          <w:tcPr>
            <w:tcW w:w="767"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附录D</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其他标准□</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环境功能区</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w:t>
            </w:r>
          </w:p>
        </w:tc>
        <w:tc>
          <w:tcPr>
            <w:tcW w:w="994"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二类区</w:t>
            </w:r>
            <w:r>
              <w:rPr>
                <w:rFonts w:ascii="Times New Roman" w:hAnsi="Times New Roman" w:cs="Times New Roman"/>
                <w:color w:val="auto"/>
                <w:kern w:val="2"/>
                <w:sz w:val="18"/>
                <w:szCs w:val="18"/>
              </w:rPr>
              <w:sym w:font="Wingdings 2" w:char="F052"/>
            </w:r>
          </w:p>
        </w:tc>
        <w:tc>
          <w:tcPr>
            <w:tcW w:w="1516"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一类区和二类区□</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评价基准年</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（201</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）年</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环境空气现状调查数据来源</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长期例行监测数据□</w:t>
            </w:r>
          </w:p>
        </w:tc>
        <w:tc>
          <w:tcPr>
            <w:tcW w:w="115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主管部门发布的数据</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现状补充监测</w:t>
            </w:r>
            <w:r>
              <w:rPr>
                <w:rFonts w:ascii="Times New Roman" w:hAnsi="Times New Roman" w:cs="Times New Roman"/>
                <w:color w:val="auto"/>
                <w:kern w:val="2"/>
                <w:sz w:val="18"/>
                <w:szCs w:val="18"/>
              </w:rPr>
              <w:sym w:font="Wingdings 2" w:char="0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现状评价</w:t>
            </w:r>
          </w:p>
        </w:tc>
        <w:tc>
          <w:tcPr>
            <w:tcW w:w="165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达标区</w:t>
            </w:r>
            <w:r>
              <w:rPr>
                <w:rFonts w:ascii="Times New Roman" w:hAnsi="Times New Roman" w:cs="Times New Roman"/>
                <w:color w:val="auto"/>
                <w:kern w:val="2"/>
                <w:sz w:val="18"/>
                <w:szCs w:val="18"/>
              </w:rPr>
              <w:sym w:font="Wingdings 2" w:char="0052"/>
            </w:r>
          </w:p>
        </w:tc>
        <w:tc>
          <w:tcPr>
            <w:tcW w:w="158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不达标区</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污染源调查</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调查内容</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本项目正常排放源</w:t>
            </w:r>
            <w:r>
              <w:rPr>
                <w:rFonts w:ascii="Times New Roman" w:hAnsi="Times New Roman" w:cs="Times New Roman"/>
                <w:color w:val="auto"/>
                <w:kern w:val="2"/>
                <w:sz w:val="18"/>
                <w:szCs w:val="18"/>
              </w:rPr>
              <w:sym w:font="Wingdings 2" w:char="F052"/>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本项目非正常排放源□</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现有污染源□</w:t>
            </w:r>
          </w:p>
        </w:tc>
        <w:tc>
          <w:tcPr>
            <w:tcW w:w="581"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拟替代的污染源□</w:t>
            </w:r>
          </w:p>
        </w:tc>
        <w:tc>
          <w:tcPr>
            <w:tcW w:w="93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其他在建、拟建项目污染源□</w:t>
            </w:r>
          </w:p>
        </w:tc>
        <w:tc>
          <w:tcPr>
            <w:tcW w:w="64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区域污染源□</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环境监测计划</w:t>
            </w:r>
          </w:p>
        </w:tc>
        <w:tc>
          <w:tcPr>
            <w:tcW w:w="1244"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污染源监测</w:t>
            </w:r>
          </w:p>
        </w:tc>
        <w:tc>
          <w:tcPr>
            <w:tcW w:w="1071" w:type="pct"/>
            <w:gridSpan w:val="3"/>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有组织废气</w:t>
            </w:r>
            <w:r>
              <w:rPr>
                <w:rFonts w:ascii="Times New Roman" w:hAnsi="Times New Roman" w:cs="Times New Roman"/>
                <w:color w:val="auto"/>
                <w:kern w:val="2"/>
                <w:sz w:val="18"/>
                <w:szCs w:val="18"/>
              </w:rPr>
              <w:sym w:font="Wingdings 2" w:char="00A3"/>
            </w:r>
          </w:p>
        </w:tc>
        <w:tc>
          <w:tcPr>
            <w:tcW w:w="876" w:type="pct"/>
            <w:gridSpan w:val="2"/>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071" w:type="pct"/>
            <w:gridSpan w:val="3"/>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无组织废气监测</w:t>
            </w:r>
            <w:r>
              <w:rPr>
                <w:rFonts w:ascii="Times New Roman" w:hAnsi="Times New Roman" w:cs="Times New Roman"/>
                <w:color w:val="auto"/>
                <w:kern w:val="2"/>
                <w:sz w:val="18"/>
                <w:szCs w:val="18"/>
              </w:rPr>
              <w:sym w:font="Wingdings 2" w:char="F052"/>
            </w:r>
          </w:p>
        </w:tc>
        <w:tc>
          <w:tcPr>
            <w:tcW w:w="876" w:type="pct"/>
            <w:gridSpan w:val="2"/>
            <w:vMerge w:val="continue"/>
            <w:noWrap w:val="0"/>
            <w:vAlign w:val="center"/>
          </w:tcPr>
          <w:p>
            <w:pPr>
              <w:pStyle w:val="865"/>
              <w:adjustRightInd w:val="0"/>
              <w:snapToGrid w:val="0"/>
              <w:rPr>
                <w:rFonts w:ascii="Times New Roman" w:hAnsi="Times New Roman" w:cs="Times New Roman"/>
                <w:color w:val="auto"/>
                <w:kern w:val="2"/>
                <w:sz w:val="18"/>
                <w:szCs w:val="18"/>
              </w:rPr>
            </w:pP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环境质量监测</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监测点位数（）</w:t>
            </w:r>
          </w:p>
        </w:tc>
        <w:tc>
          <w:tcPr>
            <w:tcW w:w="876"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49"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评价结论</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环境影响</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可以接受</w:t>
            </w:r>
            <w:r>
              <w:rPr>
                <w:rFonts w:ascii="Times New Roman" w:hAnsi="Times New Roman" w:cs="Times New Roman"/>
                <w:color w:val="auto"/>
                <w:kern w:val="2"/>
                <w:sz w:val="18"/>
                <w:szCs w:val="18"/>
              </w:rPr>
              <w:sym w:font="Wingdings 2" w:char="F052"/>
            </w:r>
            <w:r>
              <w:rPr>
                <w:rFonts w:hint="eastAsia" w:ascii="Times New Roman" w:hAnsi="Times New Roman" w:cs="Times New Roman"/>
                <w:color w:val="auto"/>
                <w:kern w:val="2"/>
                <w:sz w:val="18"/>
                <w:szCs w:val="18"/>
              </w:rPr>
              <w:t xml:space="preserve">        </w:t>
            </w:r>
            <w:r>
              <w:rPr>
                <w:rFonts w:ascii="Times New Roman" w:hAnsi="Times New Roman" w:cs="Times New Roman"/>
                <w:color w:val="auto"/>
                <w:kern w:val="2"/>
                <w:sz w:val="18"/>
                <w:szCs w:val="18"/>
              </w:rPr>
              <w:t>不可以接受□</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大气环境防护距离</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本项目不设大气防护距离</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污染物年排放量</w:t>
            </w:r>
          </w:p>
        </w:tc>
        <w:tc>
          <w:tcPr>
            <w:tcW w:w="3235" w:type="pct"/>
            <w:gridSpan w:val="10"/>
            <w:tcBorders>
              <w:bottom w:val="single" w:color="auto" w:sz="12" w:space="0"/>
            </w:tcBorders>
            <w:noWrap w:val="0"/>
            <w:vAlign w:val="center"/>
          </w:tcPr>
          <w:p>
            <w:pPr>
              <w:pStyle w:val="865"/>
              <w:adjustRightInd w:val="0"/>
              <w:snapToGrid w:val="0"/>
              <w:rPr>
                <w:rFonts w:hint="eastAsia" w:ascii="Times New Roman" w:hAnsi="Times New Roman" w:eastAsia="宋体" w:cs="Times New Roman"/>
                <w:color w:val="auto"/>
                <w:kern w:val="2"/>
                <w:sz w:val="18"/>
                <w:szCs w:val="18"/>
                <w:lang w:eastAsia="zh-CN"/>
              </w:rPr>
            </w:pP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0.08</w:t>
            </w:r>
            <w:r>
              <w:rPr>
                <w:rFonts w:ascii="Times New Roman" w:hAnsi="Times New Roman" w:cs="Times New Roman"/>
                <w:color w:val="auto"/>
                <w:kern w:val="2"/>
                <w:sz w:val="18"/>
                <w:szCs w:val="18"/>
              </w:rPr>
              <w:t>）t/a</w:t>
            </w:r>
            <w:r>
              <w:rPr>
                <w:rFonts w:hint="eastAsia" w:cs="Times New Roman"/>
                <w:color w:val="auto"/>
                <w:kern w:val="2"/>
                <w:sz w:val="18"/>
                <w:szCs w:val="18"/>
                <w:lang w:eastAsia="zh-CN"/>
              </w:rPr>
              <w:t>、</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0.004</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）t/a</w:t>
            </w:r>
          </w:p>
        </w:tc>
      </w:tr>
    </w:tbl>
    <w:p>
      <w:pPr>
        <w:pStyle w:val="5"/>
        <w:ind w:firstLine="562"/>
        <w:rPr>
          <w:rFonts w:hint="default" w:ascii="Times New Roman" w:hAnsi="Times New Roman" w:eastAsia="宋体" w:cs="Times New Roman"/>
          <w:lang w:eastAsia="zh-CN"/>
        </w:rPr>
      </w:pPr>
      <w:r>
        <w:rPr>
          <w:rFonts w:hint="eastAsia"/>
          <w:lang w:eastAsia="zh-CN"/>
        </w:rPr>
        <w:t xml:space="preserve"> 营运期地表水环境影响分析</w:t>
      </w:r>
    </w:p>
    <w:p>
      <w:pPr>
        <w:pStyle w:val="6"/>
        <w:rPr>
          <w:rFonts w:hint="eastAsia"/>
        </w:rPr>
      </w:pPr>
      <w:r>
        <w:rPr>
          <w:rFonts w:hint="eastAsia"/>
          <w:lang w:eastAsia="zh-CN"/>
        </w:rPr>
        <w:t xml:space="preserve">地表水环境影响分析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sz w:val="24"/>
          <w:szCs w:val="24"/>
          <w:lang w:eastAsia="zh-CN"/>
        </w:rPr>
        <w:t>项目营运期废水主要为生活污水、养殖废水。本项目无外排废水，根据</w:t>
      </w:r>
      <w:r>
        <w:rPr>
          <w:rFonts w:hint="default" w:ascii="Times New Roman" w:hAnsi="Times New Roman" w:eastAsia="宋体" w:cs="Times New Roman"/>
          <w:sz w:val="24"/>
          <w:szCs w:val="24"/>
          <w:lang w:eastAsia="zh-CN"/>
        </w:rPr>
        <w:t>《环境影响评价技术导则地</w:t>
      </w:r>
      <w:r>
        <w:rPr>
          <w:rFonts w:hint="default" w:ascii="Times New Roman" w:hAnsi="Times New Roman" w:eastAsia="宋体" w:cs="Times New Roman"/>
          <w:sz w:val="24"/>
          <w:szCs w:val="24"/>
          <w:lang w:val="en-US" w:eastAsia="zh-CN"/>
        </w:rPr>
        <w:t>表</w:t>
      </w:r>
      <w:r>
        <w:rPr>
          <w:rFonts w:hint="default" w:ascii="Times New Roman" w:hAnsi="Times New Roman" w:eastAsia="宋体" w:cs="Times New Roman"/>
          <w:sz w:val="24"/>
          <w:szCs w:val="24"/>
          <w:lang w:eastAsia="zh-CN"/>
        </w:rPr>
        <w:t>水环境》（HJ2.3-2018）的规定，</w:t>
      </w:r>
      <w:r>
        <w:rPr>
          <w:rFonts w:hint="eastAsia" w:cs="Times New Roman"/>
          <w:sz w:val="24"/>
          <w:szCs w:val="24"/>
          <w:lang w:eastAsia="zh-CN"/>
        </w:rPr>
        <w:t>项目</w:t>
      </w:r>
      <w:r>
        <w:rPr>
          <w:rFonts w:hint="default" w:ascii="Times New Roman" w:hAnsi="Times New Roman" w:eastAsia="宋体" w:cs="Times New Roman"/>
          <w:sz w:val="24"/>
          <w:szCs w:val="24"/>
          <w:lang w:eastAsia="zh-CN"/>
        </w:rPr>
        <w:t>地表水环境影响评价等级</w:t>
      </w:r>
      <w:r>
        <w:rPr>
          <w:rFonts w:hint="eastAsia" w:cs="Times New Roman"/>
          <w:sz w:val="24"/>
          <w:szCs w:val="24"/>
          <w:lang w:eastAsia="zh-CN"/>
        </w:rPr>
        <w:t>为</w:t>
      </w:r>
      <w:r>
        <w:rPr>
          <w:rFonts w:hint="default" w:ascii="Times New Roman" w:hAnsi="Times New Roman" w:eastAsia="宋体" w:cs="Times New Roman"/>
          <w:sz w:val="24"/>
          <w:szCs w:val="24"/>
          <w:lang w:eastAsia="zh-CN"/>
        </w:rPr>
        <w:t>三级</w:t>
      </w:r>
      <w:r>
        <w:rPr>
          <w:rFonts w:hint="default" w:ascii="Times New Roman" w:hAnsi="Times New Roman" w:eastAsia="宋体" w:cs="Times New Roman"/>
          <w:sz w:val="24"/>
          <w:szCs w:val="24"/>
          <w:lang w:val="en-US" w:eastAsia="zh-CN"/>
        </w:rPr>
        <w:t>B</w:t>
      </w:r>
      <w:r>
        <w:rPr>
          <w:rFonts w:hint="eastAsia" w:cs="Times New Roman"/>
          <w:sz w:val="24"/>
          <w:szCs w:val="24"/>
          <w:lang w:val="en-US" w:eastAsia="zh-CN"/>
        </w:rPr>
        <w:t>，可不进行水环境影响预测，只进行影响分析。</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eastAsia" w:cs="Times New Roman"/>
          <w:sz w:val="24"/>
          <w:szCs w:val="24"/>
          <w:lang w:eastAsia="zh-CN"/>
        </w:rPr>
      </w:pPr>
      <w:r>
        <w:rPr>
          <w:rFonts w:hint="default" w:ascii="Times New Roman" w:hAnsi="Times New Roman" w:eastAsia="宋体" w:cs="Times New Roman"/>
          <w:sz w:val="24"/>
          <w:szCs w:val="24"/>
          <w:lang w:eastAsia="zh-CN"/>
        </w:rPr>
        <w:t>本项目养殖废水（含猪尿液、猪舍冲洗废水</w:t>
      </w:r>
      <w:r>
        <w:rPr>
          <w:rFonts w:hint="eastAsia" w:cs="Times New Roman"/>
          <w:sz w:val="24"/>
          <w:szCs w:val="24"/>
          <w:lang w:eastAsia="zh-CN"/>
        </w:rPr>
        <w:t>等</w:t>
      </w:r>
      <w:r>
        <w:rPr>
          <w:rFonts w:hint="default" w:ascii="Times New Roman" w:hAnsi="Times New Roman" w:eastAsia="宋体" w:cs="Times New Roman"/>
          <w:sz w:val="24"/>
          <w:szCs w:val="24"/>
          <w:lang w:eastAsia="zh-CN"/>
        </w:rPr>
        <w:t>），经</w:t>
      </w:r>
      <w:r>
        <w:rPr>
          <w:rFonts w:hint="eastAsia" w:cs="Times New Roman"/>
          <w:sz w:val="24"/>
          <w:szCs w:val="24"/>
          <w:lang w:eastAsia="zh-CN"/>
        </w:rPr>
        <w:t>集液池进入异位发酵床</w:t>
      </w:r>
      <w:r>
        <w:rPr>
          <w:rFonts w:hint="default" w:ascii="Times New Roman" w:hAnsi="Times New Roman" w:eastAsia="宋体" w:cs="Times New Roman"/>
          <w:sz w:val="24"/>
          <w:szCs w:val="24"/>
          <w:lang w:eastAsia="zh-CN"/>
        </w:rPr>
        <w:t>处理后</w:t>
      </w:r>
      <w:r>
        <w:rPr>
          <w:rFonts w:hint="eastAsia" w:cs="Times New Roman"/>
          <w:sz w:val="24"/>
          <w:szCs w:val="24"/>
          <w:lang w:eastAsia="zh-CN"/>
        </w:rPr>
        <w:t>，制成有机肥外售；生活污水产生量为</w:t>
      </w:r>
      <w:r>
        <w:rPr>
          <w:rFonts w:hint="eastAsia" w:cs="Times New Roman"/>
          <w:sz w:val="24"/>
          <w:szCs w:val="24"/>
          <w:lang w:val="en-US" w:eastAsia="zh-CN"/>
        </w:rPr>
        <w:t>1752</w:t>
      </w:r>
      <w:r>
        <w:rPr>
          <w:rFonts w:hint="default" w:ascii="Times New Roman" w:hAnsi="Times New Roman" w:eastAsia="宋体" w:cs="Times New Roman"/>
          <w:sz w:val="24"/>
          <w:szCs w:val="24"/>
          <w:lang w:eastAsia="zh-CN"/>
        </w:rPr>
        <w:t>t/a</w:t>
      </w:r>
      <w:r>
        <w:rPr>
          <w:rFonts w:hint="eastAsia" w:cs="Times New Roman"/>
          <w:sz w:val="24"/>
          <w:szCs w:val="24"/>
          <w:lang w:eastAsia="zh-CN"/>
        </w:rPr>
        <w:t>经地埋式一体化污水处理设施后回用场区绿化</w:t>
      </w:r>
      <w:r>
        <w:rPr>
          <w:rFonts w:hint="eastAsia" w:cs="Times New Roman"/>
          <w:sz w:val="24"/>
          <w:szCs w:val="24"/>
          <w:lang w:val="en-US" w:eastAsia="zh-CN"/>
        </w:rPr>
        <w:t>和附近林地灌溉</w:t>
      </w:r>
      <w:r>
        <w:rPr>
          <w:rFonts w:hint="eastAsia" w:cs="Times New Roman"/>
          <w:sz w:val="24"/>
          <w:szCs w:val="24"/>
          <w:lang w:eastAsia="zh-CN"/>
        </w:rPr>
        <w:t>，</w:t>
      </w:r>
      <w:r>
        <w:rPr>
          <w:rFonts w:hint="default" w:ascii="Times New Roman" w:hAnsi="Times New Roman" w:eastAsia="宋体" w:cs="Times New Roman"/>
          <w:sz w:val="24"/>
          <w:szCs w:val="24"/>
          <w:lang w:eastAsia="zh-CN"/>
        </w:rPr>
        <w:t>实现污水综合利用</w:t>
      </w:r>
      <w:r>
        <w:rPr>
          <w:rFonts w:hint="eastAsia" w:cs="Times New Roman"/>
          <w:sz w:val="24"/>
          <w:szCs w:val="24"/>
          <w:lang w:eastAsia="zh-CN"/>
        </w:rPr>
        <w:t>。</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sz w:val="24"/>
          <w:szCs w:val="24"/>
          <w:lang w:val="en-US" w:eastAsia="zh-CN"/>
        </w:rPr>
      </w:pPr>
      <w:r>
        <w:rPr>
          <w:rFonts w:hint="eastAsia" w:cs="Times New Roman"/>
          <w:sz w:val="24"/>
          <w:szCs w:val="24"/>
          <w:lang w:val="en-US" w:eastAsia="zh-CN"/>
        </w:rPr>
        <w:t>除却生活污水的各种生产废水（含猪粪）经集液池充分混合后喷淋至异位发酵床，利用垫料、菌种分解高浓度的混合废水，待发酵完成可得到有机肥，可实现生产废水和猪粪零排放，且该工艺已成熟适用于各猪场，是一种行之有效的生态养殖技术。</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s="Times New Roman"/>
          <w:sz w:val="24"/>
          <w:szCs w:val="24"/>
          <w:lang w:val="en-US" w:eastAsia="zh-CN"/>
        </w:rPr>
      </w:pPr>
      <w:r>
        <w:rPr>
          <w:rFonts w:hint="eastAsia" w:cs="Times New Roman"/>
          <w:sz w:val="24"/>
          <w:szCs w:val="24"/>
          <w:lang w:val="en-US" w:eastAsia="zh-CN"/>
        </w:rPr>
        <w:t>本项目产僧的生活污水为</w:t>
      </w:r>
      <w:r>
        <w:rPr>
          <w:rFonts w:hint="default" w:ascii="Times New Roman" w:hAnsi="Times New Roman" w:cs="Times New Roman"/>
          <w:sz w:val="24"/>
          <w:szCs w:val="24"/>
          <w:lang w:val="en-US" w:eastAsia="zh-CN"/>
        </w:rPr>
        <w:t>4.8m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cs="Times New Roman"/>
          <w:sz w:val="24"/>
          <w:szCs w:val="24"/>
          <w:lang w:val="en-US" w:eastAsia="zh-CN"/>
        </w:rPr>
        <w:t>厂区拟设置地埋式一体化生化处理工艺，涉及处理能力为6</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ascii="Times New Roman" w:hAnsi="Times New Roman" w:cs="Times New Roman"/>
          <w:sz w:val="24"/>
          <w:szCs w:val="24"/>
          <w:lang w:val="en-US" w:eastAsia="zh-CN"/>
        </w:rPr>
        <w:t>，可完全处理本项目产生的生活污水，且生活污水的因子单一，浓度较低经生化处理后可达标事先厂区绿化回用，不外排。</w:t>
      </w:r>
    </w:p>
    <w:p>
      <w:pPr>
        <w:pStyle w:val="8"/>
        <w:rPr>
          <w:rFonts w:hint="eastAsia"/>
          <w:lang w:eastAsia="zh-CN"/>
        </w:rPr>
      </w:pPr>
      <w:r>
        <w:rPr>
          <w:rFonts w:hint="eastAsia"/>
          <w:lang w:eastAsia="zh-CN"/>
        </w:rPr>
        <w:t>因此不会改变评价区域水环境质量级别和功能，在采取上述措施后，本项目营运期基本不会对周围地表水环境造成影响。</w:t>
      </w:r>
    </w:p>
    <w:p>
      <w:pPr>
        <w:pStyle w:val="6"/>
        <w:rPr>
          <w:rFonts w:hint="eastAsia"/>
        </w:rPr>
      </w:pPr>
      <w:r>
        <w:rPr>
          <w:rFonts w:hint="eastAsia"/>
          <w:lang w:eastAsia="zh-CN"/>
        </w:rPr>
        <w:t xml:space="preserve">污染源排放量核算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2"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b/>
          <w:bCs/>
          <w:sz w:val="24"/>
          <w:szCs w:val="24"/>
          <w:lang w:eastAsia="zh-CN"/>
        </w:rPr>
        <w:t>（</w:t>
      </w:r>
      <w:r>
        <w:rPr>
          <w:rFonts w:hint="eastAsia" w:cs="Times New Roman"/>
          <w:b/>
          <w:bCs/>
          <w:sz w:val="24"/>
          <w:szCs w:val="24"/>
          <w:lang w:val="en-US" w:eastAsia="zh-CN"/>
        </w:rPr>
        <w:t>1</w:t>
      </w:r>
      <w:r>
        <w:rPr>
          <w:rFonts w:hint="eastAsia" w:cs="Times New Roman"/>
          <w:b/>
          <w:bCs/>
          <w:sz w:val="24"/>
          <w:szCs w:val="24"/>
          <w:lang w:eastAsia="zh-CN"/>
        </w:rPr>
        <w:t>）废水类别、污染物及污染治理设施信息表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5.2-10   废水类别、污染物及治理搓射信息表</w:t>
      </w:r>
    </w:p>
    <w:tbl>
      <w:tblPr>
        <w:tblStyle w:val="6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2"/>
        <w:gridCol w:w="1223"/>
        <w:gridCol w:w="972"/>
        <w:gridCol w:w="804"/>
        <w:gridCol w:w="836"/>
        <w:gridCol w:w="593"/>
        <w:gridCol w:w="1116"/>
        <w:gridCol w:w="854"/>
        <w:gridCol w:w="783"/>
        <w:gridCol w:w="1028"/>
        <w:gridCol w:w="12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序号</w:t>
            </w:r>
          </w:p>
        </w:tc>
        <w:tc>
          <w:tcPr>
            <w:tcW w:w="617"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废水类别</w:t>
            </w:r>
          </w:p>
        </w:tc>
        <w:tc>
          <w:tcPr>
            <w:tcW w:w="490"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污染物种类</w:t>
            </w:r>
          </w:p>
        </w:tc>
        <w:tc>
          <w:tcPr>
            <w:tcW w:w="40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排放去向</w:t>
            </w:r>
          </w:p>
        </w:tc>
        <w:tc>
          <w:tcPr>
            <w:tcW w:w="421"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排放规律</w:t>
            </w:r>
          </w:p>
        </w:tc>
        <w:tc>
          <w:tcPr>
            <w:tcW w:w="1293" w:type="pct"/>
            <w:gridSpan w:val="3"/>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污染治理设施</w:t>
            </w:r>
          </w:p>
        </w:tc>
        <w:tc>
          <w:tcPr>
            <w:tcW w:w="39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排放口编号</w:t>
            </w:r>
          </w:p>
        </w:tc>
        <w:tc>
          <w:tcPr>
            <w:tcW w:w="51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cs="Times New Roman"/>
                <w:color w:val="000000"/>
                <w:kern w:val="2"/>
                <w:sz w:val="21"/>
                <w:szCs w:val="21"/>
                <w:vertAlign w:val="baseline"/>
                <w:lang w:val="en-US" w:eastAsia="zh-CN" w:bidi="ar-SA"/>
              </w:rPr>
              <w:t>排放口设置是否符合要求</w:t>
            </w:r>
          </w:p>
        </w:tc>
        <w:tc>
          <w:tcPr>
            <w:tcW w:w="60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17"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90"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21"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299"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编号</w:t>
            </w:r>
          </w:p>
        </w:tc>
        <w:tc>
          <w:tcPr>
            <w:tcW w:w="563"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名称</w:t>
            </w:r>
          </w:p>
        </w:tc>
        <w:tc>
          <w:tcPr>
            <w:tcW w:w="431"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工艺</w:t>
            </w:r>
          </w:p>
        </w:tc>
        <w:tc>
          <w:tcPr>
            <w:tcW w:w="39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51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0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w:t>
            </w:r>
          </w:p>
        </w:tc>
        <w:tc>
          <w:tcPr>
            <w:tcW w:w="617"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猪尿、猪舍冲洗废水</w:t>
            </w:r>
          </w:p>
        </w:tc>
        <w:tc>
          <w:tcPr>
            <w:tcW w:w="490"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COD、BOD、NH</w:t>
            </w:r>
            <w:r>
              <w:rPr>
                <w:rFonts w:hint="eastAsia" w:cs="Times New Roman"/>
                <w:sz w:val="21"/>
                <w:szCs w:val="21"/>
                <w:vertAlign w:val="subscript"/>
                <w:lang w:val="en-US" w:eastAsia="zh-CN"/>
              </w:rPr>
              <w:t>3</w:t>
            </w:r>
            <w:r>
              <w:rPr>
                <w:rFonts w:hint="eastAsia" w:cs="Times New Roman"/>
                <w:sz w:val="21"/>
                <w:szCs w:val="21"/>
                <w:vertAlign w:val="baseline"/>
                <w:lang w:val="en-US" w:eastAsia="zh-CN"/>
              </w:rPr>
              <w:t>-N、TP</w:t>
            </w:r>
          </w:p>
        </w:tc>
        <w:tc>
          <w:tcPr>
            <w:tcW w:w="40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制有机肥</w:t>
            </w:r>
          </w:p>
        </w:tc>
        <w:tc>
          <w:tcPr>
            <w:tcW w:w="42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Q1</w:t>
            </w:r>
          </w:p>
        </w:tc>
        <w:tc>
          <w:tcPr>
            <w:tcW w:w="563"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异位发酵床</w:t>
            </w:r>
          </w:p>
        </w:tc>
        <w:tc>
          <w:tcPr>
            <w:tcW w:w="43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分解发酵</w:t>
            </w:r>
          </w:p>
        </w:tc>
        <w:tc>
          <w:tcPr>
            <w:tcW w:w="39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c>
          <w:tcPr>
            <w:tcW w:w="51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不设置排放</w:t>
            </w:r>
            <w:r>
              <w:rPr>
                <w:rFonts w:hint="eastAsia" w:cs="Times New Roman"/>
                <w:color w:val="000000"/>
                <w:kern w:val="2"/>
                <w:sz w:val="21"/>
                <w:szCs w:val="21"/>
                <w:vertAlign w:val="baseline"/>
                <w:lang w:val="en-US" w:eastAsia="zh-CN" w:bidi="ar-SA"/>
              </w:rPr>
              <w:t>口</w:t>
            </w:r>
          </w:p>
        </w:tc>
        <w:tc>
          <w:tcPr>
            <w:tcW w:w="60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8"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w:t>
            </w:r>
          </w:p>
        </w:tc>
        <w:tc>
          <w:tcPr>
            <w:tcW w:w="617"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生活污水</w:t>
            </w:r>
          </w:p>
        </w:tc>
        <w:tc>
          <w:tcPr>
            <w:tcW w:w="490"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厂区绿化和林地灌溉</w:t>
            </w:r>
          </w:p>
        </w:tc>
        <w:tc>
          <w:tcPr>
            <w:tcW w:w="42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Q2</w:t>
            </w:r>
          </w:p>
        </w:tc>
        <w:tc>
          <w:tcPr>
            <w:tcW w:w="563"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地埋式一体化污水处理设施</w:t>
            </w:r>
          </w:p>
        </w:tc>
        <w:tc>
          <w:tcPr>
            <w:tcW w:w="43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厌氧接触氧化</w:t>
            </w:r>
          </w:p>
        </w:tc>
        <w:tc>
          <w:tcPr>
            <w:tcW w:w="39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W1</w:t>
            </w:r>
          </w:p>
        </w:tc>
        <w:tc>
          <w:tcPr>
            <w:tcW w:w="518"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Times New Roman" w:hAnsi="Times New Roman" w:cs="Times New Roman"/>
                <w:color w:val="000000"/>
                <w:kern w:val="2"/>
                <w:sz w:val="21"/>
                <w:szCs w:val="21"/>
                <w:vertAlign w:val="baseline"/>
                <w:lang w:val="en-US" w:eastAsia="zh-CN" w:bidi="ar-SA"/>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Times New Roman" w:hAnsi="Times New Roman" w:cs="Times New Roman"/>
                <w:color w:val="000000"/>
                <w:kern w:val="2"/>
                <w:sz w:val="21"/>
                <w:szCs w:val="21"/>
                <w:vertAlign w:val="baseline"/>
                <w:lang w:val="en-US" w:eastAsia="zh-CN" w:bidi="ar-SA"/>
              </w:rPr>
              <w:t>是</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Times New Roman" w:hAnsi="Times New Roman" w:cs="Times New Roman"/>
                <w:color w:val="000000"/>
                <w:kern w:val="2"/>
                <w:sz w:val="21"/>
                <w:szCs w:val="21"/>
                <w:vertAlign w:val="baseline"/>
                <w:lang w:val="en-US" w:eastAsia="zh-CN" w:bidi="ar-SA"/>
              </w:rPr>
              <w:t>否</w:t>
            </w:r>
          </w:p>
        </w:tc>
        <w:tc>
          <w:tcPr>
            <w:tcW w:w="608" w:type="pct"/>
            <w:vAlign w:val="center"/>
          </w:tcPr>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宋体" w:hAnsi="宋体" w:eastAsia="宋体"/>
                <w:sz w:val="21"/>
                <w:szCs w:val="21"/>
              </w:rPr>
              <w:t>企业总排</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雨水排放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清净下水排放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温排水排放</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车间或车间处理设施排放</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2"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（2）废水污染物执行标准表</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11</w:t>
      </w:r>
      <w:r>
        <w:rPr>
          <w:rFonts w:hint="default" w:ascii="Times New Roman" w:hAnsi="Times New Roman" w:eastAsia="宋体" w:cs="Times New Roman"/>
          <w:b/>
          <w:bCs/>
          <w:color w:val="000000"/>
          <w:sz w:val="21"/>
          <w:szCs w:val="21"/>
        </w:rPr>
        <w:t xml:space="preserve"> </w:t>
      </w:r>
      <w:r>
        <w:rPr>
          <w:rFonts w:hint="eastAsia"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废水污染物排放执行标准表</w:t>
      </w:r>
    </w:p>
    <w:tbl>
      <w:tblPr>
        <w:tblStyle w:val="64"/>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503"/>
        <w:gridCol w:w="1020"/>
        <w:gridCol w:w="4395"/>
        <w:gridCol w:w="1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序号</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污染治理设施编号</w:t>
            </w:r>
          </w:p>
        </w:tc>
        <w:tc>
          <w:tcPr>
            <w:tcW w:w="1020"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污染物种类</w:t>
            </w:r>
          </w:p>
        </w:tc>
        <w:tc>
          <w:tcPr>
            <w:tcW w:w="5567" w:type="dxa"/>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国家或地方污染物排放标准及其他规定商定的排放协议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4395"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名称</w:t>
            </w: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浓度限值（mg/L）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1</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W1</w:t>
            </w:r>
          </w:p>
        </w:tc>
        <w:tc>
          <w:tcPr>
            <w:tcW w:w="1020" w:type="dxa"/>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CODcr</w:t>
            </w:r>
          </w:p>
        </w:tc>
        <w:tc>
          <w:tcPr>
            <w:tcW w:w="4395"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《畜禽养殖业污染物排放标准》（DB44/613-2009）中集约化畜禽养殖业水污染物最高允许日排放浓度和《农田灌溉水质标准》（GB5084-2005）旱作水质标准</w:t>
            </w:r>
            <w:r>
              <w:rPr>
                <w:rFonts w:hint="eastAsia" w:ascii="Times New Roman" w:hAnsi="宋体"/>
                <w:color w:val="auto"/>
                <w:kern w:val="2"/>
                <w:sz w:val="21"/>
                <w:szCs w:val="21"/>
                <w:vertAlign w:val="baseline"/>
                <w:lang w:val="en-US" w:eastAsia="zh-CN" w:bidi="ar-SA"/>
              </w:rPr>
              <w:t>较严值</w:t>
            </w:r>
          </w:p>
        </w:tc>
        <w:tc>
          <w:tcPr>
            <w:tcW w:w="1172" w:type="dxa"/>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SS</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总磷</w:t>
            </w:r>
          </w:p>
        </w:tc>
        <w:tc>
          <w:tcPr>
            <w:tcW w:w="4395"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2"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（3）废水污染物排放信息表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5.2-</w:t>
      </w:r>
      <w:r>
        <w:rPr>
          <w:rFonts w:hint="eastAsia" w:cs="Times New Roman"/>
          <w:b/>
          <w:bCs/>
          <w:sz w:val="21"/>
          <w:szCs w:val="21"/>
          <w:lang w:val="en-US" w:eastAsia="zh-CN"/>
        </w:rPr>
        <w:t>12</w:t>
      </w:r>
      <w:r>
        <w:rPr>
          <w:rFonts w:hint="default"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color w:val="000000"/>
          <w:sz w:val="21"/>
          <w:szCs w:val="21"/>
        </w:rPr>
        <w:t>废水污染物排放</w:t>
      </w:r>
      <w:r>
        <w:rPr>
          <w:rFonts w:hint="default" w:ascii="Times New Roman" w:hAnsi="Times New Roman" w:eastAsia="宋体" w:cs="Times New Roman"/>
          <w:b/>
          <w:bCs/>
          <w:color w:val="000000"/>
          <w:sz w:val="21"/>
          <w:szCs w:val="21"/>
          <w:lang w:eastAsia="zh-CN"/>
        </w:rPr>
        <w:t>信息表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9"/>
        <w:gridCol w:w="1510"/>
        <w:gridCol w:w="1567"/>
        <w:gridCol w:w="2316"/>
        <w:gridCol w:w="1833"/>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tcBorders>
              <w:top w:val="single" w:color="auto" w:sz="12" w:space="0"/>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序号</w:t>
            </w:r>
          </w:p>
        </w:tc>
        <w:tc>
          <w:tcPr>
            <w:tcW w:w="76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排放口编号</w:t>
            </w:r>
          </w:p>
        </w:tc>
        <w:tc>
          <w:tcPr>
            <w:tcW w:w="79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污染物种类</w:t>
            </w:r>
          </w:p>
        </w:tc>
        <w:tc>
          <w:tcPr>
            <w:tcW w:w="1169"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eastAsia="zh-CN"/>
              </w:rPr>
              <w:t>排放浓度（</w:t>
            </w:r>
            <w:r>
              <w:rPr>
                <w:rFonts w:hint="eastAsia" w:cs="Times New Roman"/>
                <w:b w:val="0"/>
                <w:bCs w:val="0"/>
                <w:sz w:val="21"/>
                <w:szCs w:val="21"/>
                <w:vertAlign w:val="baseline"/>
                <w:lang w:val="en-US" w:eastAsia="zh-CN"/>
              </w:rPr>
              <w:t>mg/L</w:t>
            </w:r>
            <w:r>
              <w:rPr>
                <w:rFonts w:hint="eastAsia" w:cs="Times New Roman"/>
                <w:b w:val="0"/>
                <w:bCs w:val="0"/>
                <w:sz w:val="21"/>
                <w:szCs w:val="21"/>
                <w:vertAlign w:val="baseline"/>
                <w:lang w:eastAsia="zh-CN"/>
              </w:rPr>
              <w:t>）</w:t>
            </w:r>
          </w:p>
        </w:tc>
        <w:tc>
          <w:tcPr>
            <w:tcW w:w="925"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日排放量（t/d）</w:t>
            </w:r>
          </w:p>
        </w:tc>
        <w:tc>
          <w:tcPr>
            <w:tcW w:w="964" w:type="pct"/>
            <w:tcBorders>
              <w:top w:val="single" w:color="auto" w:sz="12" w:space="0"/>
              <w:bottom w:val="single" w:color="auto" w:sz="12" w:space="0"/>
              <w:righ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val="en-US" w:eastAsia="zh-CN"/>
              </w:rPr>
              <w:t>年排放量（t/a）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restart"/>
            <w:tcBorders>
              <w:top w:val="single" w:color="auto" w:sz="12" w:space="0"/>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1</w:t>
            </w:r>
          </w:p>
        </w:tc>
        <w:tc>
          <w:tcPr>
            <w:tcW w:w="761"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W1</w:t>
            </w:r>
          </w:p>
        </w:tc>
        <w:tc>
          <w:tcPr>
            <w:tcW w:w="791" w:type="pct"/>
            <w:tcBorders>
              <w:top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CODcr</w:t>
            </w:r>
          </w:p>
        </w:tc>
        <w:tc>
          <w:tcPr>
            <w:tcW w:w="116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90</w:t>
            </w:r>
          </w:p>
        </w:tc>
        <w:tc>
          <w:tcPr>
            <w:tcW w:w="1578"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0.00043</w:t>
            </w:r>
          </w:p>
        </w:tc>
        <w:tc>
          <w:tcPr>
            <w:tcW w:w="191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20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0.0001</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60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0.00029</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10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0.00005</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cs="Times New Roman"/>
                <w:b w:val="0"/>
                <w:bCs w:val="0"/>
                <w:sz w:val="21"/>
                <w:szCs w:val="21"/>
                <w:vertAlign w:val="baseline"/>
                <w:lang w:val="en-US" w:eastAsia="zh-CN"/>
              </w:rPr>
            </w:pPr>
            <w:r>
              <w:rPr>
                <w:rFonts w:hint="eastAsia" w:ascii="Times New Roman" w:hAnsi="Times New Roman" w:cs="Times New Roman"/>
                <w:b w:val="0"/>
                <w:bCs/>
                <w:sz w:val="21"/>
                <w:szCs w:val="21"/>
                <w:lang w:val="en-US" w:eastAsia="zh-CN"/>
              </w:rPr>
              <w:t>TP</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4</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0.00002</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restart"/>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全厂排放口合计（废水绿化，不外排）</w:t>
            </w: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CODcr</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position w:val="2"/>
                <w:sz w:val="21"/>
                <w:szCs w:val="21"/>
                <w:vertAlign w:val="subscript"/>
                <w:lang w:val="en-US" w:eastAsia="zh-CN"/>
              </w:rPr>
              <w:t>5</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NH</w:t>
            </w:r>
            <w:r>
              <w:rPr>
                <w:rFonts w:hint="default" w:ascii="Times New Roman" w:hAnsi="Times New Roman" w:eastAsia="宋体" w:cs="Times New Roman"/>
                <w:color w:val="auto"/>
                <w:kern w:val="2"/>
                <w:sz w:val="21"/>
                <w:szCs w:val="21"/>
                <w:vertAlign w:val="subscript"/>
                <w:lang w:val="en-US" w:eastAsia="zh-CN" w:bidi="ar-SA"/>
              </w:rPr>
              <w:t>3</w:t>
            </w:r>
            <w:r>
              <w:rPr>
                <w:rFonts w:hint="default" w:ascii="Times New Roman" w:hAnsi="Times New Roman" w:eastAsia="宋体" w:cs="Times New Roman"/>
                <w:color w:val="auto"/>
                <w:kern w:val="2"/>
                <w:sz w:val="21"/>
                <w:szCs w:val="21"/>
                <w:vertAlign w:val="baseline"/>
                <w:lang w:val="en-US" w:eastAsia="zh-CN" w:bidi="ar-SA"/>
              </w:rPr>
              <w:t>-N</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tcBorders>
              <w:bottom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eastAsia="宋体" w:cs="Times New Roman"/>
                <w:b w:val="0"/>
                <w:bCs/>
                <w:sz w:val="21"/>
                <w:szCs w:val="21"/>
                <w:lang w:val="en-US" w:eastAsia="zh-CN"/>
              </w:rPr>
              <w:t>TP</w:t>
            </w:r>
          </w:p>
        </w:tc>
        <w:tc>
          <w:tcPr>
            <w:tcW w:w="1644"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bl>
    <w:p>
      <w:pPr>
        <w:pStyle w:val="6"/>
        <w:rPr>
          <w:rFonts w:hint="eastAsia"/>
        </w:rPr>
      </w:pPr>
      <w:r>
        <w:rPr>
          <w:rFonts w:hint="eastAsia"/>
          <w:lang w:eastAsia="zh-CN"/>
        </w:rPr>
        <w:t xml:space="preserve">地表水环境影响评价自查表  </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13</w:t>
      </w:r>
      <w:r>
        <w:rPr>
          <w:rFonts w:hint="eastAsia" w:ascii="Times New Roman" w:hAnsi="Times New Roman" w:eastAsia="宋体" w:cs="Times New Roman"/>
          <w:b/>
          <w:bCs/>
          <w:color w:val="000000"/>
          <w:sz w:val="21"/>
          <w:szCs w:val="21"/>
          <w:lang w:val="en-US" w:eastAsia="zh-CN"/>
        </w:rPr>
        <w:t xml:space="preserve">   </w:t>
      </w:r>
      <w:r>
        <w:rPr>
          <w:rFonts w:hint="eastAsia" w:ascii="Times New Roman" w:hAnsi="Times New Roman" w:eastAsia="宋体" w:cs="Times New Roman"/>
          <w:b/>
          <w:bCs/>
          <w:color w:val="000000"/>
          <w:sz w:val="21"/>
          <w:szCs w:val="21"/>
          <w:lang w:eastAsia="zh-CN"/>
        </w:rPr>
        <w:t>地表水影响评价自查</w:t>
      </w:r>
      <w:r>
        <w:rPr>
          <w:rFonts w:hint="default" w:ascii="Times New Roman" w:hAnsi="Times New Roman" w:eastAsia="宋体" w:cs="Times New Roman"/>
          <w:b/>
          <w:bCs/>
          <w:color w:val="000000"/>
          <w:sz w:val="21"/>
          <w:szCs w:val="21"/>
        </w:rPr>
        <w:t>表</w:t>
      </w:r>
    </w:p>
    <w:tbl>
      <w:tblPr>
        <w:tblStyle w:val="63"/>
        <w:tblW w:w="499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28"/>
        <w:gridCol w:w="775"/>
        <w:gridCol w:w="1147"/>
        <w:gridCol w:w="320"/>
        <w:gridCol w:w="537"/>
        <w:gridCol w:w="532"/>
        <w:gridCol w:w="799"/>
        <w:gridCol w:w="680"/>
        <w:gridCol w:w="297"/>
        <w:gridCol w:w="496"/>
        <w:gridCol w:w="1057"/>
        <w:gridCol w:w="469"/>
        <w:gridCol w:w="968"/>
        <w:gridCol w:w="129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76" w:hRule="atLeast"/>
          <w:tblHeader/>
          <w:jc w:val="center"/>
        </w:trPr>
        <w:tc>
          <w:tcPr>
            <w:tcW w:w="741" w:type="pct"/>
            <w:gridSpan w:val="2"/>
            <w:tcBorders>
              <w:top w:val="single" w:color="auto" w:sz="12" w:space="0"/>
              <w:left w:val="nil"/>
              <w:bottom w:val="single" w:color="auto" w:sz="12"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工作内容</w:t>
            </w:r>
          </w:p>
        </w:tc>
        <w:tc>
          <w:tcPr>
            <w:tcW w:w="4258" w:type="pct"/>
            <w:gridSpan w:val="12"/>
            <w:tcBorders>
              <w:top w:val="single" w:color="auto" w:sz="12" w:space="0"/>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自查项目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12"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影响识别</w:t>
            </w:r>
          </w:p>
        </w:tc>
        <w:tc>
          <w:tcPr>
            <w:tcW w:w="510" w:type="pct"/>
            <w:tcBorders>
              <w:top w:val="single" w:color="auto" w:sz="12"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影响类型</w:t>
            </w:r>
          </w:p>
        </w:tc>
        <w:tc>
          <w:tcPr>
            <w:tcW w:w="4258" w:type="pct"/>
            <w:gridSpan w:val="12"/>
            <w:tcBorders>
              <w:top w:val="single" w:color="auto" w:sz="12"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水污染影响型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；水文要素影响型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水环境保护目标</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饮用水水源保护区 □；饮用水取水口 □；涉水的自然保护区 □；涉水的风景名胜区 □；重要湿地 □；重点保护与珍稀水生生物的栖息地 □；重要水生生物的自然产卵场及索饵场、越冬场和洄游通道□；天然渔场等渔业水体 □；水产种质资源保护区□；其他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影响途径</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直接排放 □；间接排放 □；其他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□；径流 □；水域面积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影响因子</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持久性污染物 □；有毒有害污染物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非持久性污染物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；pH值 □；热污染 □；富营养化 □；其他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□；水位（水深） □；流速 □；流量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vMerge w:val="restart"/>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评价等级</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vMerge w:val="continue"/>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一级 □；二级 □；三级A □；三级B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一级 □；二级 □；三级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现状调查</w:t>
            </w: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区域污染源</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调查项目</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已建 □；在建 □；拟建 □；其他 □</w:t>
            </w:r>
          </w:p>
        </w:tc>
        <w:tc>
          <w:tcPr>
            <w:tcW w:w="1180"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拟替代的污染源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 □；环评 □；环保验收 □；既有实测 □；现场监测 □；入河排放口数据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受影响水体水环境质量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9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封期 □春季 □；夏季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bookmarkStart w:id="136" w:name="_GoBack"/>
            <w:bookmarkEnd w:id="136"/>
            <w:r>
              <w:rPr>
                <w:rFonts w:hint="default" w:ascii="Times New Roman" w:hAnsi="Times New Roman" w:eastAsia="宋体" w:cs="Times New Roman"/>
                <w:color w:val="000000"/>
                <w:kern w:val="0"/>
                <w:sz w:val="18"/>
                <w:szCs w:val="18"/>
              </w:rPr>
              <w:t xml:space="preserve">生态环境保护主管部门 □；补充监测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；其他 </w:t>
            </w:r>
            <w:r>
              <w:rPr>
                <w:rFonts w:hint="default" w:ascii="Times New Roman" w:hAnsi="Times New Roman" w:eastAsia="宋体" w:cs="Times New Roman"/>
                <w:color w:val="000000"/>
                <w:kern w:val="0"/>
                <w:sz w:val="18"/>
                <w:szCs w:val="18"/>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区域水资源开发利用状况</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未开发 □；开发量40%以下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；开发量40%以上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水文情势调查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1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水行政主管部门 □；补充监测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补充</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　</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监测时期</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监测断面或点位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冰封期 □春季 □；夏季 □；秋季 □；冬季 □</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val="en-US" w:eastAsia="zh-CN"/>
              </w:rPr>
              <w:t>COD、NH</w:t>
            </w:r>
            <w:r>
              <w:rPr>
                <w:rFonts w:hint="eastAsia" w:ascii="Times New Roman" w:hAnsi="Times New Roman" w:eastAsia="宋体" w:cs="Times New Roman"/>
                <w:color w:val="000000"/>
                <w:kern w:val="0"/>
                <w:sz w:val="18"/>
                <w:szCs w:val="18"/>
                <w:vertAlign w:val="subscript"/>
                <w:lang w:val="en-US" w:eastAsia="zh-CN"/>
              </w:rPr>
              <w:t>3</w:t>
            </w:r>
            <w:r>
              <w:rPr>
                <w:rFonts w:hint="eastAsia"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eastAsia="zh-CN"/>
              </w:rPr>
              <w:t>、</w:t>
            </w:r>
            <w:r>
              <w:rPr>
                <w:rFonts w:hint="eastAsia" w:ascii="Times New Roman" w:hAnsi="Times New Roman" w:eastAsia="宋体" w:cs="Times New Roman"/>
                <w:color w:val="000000"/>
                <w:kern w:val="0"/>
                <w:sz w:val="18"/>
                <w:szCs w:val="18"/>
                <w:lang w:val="en-US" w:eastAsia="zh-CN"/>
              </w:rPr>
              <w:t xml:space="preserve">TP等 </w:t>
            </w:r>
            <w:r>
              <w:rPr>
                <w:rFonts w:hint="default" w:ascii="Times New Roman" w:hAnsi="Times New Roman" w:eastAsia="宋体" w:cs="Times New Roman"/>
                <w:color w:val="000000"/>
                <w:kern w:val="0"/>
                <w:sz w:val="18"/>
                <w:szCs w:val="18"/>
              </w:rPr>
              <w:t>）</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监测断面或点位个数（ </w:t>
            </w:r>
            <w:r>
              <w:rPr>
                <w:rFonts w:hint="eastAsia" w:ascii="Times New Roman" w:hAnsi="Times New Roman" w:eastAsia="宋体" w:cs="Times New Roman"/>
                <w:color w:val="000000"/>
                <w:kern w:val="0"/>
                <w:sz w:val="18"/>
                <w:szCs w:val="18"/>
                <w:lang w:val="en-US" w:eastAsia="zh-CN"/>
              </w:rPr>
              <w:t>2</w:t>
            </w:r>
            <w:r>
              <w:rPr>
                <w:rFonts w:hint="default" w:ascii="Times New Roman" w:hAnsi="Times New Roman" w:eastAsia="宋体" w:cs="Times New Roman"/>
                <w:color w:val="000000"/>
                <w:kern w:val="0"/>
                <w:sz w:val="18"/>
                <w:szCs w:val="18"/>
              </w:rPr>
              <w:t xml:space="preserve">  ）个</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河流：长度（ </w:t>
            </w:r>
            <w:r>
              <w:rPr>
                <w:rFonts w:hint="default" w:ascii="Times New Roman" w:hAnsi="Times New Roman" w:eastAsia="宋体" w:cs="Times New Roman"/>
                <w:color w:val="000000"/>
                <w:kern w:val="0"/>
                <w:sz w:val="18"/>
                <w:szCs w:val="18"/>
                <w:lang w:val="en-US" w:eastAsia="zh-CN"/>
              </w:rPr>
              <w:t>11.95</w:t>
            </w:r>
            <w:r>
              <w:rPr>
                <w:rFonts w:hint="default" w:ascii="Times New Roman" w:hAnsi="Times New Roman" w:eastAsia="宋体" w:cs="Times New Roman"/>
                <w:color w:val="000000"/>
                <w:kern w:val="0"/>
                <w:sz w:val="18"/>
                <w:szCs w:val="18"/>
              </w:rPr>
              <w:t xml:space="preserve"> ）km；湖库、河口及近岸海域：面积（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CODcr、NH</w:t>
            </w:r>
            <w:r>
              <w:rPr>
                <w:rFonts w:hint="default" w:ascii="Times New Roman" w:hAnsi="Times New Roman" w:eastAsia="宋体" w:cs="Times New Roman"/>
                <w:color w:val="000000"/>
                <w:kern w:val="0"/>
                <w:sz w:val="18"/>
                <w:szCs w:val="18"/>
                <w:vertAlign w:val="subscript"/>
                <w:lang w:val="en-US" w:eastAsia="zh-CN"/>
              </w:rPr>
              <w:t>3</w:t>
            </w:r>
            <w:r>
              <w:rPr>
                <w:rFonts w:hint="default"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标准</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河流、湖库、河口：Ⅰ类 □；Ⅱ类 □；Ⅲ类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；Ⅳ类 □；Ⅴ类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近岸海域：第一类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；第二类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；第三类 □；第四类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规划年评价标准（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春季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；夏季 □；秋季 □；冬季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结论</w:t>
            </w:r>
          </w:p>
        </w:tc>
        <w:tc>
          <w:tcPr>
            <w:tcW w:w="3661" w:type="pct"/>
            <w:gridSpan w:val="11"/>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水环境功能区或水功能区、近岸海域环境功能区水质达标状况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水环境控制单元或断面水质达标状况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水环境保护目标质量状况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对照断面、控制断面等代表性断面的水质状况 ：达标 □；不达标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底泥污染评价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水资源与开发利用程度及其水文情势评价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水环境质量回顾评价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流域（区域）水资源（包括水能资源）与开发利用总体状况、生态流量管理要求与现状满足程度、建设项目占用水域空间的水流状况与河湖演变状况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依托污水处理设施稳定达标排放评价 □</w:t>
            </w:r>
          </w:p>
        </w:tc>
        <w:tc>
          <w:tcPr>
            <w:tcW w:w="597" w:type="pct"/>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达标区</w:t>
            </w:r>
            <w:r>
              <w:rPr>
                <w:rFonts w:hint="default" w:ascii="Times New Roman" w:hAnsi="Times New Roman" w:eastAsia="宋体" w:cs="Times New Roman"/>
                <w:color w:val="000000"/>
                <w:kern w:val="0"/>
                <w:sz w:val="18"/>
                <w:szCs w:val="18"/>
              </w:rPr>
              <w:sym w:font="Wingdings 2" w:char="0052"/>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不达标区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影响预测</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河流：长度（）km；湖库、河口及近岸海域：面积（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设计水文条件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情景</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建设期 □；生产运行期 □；服务期满后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正常工况 □；非正常工况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污染控制和减缓措施方案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区（流）域环境质量改善目标要求情景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方法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数值解 □：解析解 □；其他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导则推荐模式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水污染控制和水环境影响减缓措施有效性评价</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区（流）域水环境质量改善目标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；替代削减源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水环境影响评价</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排放口混合区外满足水环境管理要求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水环境功能区或水功能区、近岸海域环境功能区水质达标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满足水环境保护目标水域水环境质量要求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水环境控制单元或断面水质达标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满足重点水污染物排放总量控制指标要求，重点行业建设项目， 主要污染物排放满足等量或减量替代要求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满足区（流）域水环境质量改善目标要求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水文要素影响型建设项目同时应包括水文情势变化评价、主要水文特征值影响评价、生态流量符合性评价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对于新设或调整入河（湖库、近岸海域）排放口的建设项目，应包括排放口设置的环境合理性评价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满足生态保护红线、水环境质量底线、资源利用上线和环境准入清单管理要求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污染源排放量核算</w:t>
            </w: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eastAsia"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 xml:space="preserve"> ）</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替代源排放情况</w:t>
            </w: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污染源名称</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排污许可证编号</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生态流量确定</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生态流量：一般水期（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/s；鱼类繁殖期（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/s；其他（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生态水位：一般水期（   ）m；鱼类繁殖期（   ）m；其他（   ）m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防治措施</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环保措施</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污水处理设施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；水文减缓设施 □；生态流量保障设施 □；区域削减 □；依托其他工程措施 □；其他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监测计划</w:t>
            </w: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环境质量</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监测方式</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000000"/>
                <w:kern w:val="0"/>
                <w:sz w:val="18"/>
                <w:szCs w:val="18"/>
              </w:rPr>
            </w:pPr>
            <w:r>
              <w:rPr>
                <w:rFonts w:hint="default" w:ascii="Times New Roman" w:hAnsi="Times New Roman" w:eastAsia="宋体" w:cs="Times New Roman"/>
                <w:color w:val="000000"/>
                <w:kern w:val="0"/>
                <w:sz w:val="18"/>
                <w:szCs w:val="18"/>
              </w:rPr>
              <w:t xml:space="preserve">手动 □；自动 □；无监测 </w:t>
            </w:r>
            <w:r>
              <w:rPr>
                <w:rFonts w:hint="default" w:ascii="Times New Roman" w:hAnsi="Times New Roman" w:eastAsia="宋体" w:cs="Times New Roman"/>
                <w:color w:val="000000"/>
                <w:kern w:val="0"/>
                <w:sz w:val="18"/>
                <w:szCs w:val="18"/>
              </w:rPr>
              <w:sym w:font="Wingdings 2" w:char="0052"/>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手动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；自动 □；无监测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监测点位</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eastAsia="zh-CN"/>
              </w:rPr>
              <w:t>污水处理设施排水口</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（pH、CODCr、BOD</w:t>
            </w:r>
            <w:r>
              <w:rPr>
                <w:rFonts w:hint="default" w:ascii="Times New Roman" w:hAnsi="Times New Roman" w:eastAsia="宋体" w:cs="Times New Roman"/>
                <w:color w:val="000000"/>
                <w:kern w:val="0"/>
                <w:sz w:val="18"/>
                <w:szCs w:val="18"/>
                <w:vertAlign w:val="subscript"/>
              </w:rPr>
              <w:t>5</w:t>
            </w:r>
            <w:r>
              <w:rPr>
                <w:rFonts w:hint="default" w:ascii="Times New Roman" w:hAnsi="Times New Roman" w:eastAsia="宋体" w:cs="Times New Roman"/>
                <w:color w:val="000000"/>
                <w:kern w:val="0"/>
                <w:sz w:val="18"/>
                <w:szCs w:val="18"/>
              </w:rPr>
              <w:t>、SS、氨氮）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污染物排放清单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lang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评价结论</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可以接受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；不可以接受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9" w:hRule="atLeast"/>
          <w:jc w:val="center"/>
        </w:trPr>
        <w:tc>
          <w:tcPr>
            <w:tcW w:w="5000" w:type="pct"/>
            <w:gridSpan w:val="14"/>
            <w:tcBorders>
              <w:top w:val="single" w:color="auto" w:sz="4" w:space="0"/>
              <w:left w:val="nil"/>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注：“□”为勾选项，可打√；“（   ）”为内容填写项；“备注”为其他补充内容。</w:t>
            </w:r>
          </w:p>
        </w:tc>
      </w:tr>
    </w:tbl>
    <w:p>
      <w:pPr>
        <w:pStyle w:val="6"/>
        <w:rPr>
          <w:rFonts w:hint="eastAsia"/>
        </w:rPr>
      </w:pPr>
      <w:r>
        <w:rPr>
          <w:rFonts w:hint="eastAsia"/>
          <w:lang w:eastAsia="zh-CN"/>
        </w:rPr>
        <w:t xml:space="preserve">地表水环境影响分析结论  </w:t>
      </w:r>
    </w:p>
    <w:p>
      <w:pPr>
        <w:keepNext/>
        <w:keepLines/>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textAlignment w:val="auto"/>
        <w:outlineLvl w:val="9"/>
        <w:rPr>
          <w:rFonts w:hint="eastAsia"/>
          <w:sz w:val="24"/>
          <w:szCs w:val="24"/>
          <w:lang w:eastAsia="zh-CN"/>
        </w:rPr>
      </w:pPr>
      <w:r>
        <w:rPr>
          <w:rFonts w:hint="eastAsia"/>
          <w:sz w:val="24"/>
          <w:szCs w:val="24"/>
        </w:rPr>
        <w:t>本项目运营期主要废水为猪粪尿污水、猪舍冲洗废水及员工生活污水，</w:t>
      </w:r>
      <w:r>
        <w:rPr>
          <w:rFonts w:hint="eastAsia"/>
          <w:sz w:val="24"/>
          <w:szCs w:val="24"/>
          <w:lang w:val="en-US" w:eastAsia="zh-CN"/>
        </w:rPr>
        <w:t>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GB5084-2005）旱作水质标准严者后全部回用于场内绿化和附近林地灌溉，不外排</w:t>
      </w:r>
      <w:r>
        <w:rPr>
          <w:rFonts w:hint="eastAsia"/>
          <w:sz w:val="24"/>
          <w:szCs w:val="24"/>
        </w:rPr>
        <w:t>。</w:t>
      </w:r>
      <w:r>
        <w:rPr>
          <w:rFonts w:hint="eastAsia"/>
          <w:sz w:val="24"/>
          <w:szCs w:val="24"/>
          <w:lang w:eastAsia="zh-CN"/>
        </w:rPr>
        <w:t>经上述处理后，项目生活污水对周边水体的影响处于可接受水平。</w:t>
      </w:r>
    </w:p>
    <w:p>
      <w:pPr>
        <w:pStyle w:val="5"/>
        <w:ind w:firstLine="562"/>
      </w:pPr>
      <w:r>
        <w:rPr>
          <w:rFonts w:hint="eastAsia"/>
          <w:lang w:val="en-US" w:eastAsia="zh-CN"/>
        </w:rPr>
        <w:t xml:space="preserve"> </w:t>
      </w:r>
      <w:r>
        <w:rPr>
          <w:rFonts w:hint="eastAsia"/>
          <w:lang w:eastAsia="zh-CN"/>
        </w:rPr>
        <w:t>营运期地下水环境影响分析</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 xml:space="preserve">5.2-14 </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86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5.2-15</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4"/>
        <w:gridCol w:w="2474"/>
        <w:gridCol w:w="2477"/>
        <w:gridCol w:w="2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1671552" behindDoc="0" locked="0" layoutInCell="1" allowOverlap="1">
                      <wp:simplePos x="0" y="0"/>
                      <wp:positionH relativeFrom="column">
                        <wp:posOffset>-39370</wp:posOffset>
                      </wp:positionH>
                      <wp:positionV relativeFrom="paragraph">
                        <wp:posOffset>-174625</wp:posOffset>
                      </wp:positionV>
                      <wp:extent cx="1352550" cy="350520"/>
                      <wp:effectExtent l="1270" t="4445" r="2540" b="10795"/>
                      <wp:wrapNone/>
                      <wp:docPr id="30" name="直接连接符 30"/>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1671552;mso-width-relative:page;mso-height-relative:page;" filled="f" stroked="t" coordsize="21600,21600" o:gfxdata="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JEq/TLXAAAACQEAAA8AAAAAAAAAAQAgAAAAIgAAAGRycy9kb3ducmV2LnhtbFBLAQIU&#10;ABQAAAAIAIdO4kAobfGq9AEAAMQDAAAOAAAAAAAAAAEAIAAAACYBAABkcnMvZTJvRG9jLnhtbFBL&#10;BQYAAAAABgAGAFkBAACMBQ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1250" w:type="pct"/>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1250" w:type="pct"/>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1249"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1250"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1250" w:type="pct"/>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5.2-15</w:t>
      </w:r>
      <w:r>
        <w:rPr>
          <w:rFonts w:hint="eastAsia"/>
          <w:szCs w:val="21"/>
        </w:rPr>
        <w:t>判别，项目的地下水环境敏感程度为不敏感，因此确定本项目地下水环境影响评价等级为三级。</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6"/>
        <w:rPr>
          <w:rFonts w:hint="eastAsia"/>
        </w:rPr>
      </w:pPr>
      <w:r>
        <w:rPr>
          <w:rFonts w:hint="eastAsia"/>
          <w:lang w:eastAsia="zh-CN"/>
        </w:rPr>
        <w:t>水文地质情况</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场地属为浅海相砂泥质碎屑岩建造，与下伏桂头组为连续过渡沉积。其岩性：底部为灰绿色砂砾岩，向上渐变为中粒石英砂岩；中上部为灰、黄、灰绿色千枚状页岩、砂质页岩夹紫红色砂岩，厚度100米～150米。</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项目所在区域属于北江韶关仁化地下水水源涵养区，地下水类型为裂隙水、，地下水水质类别为Ⅲ类，</w:t>
      </w:r>
      <w:r>
        <w:rPr>
          <w:rFonts w:hint="eastAsia"/>
          <w:lang w:eastAsia="zh-CN"/>
        </w:rPr>
        <w:t>水量贫乏：地下径流模</w:t>
      </w:r>
      <w:r>
        <w:rPr>
          <w:rFonts w:hint="default" w:ascii="Times New Roman" w:hAnsi="Times New Roman" w:cs="Times New Roman"/>
          <w:lang w:eastAsia="zh-CN"/>
        </w:rPr>
        <w:t>数</w:t>
      </w:r>
      <w:r>
        <w:rPr>
          <w:rFonts w:hint="default" w:ascii="Times New Roman" w:hAnsi="Times New Roman" w:cs="Times New Roman"/>
          <w:lang w:val="en-US" w:eastAsia="zh-CN"/>
        </w:rPr>
        <w:t>3~6L/S·km</w:t>
      </w:r>
      <w:r>
        <w:rPr>
          <w:rFonts w:hint="default" w:ascii="Times New Roman" w:hAnsi="Times New Roman" w:cs="Times New Roman"/>
          <w:vertAlign w:val="superscript"/>
          <w:lang w:val="en-US" w:eastAsia="zh-CN"/>
        </w:rPr>
        <w:t>2</w:t>
      </w:r>
      <w:r>
        <w:rPr>
          <w:rFonts w:hint="eastAsia"/>
          <w:lang w:val="en-US" w:eastAsia="zh-CN"/>
        </w:rPr>
        <w:t>，泉水流量小于0.1L/S</w:t>
      </w:r>
      <w:r>
        <w:rPr>
          <w:rFonts w:hint="default"/>
          <w:lang w:eastAsia="zh-CN"/>
        </w:rPr>
        <w:t>。</w:t>
      </w:r>
    </w:p>
    <w:p>
      <w:pPr>
        <w:pStyle w:val="6"/>
        <w:rPr>
          <w:rFonts w:hint="eastAsia"/>
        </w:rPr>
      </w:pPr>
      <w:r>
        <w:rPr>
          <w:rFonts w:hint="eastAsia"/>
          <w:lang w:eastAsia="zh-CN"/>
        </w:rPr>
        <w:t>地下水资源开发利用现状</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lang w:eastAsia="zh-CN"/>
        </w:rPr>
        <w:t>本项目附近区域目前无集中地下水取供水设施，未大规模开采地下水资源，仅有少量分散式的农村居民自备水井。项目选址附近的居民点生活用水以山溪水为主，少量取自自备水井水。根据调查，目前项目附近部分自然村已经铺设了自来水管道，随着当地城镇化的推进以及本项目的建设，项目周边的农村居民点逐步实现市政供自来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eastAsia="宋体"/>
          <w:lang w:val="en-US" w:eastAsia="zh-CN"/>
        </w:rPr>
      </w:pPr>
      <w:r>
        <w:rPr>
          <w:rFonts w:hint="eastAsia"/>
          <w:lang w:eastAsia="zh-CN"/>
        </w:rPr>
        <w:t>根据《广东省地下水功能区划》（</w:t>
      </w:r>
      <w:r>
        <w:rPr>
          <w:rFonts w:hint="eastAsia"/>
          <w:lang w:val="en-US" w:eastAsia="zh-CN"/>
        </w:rPr>
        <w:t>2009年</w:t>
      </w:r>
      <w:r>
        <w:rPr>
          <w:rFonts w:hint="eastAsia"/>
          <w:lang w:eastAsia="zh-CN"/>
        </w:rPr>
        <w:t>），该区域地下水保护目前控制水质类别为</w:t>
      </w:r>
      <w:r>
        <w:rPr>
          <w:rFonts w:hint="eastAsia"/>
          <w:highlight w:val="none"/>
        </w:rPr>
        <w:t>Ⅲ类</w:t>
      </w:r>
      <w:r>
        <w:rPr>
          <w:rFonts w:hint="eastAsia"/>
          <w:highlight w:val="none"/>
          <w:lang w:eastAsia="zh-CN"/>
        </w:rPr>
        <w:t>，开采水位降控制在</w:t>
      </w:r>
      <w:r>
        <w:rPr>
          <w:rFonts w:hint="eastAsia"/>
          <w:highlight w:val="none"/>
          <w:lang w:val="en-US" w:eastAsia="zh-CN"/>
        </w:rPr>
        <w:t>5-8米。</w:t>
      </w:r>
    </w:p>
    <w:p>
      <w:pPr>
        <w:pStyle w:val="6"/>
        <w:rPr>
          <w:rFonts w:hint="eastAsia"/>
        </w:rPr>
      </w:pPr>
      <w:r>
        <w:rPr>
          <w:rFonts w:hint="eastAsia"/>
          <w:lang w:eastAsia="zh-CN"/>
        </w:rPr>
        <w:t>污染源调查</w:t>
      </w:r>
    </w:p>
    <w:p>
      <w:pPr>
        <w:pStyle w:val="8"/>
        <w:rPr>
          <w:rFonts w:hint="eastAsia"/>
          <w:lang w:eastAsia="zh-CN"/>
        </w:rPr>
      </w:pPr>
      <w:r>
        <w:rPr>
          <w:rFonts w:hint="eastAsia"/>
          <w:lang w:eastAsia="zh-CN"/>
        </w:rPr>
        <w:t>本项目地处农村，区域没有工业污染源存在，区域污染源主要为农村面源污染，主要为农田中使用化肥和农药，生活污水无组织排放。</w:t>
      </w:r>
    </w:p>
    <w:p>
      <w:pPr>
        <w:pStyle w:val="6"/>
        <w:rPr>
          <w:rFonts w:hint="eastAsia"/>
        </w:rPr>
      </w:pPr>
      <w:r>
        <w:rPr>
          <w:rFonts w:hint="eastAsia"/>
          <w:lang w:eastAsia="zh-CN"/>
        </w:rPr>
        <w:t>本项目对地下水环境影响</w:t>
      </w:r>
    </w:p>
    <w:p>
      <w:pPr>
        <w:pStyle w:val="8"/>
        <w:rPr>
          <w:rFonts w:hint="eastAsia"/>
          <w:b/>
          <w:bCs/>
          <w:lang w:eastAsia="zh-CN"/>
        </w:rPr>
      </w:pPr>
      <w:r>
        <w:rPr>
          <w:rFonts w:hint="eastAsia"/>
          <w:b/>
          <w:bCs/>
          <w:lang w:eastAsia="zh-CN"/>
        </w:rPr>
        <w:t>（</w:t>
      </w:r>
      <w:r>
        <w:rPr>
          <w:rFonts w:hint="eastAsia"/>
          <w:b/>
          <w:bCs/>
          <w:lang w:val="en-US" w:eastAsia="zh-CN"/>
        </w:rPr>
        <w:t>1</w:t>
      </w:r>
      <w:r>
        <w:rPr>
          <w:rFonts w:hint="eastAsia"/>
          <w:b/>
          <w:bCs/>
          <w:lang w:eastAsia="zh-CN"/>
        </w:rPr>
        <w:t>）污染途径分析</w:t>
      </w:r>
    </w:p>
    <w:p>
      <w:pPr>
        <w:pStyle w:val="8"/>
        <w:rPr>
          <w:rFonts w:hint="eastAsia"/>
          <w:lang w:eastAsia="zh-CN"/>
        </w:rPr>
      </w:pPr>
      <w:r>
        <w:rPr>
          <w:rFonts w:hint="eastAsia"/>
          <w:lang w:eastAsia="zh-CN"/>
        </w:rPr>
        <w:t>最常见的潜水污染是污染物通过包气带渗入而形成的。浅层地下水和承压水的污染是通过各种井孔、坑洞和断层等发生的，他们作为一种通道把其揭露的含水层桶地面污染源或已被污染的含水层联系起来，造成深层地下水的污染，随着地下水的运动，形成地下水污染扩散带。结合本项目特点，可能造成的地下水污染途径有以下几种途径：</w:t>
      </w:r>
    </w:p>
    <w:p>
      <w:pPr>
        <w:pStyle w:val="8"/>
        <w:rPr>
          <w:rFonts w:hint="eastAsia"/>
          <w:lang w:val="en-US" w:eastAsia="zh-CN"/>
        </w:rPr>
      </w:pPr>
      <w:r>
        <w:rPr>
          <w:rFonts w:hint="eastAsia"/>
          <w:lang w:val="en-US" w:eastAsia="zh-CN"/>
        </w:rPr>
        <w:t>生产区猪舍防渗措施不足，导致粪便、猪尿、冲洗水通过裂隙渗入地下造成污染；</w:t>
      </w:r>
    </w:p>
    <w:p>
      <w:pPr>
        <w:pStyle w:val="8"/>
        <w:rPr>
          <w:rFonts w:hint="eastAsia"/>
          <w:lang w:val="en-US" w:eastAsia="zh-CN"/>
        </w:rPr>
      </w:pPr>
      <w:r>
        <w:rPr>
          <w:rFonts w:hint="eastAsia"/>
          <w:lang w:val="en-US" w:eastAsia="zh-CN"/>
        </w:rPr>
        <w:t>异位发酵床防渗措施不足，导致粪便发酵过程中可能通过裂隙渗入地下造成污染；</w:t>
      </w:r>
    </w:p>
    <w:p>
      <w:pPr>
        <w:pStyle w:val="8"/>
        <w:rPr>
          <w:rFonts w:hint="eastAsia"/>
          <w:lang w:val="en-US" w:eastAsia="zh-CN"/>
        </w:rPr>
      </w:pPr>
      <w:r>
        <w:rPr>
          <w:rFonts w:hint="eastAsia"/>
          <w:lang w:val="en-US" w:eastAsia="zh-CN"/>
        </w:rPr>
        <w:t>污水处理系统中的废水池，污水管道防渗措施不足，而造成废水渗漏污染地下水。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b/>
          <w:bCs/>
          <w:lang w:eastAsia="zh-CN"/>
        </w:rPr>
        <w:t>（</w:t>
      </w:r>
      <w:r>
        <w:rPr>
          <w:rFonts w:hint="eastAsia"/>
          <w:b/>
          <w:bCs/>
          <w:lang w:val="en-US" w:eastAsia="zh-CN"/>
        </w:rPr>
        <w:t>2</w:t>
      </w:r>
      <w:r>
        <w:rPr>
          <w:rFonts w:hint="eastAsia"/>
          <w:b/>
          <w:bCs/>
          <w:lang w:eastAsia="zh-CN"/>
        </w:rPr>
        <w:t>）防渗措施</w:t>
      </w:r>
    </w:p>
    <w:p>
      <w:pPr>
        <w:pStyle w:val="9"/>
        <w:rPr>
          <w:rFonts w:hint="eastAsia" w:eastAsia="宋体"/>
          <w:lang w:eastAsia="zh-CN"/>
        </w:rPr>
      </w:pPr>
      <w:r>
        <w:rPr>
          <w:rFonts w:hint="eastAsia"/>
          <w:lang w:eastAsia="zh-CN"/>
        </w:rPr>
        <w:t>为防止场区污水、固废对地下水造成污染，拟采取的具体措施如下：</w:t>
      </w:r>
    </w:p>
    <w:p>
      <w:pPr>
        <w:pStyle w:val="9"/>
        <w:rPr>
          <w:rFonts w:hint="eastAsia" w:eastAsia="宋体"/>
          <w:lang w:val="en-US" w:eastAsia="zh-CN"/>
        </w:rPr>
      </w:pPr>
      <w:r>
        <w:rPr>
          <w:rFonts w:hint="eastAsia"/>
          <w:lang w:val="en-US" w:eastAsia="zh-CN"/>
        </w:rPr>
        <w:t>1）重点防渗区</w:t>
      </w:r>
    </w:p>
    <w:p>
      <w:pPr>
        <w:pStyle w:val="9"/>
        <w:rPr>
          <w:rFonts w:hint="default" w:eastAsia="宋体"/>
          <w:lang w:val="en-US" w:eastAsia="zh-CN"/>
        </w:rPr>
      </w:pPr>
      <w:r>
        <w:rPr>
          <w:rFonts w:hint="eastAsia"/>
        </w:rPr>
        <w:sym w:font="Wingdings" w:char="F081"/>
      </w:r>
      <w:r>
        <w:rPr>
          <w:rFonts w:hint="eastAsia"/>
          <w:lang w:eastAsia="zh-CN"/>
        </w:rPr>
        <w:t>猪舍、异位发酵床以及固废贮存场所等需采取防渗措施，铺设防渗地坪，主要是三层从下面起第一层为土石混合料，厚度在</w:t>
      </w:r>
      <w:r>
        <w:rPr>
          <w:rFonts w:hint="eastAsia"/>
          <w:lang w:val="en-US" w:eastAsia="zh-CN"/>
        </w:rPr>
        <w:t>300~600cm，第二层为灰土结石，厚度在16~18cm，第三层就是最上面混凝土，厚度在20~25cm。</w:t>
      </w:r>
    </w:p>
    <w:p>
      <w:pPr>
        <w:pStyle w:val="9"/>
        <w:rPr>
          <w:rFonts w:hint="eastAsia" w:eastAsia="宋体"/>
          <w:lang w:eastAsia="zh-CN"/>
        </w:rPr>
      </w:pPr>
      <w:r>
        <w:rPr>
          <w:rFonts w:hint="eastAsia"/>
          <w:lang w:eastAsia="zh-CN"/>
        </w:rPr>
        <w:t>项目固体废物应设专门的收集容器内，容器采用密闭式，并采取安全措施，做到无关人员不可移动，外部应按照要求设置警示标示。用以存放装载液体、半固体危险废物容器的地方，必须有耐腐蚀硬化且表面无裂隙。</w:t>
      </w:r>
    </w:p>
    <w:p>
      <w:pPr>
        <w:pStyle w:val="9"/>
        <w:rPr>
          <w:rFonts w:hint="eastAsia" w:eastAsia="宋体"/>
          <w:lang w:eastAsia="zh-CN"/>
        </w:rPr>
      </w:pPr>
      <w:r>
        <w:rPr>
          <w:rFonts w:hint="eastAsia"/>
        </w:rPr>
        <w:sym w:font="Wingdings" w:char="F082"/>
      </w:r>
      <w:r>
        <w:rPr>
          <w:rFonts w:hint="eastAsia"/>
          <w:lang w:eastAsia="zh-CN"/>
        </w:rPr>
        <w:t>污水处理设施</w:t>
      </w:r>
    </w:p>
    <w:p>
      <w:pPr>
        <w:pStyle w:val="9"/>
        <w:rPr>
          <w:rFonts w:hint="default"/>
          <w:lang w:val="en-US"/>
        </w:rPr>
      </w:pPr>
      <w:r>
        <w:rPr>
          <w:rFonts w:hint="eastAsia"/>
          <w:lang w:eastAsia="zh-CN"/>
        </w:rPr>
        <w:t>污水处理设施的建设应参照《混凝土结构设计规范》（</w:t>
      </w:r>
      <w:r>
        <w:rPr>
          <w:rFonts w:hint="eastAsia"/>
          <w:lang w:val="en-US" w:eastAsia="zh-CN"/>
        </w:rPr>
        <w:t>GB50010</w:t>
      </w:r>
      <w:r>
        <w:rPr>
          <w:rFonts w:hint="eastAsia"/>
          <w:lang w:eastAsia="zh-CN"/>
        </w:rPr>
        <w:t>）的要求，严格做好防渗措施，水泥应优先选用硅酸盐水泥，也可以用矿渣硅酸盐水泥、火山灰硅酸盐水泥或粉煤灰硅酸盐水泥。水泥的性能指标应符合</w:t>
      </w:r>
      <w:r>
        <w:rPr>
          <w:rFonts w:hint="eastAsia"/>
          <w:lang w:val="en-US" w:eastAsia="zh-CN"/>
        </w:rPr>
        <w:t>GB175和GB1344的规定，宜选用水泥强度标号为325号或425号的水泥。砂子采用中砂，不应含有有机物，水洗后含泥量不大于3%；云母含量小于0.5%。石子采用粒径0.5cm-4.0cm的碎石或卵石，级配合理，孔隙率不大于45%；针状、片状小于15%；压碎指标小于10%；泥土杂质含量用水冲洗后小于2%；石子强度大于混凝土标号1.5倍。如因废水处理设施故障（如污水池地裂、壁损等事故），则导致废水事故排放，同时会污染地下水，建设单位应在每个污水池设水位计，并安装专人日常监管，如出现污水水位不正常情况应立即排查，如因污水池地裂、壁损等导致水位下降，须立即关闭阀门，停止污水处理系统运行，同时采用水泵将已在污水池中处理的废水用水泵抽至事故应急池，待废水处理设施抢修完毕后，再将事故应急池内废水纳入污水处理设施。</w:t>
      </w:r>
    </w:p>
    <w:p>
      <w:pPr>
        <w:pStyle w:val="9"/>
        <w:rPr>
          <w:rFonts w:hint="eastAsia" w:eastAsia="宋体"/>
          <w:lang w:eastAsia="zh-CN"/>
        </w:rPr>
      </w:pPr>
      <w:r>
        <w:rPr>
          <w:rFonts w:hint="eastAsia"/>
        </w:rPr>
        <w:sym w:font="Wingdings" w:char="F083"/>
      </w:r>
      <w:r>
        <w:rPr>
          <w:rFonts w:hint="eastAsia"/>
          <w:lang w:eastAsia="zh-CN"/>
        </w:rPr>
        <w:t>管道、阀门防渗漏措施</w:t>
      </w:r>
    </w:p>
    <w:p>
      <w:pPr>
        <w:pStyle w:val="9"/>
        <w:rPr>
          <w:rFonts w:hint="eastAsia" w:eastAsia="宋体"/>
          <w:lang w:eastAsia="zh-CN"/>
        </w:rPr>
      </w:pPr>
      <w:r>
        <w:rPr>
          <w:rFonts w:hint="eastAsia"/>
          <w:lang w:eastAsia="zh-CN"/>
        </w:rPr>
        <w:t>阀门采用知名厂家优质产品，对于生活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设施统一处理。</w:t>
      </w:r>
    </w:p>
    <w:p>
      <w:pPr>
        <w:pStyle w:val="9"/>
        <w:rPr>
          <w:rFonts w:hint="eastAsia" w:eastAsia="宋体"/>
          <w:lang w:eastAsia="zh-CN"/>
        </w:rPr>
      </w:pPr>
      <w:r>
        <w:rPr>
          <w:rFonts w:hint="eastAsia"/>
        </w:rPr>
        <w:fldChar w:fldCharType="begin"/>
      </w:r>
      <w:r>
        <w:rPr>
          <w:rFonts w:hint="eastAsia"/>
        </w:rPr>
        <w:instrText xml:space="preserve"> = 4 \* GB3 \* MERGEFORMAT </w:instrText>
      </w:r>
      <w:r>
        <w:rPr>
          <w:rFonts w:hint="eastAsia"/>
        </w:rPr>
        <w:fldChar w:fldCharType="separate"/>
      </w:r>
      <w:r>
        <w:t>④</w:t>
      </w:r>
      <w:r>
        <w:rPr>
          <w:rFonts w:hint="eastAsia"/>
        </w:rPr>
        <w:fldChar w:fldCharType="end"/>
      </w:r>
      <w:r>
        <w:rPr>
          <w:rFonts w:hint="eastAsia"/>
          <w:lang w:eastAsia="zh-CN"/>
        </w:rPr>
        <w:t>废水收集管网防渗漏措施</w:t>
      </w:r>
    </w:p>
    <w:p>
      <w:pPr>
        <w:pStyle w:val="9"/>
        <w:rPr>
          <w:rFonts w:hint="eastAsia" w:eastAsia="宋体"/>
          <w:lang w:eastAsia="zh-CN"/>
        </w:rPr>
      </w:pPr>
      <w:r>
        <w:rPr>
          <w:rFonts w:hint="eastAsia"/>
          <w:lang w:eastAsia="zh-CN"/>
        </w:rPr>
        <w:t>在防渗漏区内废水收集管网是设计的关键内容，设计合理的排水坡度，使水在集水井汇集。鉴于本项目地势中部为最高地势，因此本项目污水的总体走向均汇入厂区的集污池，将粪污处理设施设置的场区用地的西部和东部，及生产区的西侧、生活区的南侧。</w:t>
      </w:r>
    </w:p>
    <w:p>
      <w:pPr>
        <w:pStyle w:val="9"/>
        <w:rPr>
          <w:rFonts w:hint="eastAsia" w:eastAsia="宋体"/>
          <w:lang w:val="en-US" w:eastAsia="zh-CN"/>
        </w:rPr>
      </w:pPr>
      <w:r>
        <w:rPr>
          <w:rFonts w:hint="eastAsia"/>
          <w:lang w:val="en-US" w:eastAsia="zh-CN"/>
        </w:rPr>
        <w:t>2）一般防渗区</w:t>
      </w:r>
    </w:p>
    <w:p>
      <w:pPr>
        <w:pStyle w:val="9"/>
        <w:rPr>
          <w:rFonts w:hint="default" w:eastAsia="宋体"/>
          <w:lang w:val="en-US" w:eastAsia="zh-CN"/>
        </w:rPr>
      </w:pPr>
      <w:r>
        <w:rPr>
          <w:rFonts w:hint="eastAsia"/>
          <w:lang w:eastAsia="zh-CN"/>
        </w:rPr>
        <w:t>场区内生活区、垃圾集中放置地采取黏土铺底，再在上层铺</w:t>
      </w:r>
      <w:r>
        <w:rPr>
          <w:rFonts w:hint="eastAsia"/>
          <w:lang w:val="en-US" w:eastAsia="zh-CN"/>
        </w:rPr>
        <w:t>10~15cm的水泥进行硬化。通过上述措施可使一般污染区各单元防渗层渗透系数≤10</w:t>
      </w:r>
      <w:r>
        <w:rPr>
          <w:rFonts w:hint="eastAsia"/>
          <w:vertAlign w:val="superscript"/>
          <w:lang w:val="en-US" w:eastAsia="zh-CN"/>
        </w:rPr>
        <w:t>-7</w:t>
      </w:r>
      <w:r>
        <w:rPr>
          <w:rFonts w:hint="eastAsia"/>
          <w:lang w:val="en-US" w:eastAsia="zh-CN"/>
        </w:rPr>
        <w:t>cm/s。</w:t>
      </w:r>
    </w:p>
    <w:p>
      <w:pPr>
        <w:pStyle w:val="9"/>
        <w:rPr>
          <w:rFonts w:hint="eastAsia" w:eastAsia="宋体"/>
          <w:lang w:val="en-US" w:eastAsia="zh-CN"/>
        </w:rPr>
      </w:pPr>
      <w:r>
        <w:rPr>
          <w:rFonts w:hint="eastAsia"/>
          <w:lang w:val="en-US" w:eastAsia="zh-CN"/>
        </w:rPr>
        <w:t>2）简单防渗区</w:t>
      </w:r>
    </w:p>
    <w:p>
      <w:pPr>
        <w:pStyle w:val="9"/>
        <w:rPr>
          <w:rFonts w:hint="eastAsia" w:eastAsia="宋体"/>
          <w:lang w:eastAsia="zh-CN"/>
        </w:rPr>
      </w:pPr>
      <w:r>
        <w:rPr>
          <w:rFonts w:hint="eastAsia"/>
          <w:lang w:eastAsia="zh-CN"/>
        </w:rPr>
        <w:t>生产区、生活区其他区域（除绿化用地之外）应全部进行硬化处理，实现场内不裸露土层。</w:t>
      </w:r>
    </w:p>
    <w:p>
      <w:pPr>
        <w:pStyle w:val="9"/>
        <w:rPr>
          <w:rFonts w:hint="eastAsia"/>
          <w:lang w:eastAsia="zh-CN"/>
        </w:rPr>
      </w:pPr>
      <w:r>
        <w:rPr>
          <w:rFonts w:hint="eastAsia"/>
          <w:lang w:eastAsia="zh-CN"/>
        </w:rPr>
        <w:t>因此，在建设单位严格按照本次评价提出的防渗措施对各单元进行治理后，各功能区及各单元的渗透系数均较低。本项目废水、固废向地下水发生渗透的概率较低。因此，对区域内地下水污染产生的不利影响较小。</w:t>
      </w:r>
    </w:p>
    <w:p>
      <w:pPr>
        <w:pStyle w:val="6"/>
        <w:rPr>
          <w:rFonts w:hint="eastAsia"/>
        </w:rPr>
      </w:pPr>
      <w:r>
        <w:rPr>
          <w:rFonts w:hint="eastAsia"/>
          <w:lang w:eastAsia="zh-CN"/>
        </w:rPr>
        <w:t>影响结论</w:t>
      </w:r>
    </w:p>
    <w:p>
      <w:pPr>
        <w:pStyle w:val="8"/>
        <w:rPr>
          <w:rFonts w:hint="eastAsia"/>
        </w:rPr>
      </w:pPr>
      <w:r>
        <w:rPr>
          <w:rFonts w:hint="eastAsia"/>
          <w:lang w:eastAsia="zh-CN"/>
        </w:rPr>
        <w:t>综合所述，本项目所在区域为不敏感区，影响范围主要为项目场界内。由污染途径及应对措施分析可知，项目生活区及生产区对可能产生地下水影响的各项途径均进行有效预防，在确保各项防渗措施得以落实，并加强维护和场区环境管理的前提下，可有效控制项目产生的污染物下渗现象，故本项目不存在无组织排放面源，不会产生地表径流，对地下水环境影响较小。</w:t>
      </w:r>
    </w:p>
    <w:p>
      <w:pPr>
        <w:pStyle w:val="5"/>
        <w:ind w:firstLine="562"/>
      </w:pPr>
      <w:r>
        <w:rPr>
          <w:rFonts w:hint="eastAsia"/>
          <w:lang w:val="en-US" w:eastAsia="zh-CN"/>
        </w:rPr>
        <w:t xml:space="preserve"> </w:t>
      </w:r>
      <w:r>
        <w:rPr>
          <w:rFonts w:hint="eastAsia"/>
          <w:lang w:eastAsia="zh-CN"/>
        </w:rPr>
        <w:t>营运期声环境影响预测</w:t>
      </w:r>
    </w:p>
    <w:p>
      <w:pPr>
        <w:pStyle w:val="6"/>
        <w:rPr>
          <w:rFonts w:hint="eastAsia"/>
        </w:rPr>
      </w:pPr>
      <w:r>
        <w:rPr>
          <w:rFonts w:hint="eastAsia"/>
          <w:lang w:eastAsia="zh-CN"/>
        </w:rPr>
        <w:t xml:space="preserve">主要噪声源分析  </w:t>
      </w:r>
    </w:p>
    <w:p>
      <w:pPr>
        <w:pStyle w:val="19"/>
        <w:rPr>
          <w:rFonts w:hint="default" w:ascii="Times New Roman" w:hAnsi="Times New Roman" w:eastAsia="宋体" w:cs="Times New Roman"/>
          <w:kern w:val="0"/>
          <w:sz w:val="24"/>
          <w:szCs w:val="24"/>
          <w:lang w:val="en-US" w:eastAsia="zh-CN" w:bidi="ar-SA"/>
        </w:rPr>
      </w:pPr>
      <w:r>
        <w:rPr>
          <w:rFonts w:hint="eastAsia" w:cs="Times New Roman"/>
          <w:b w:val="0"/>
          <w:bCs w:val="0"/>
          <w:sz w:val="24"/>
          <w:szCs w:val="24"/>
          <w:lang w:eastAsia="zh-CN"/>
        </w:rPr>
        <w:t>根据工程分析，</w:t>
      </w: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5.2-16</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表5.2-16  主要噪声设备源强及治理效果一览表</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
        <w:gridCol w:w="1864"/>
        <w:gridCol w:w="1743"/>
        <w:gridCol w:w="1516"/>
        <w:gridCol w:w="1900"/>
        <w:gridCol w:w="1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41"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88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765"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95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995"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41"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880"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765"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941"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880"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995"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6"/>
        <w:rPr>
          <w:rFonts w:hint="eastAsia"/>
        </w:rPr>
      </w:pPr>
      <w:r>
        <w:rPr>
          <w:rFonts w:hint="eastAsia"/>
          <w:lang w:eastAsia="zh-CN"/>
        </w:rPr>
        <w:t>预测模式</w:t>
      </w:r>
    </w:p>
    <w:p>
      <w:pPr>
        <w:pStyle w:val="19"/>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项目建成后，噪声源主要来自场内各种机械设备运行时产生的噪声以及猪的争斗、哼叫声，这些声源是点声源。按照《环境影响评价技术导则</w:t>
      </w:r>
      <w:r>
        <w:rPr>
          <w:rFonts w:hint="eastAsia" w:cs="Times New Roman"/>
          <w:b w:val="0"/>
          <w:bCs w:val="0"/>
          <w:sz w:val="24"/>
          <w:szCs w:val="24"/>
          <w:lang w:val="en-US" w:eastAsia="zh-CN"/>
        </w:rPr>
        <w:t xml:space="preserve">  </w:t>
      </w:r>
      <w:r>
        <w:rPr>
          <w:rFonts w:hint="eastAsia" w:cs="Times New Roman"/>
          <w:b w:val="0"/>
          <w:bCs w:val="0"/>
          <w:sz w:val="24"/>
          <w:szCs w:val="24"/>
          <w:lang w:eastAsia="zh-CN"/>
        </w:rPr>
        <w:t xml:space="preserve"> 声环境（HJ2.4-2009）》的要求，选择点声源预测模式来预测本项目主要声源排放噪声随距离的衰减变化规律。采用以下噪声影响计算模式：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1、单个室外的点声源在预测点产生的声级计算基本公式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如已知声源的倍频带声功率级（从63Hz到8KHz标称频带中心频率的8个倍频带），预测点位置的倍频带声压级可按以下公式计算：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Settings\\Temp\\4_)47U7OBLFXSWD)67UW`QH.jpg" \* MERGEFORMAT </w:instrText>
      </w:r>
      <w:r>
        <w:rPr>
          <w:rFonts w:hint="eastAsia"/>
        </w:rPr>
        <w:fldChar w:fldCharType="separate"/>
      </w:r>
      <w:r>
        <w:rPr>
          <w:rFonts w:hint="eastAsia"/>
        </w:rPr>
        <w:drawing>
          <wp:inline distT="0" distB="0" distL="114300" distR="114300">
            <wp:extent cx="1485265" cy="269875"/>
            <wp:effectExtent l="0" t="0" r="8255" b="4445"/>
            <wp:docPr id="13" name="图片 47" descr="4_)47U7OBLFXSWD)67UW`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7" descr="4_)47U7OBLFXSWD)67UW`QH"/>
                    <pic:cNvPicPr>
                      <a:picLocks noChangeAspect="1"/>
                    </pic:cNvPicPr>
                  </pic:nvPicPr>
                  <pic:blipFill>
                    <a:blip r:embed="rId89"/>
                    <a:stretch>
                      <a:fillRect/>
                    </a:stretch>
                  </pic:blipFill>
                  <pic:spPr>
                    <a:xfrm>
                      <a:off x="0" y="0"/>
                      <a:ext cx="1485265" cy="26987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Settings\\Temp\\RB@224TJ1J60Y{D(301UX2O.jpg" \* MERGEFORMAT </w:instrText>
      </w:r>
      <w:r>
        <w:rPr>
          <w:rFonts w:hint="eastAsia"/>
        </w:rPr>
        <w:fldChar w:fldCharType="separate"/>
      </w:r>
      <w:r>
        <w:rPr>
          <w:rFonts w:hint="eastAsia"/>
        </w:rPr>
        <w:drawing>
          <wp:inline distT="0" distB="0" distL="114300" distR="114300">
            <wp:extent cx="2718435" cy="351790"/>
            <wp:effectExtent l="0" t="0" r="9525" b="13970"/>
            <wp:docPr id="15" name="图片 48" descr="RB@224TJ1J60Y{D(301UX2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8" descr="RB@224TJ1J60Y{D(301UX2O"/>
                    <pic:cNvPicPr>
                      <a:picLocks noChangeAspect="1"/>
                    </pic:cNvPicPr>
                  </pic:nvPicPr>
                  <pic:blipFill>
                    <a:blip r:embed="rId90"/>
                    <a:stretch>
                      <a:fillRect/>
                    </a:stretch>
                  </pic:blipFill>
                  <pic:spPr>
                    <a:xfrm>
                      <a:off x="0" y="0"/>
                      <a:ext cx="2718435" cy="351790"/>
                    </a:xfrm>
                    <a:prstGeom prst="rect">
                      <a:avLst/>
                    </a:prstGeom>
                    <a:noFill/>
                    <a:ln>
                      <a:noFill/>
                    </a:ln>
                  </pic:spPr>
                </pic:pic>
              </a:graphicData>
            </a:graphic>
          </wp:inline>
        </w:drawing>
      </w:r>
      <w:r>
        <w:rPr>
          <w:rFonts w:hint="eastAsia"/>
        </w:rPr>
        <w:fldChar w:fldCharType="end"/>
      </w:r>
    </w:p>
    <w:p>
      <w:pPr>
        <w:pStyle w:val="8"/>
        <w:rPr>
          <w:rFonts w:hint="eastAsia"/>
        </w:rPr>
      </w:pPr>
      <w:r>
        <w:rPr>
          <w:rFonts w:hint="default" w:ascii="Times New Roman" w:hAnsi="Times New Roman"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L—倍频带声功率级，dB；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D—指向性校正，dB；它描述点声源的等效连续声压级与产生声功率级的全向点声源在规定方向的级的偏差程度。指向性校正等于点声源的指向性指数DI加上计到小于4π球面度（sr）立体角内的声传播指数DΩ。对辐射到自由空间的全向点声源，Dc=0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 — 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div</w:t>
      </w:r>
      <w:r>
        <w:rPr>
          <w:rFonts w:hint="eastAsia" w:cs="Times New Roman"/>
          <w:b w:val="0"/>
          <w:bCs w:val="0"/>
          <w:sz w:val="24"/>
          <w:szCs w:val="24"/>
          <w:lang w:eastAsia="zh-CN"/>
        </w:rPr>
        <w:t>—几何发散引起的倍频带衰减，dB；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atm</w:t>
      </w:r>
      <w:r>
        <w:rPr>
          <w:rFonts w:hint="eastAsia" w:cs="Times New Roman"/>
          <w:b w:val="0"/>
          <w:bCs w:val="0"/>
          <w:sz w:val="24"/>
          <w:szCs w:val="24"/>
          <w:lang w:eastAsia="zh-CN"/>
        </w:rPr>
        <w:t>—大气吸收引起的倍频带衰减，dB；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gr</w:t>
      </w:r>
      <w:r>
        <w:rPr>
          <w:rFonts w:hint="eastAsia" w:cs="Times New Roman"/>
          <w:b w:val="0"/>
          <w:bCs w:val="0"/>
          <w:sz w:val="24"/>
          <w:szCs w:val="24"/>
          <w:lang w:eastAsia="zh-CN"/>
        </w:rPr>
        <w:t>—地面效应引起的倍频带衰减，dB；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bar</w:t>
      </w:r>
      <w:r>
        <w:rPr>
          <w:rFonts w:hint="eastAsia" w:cs="Times New Roman"/>
          <w:b w:val="0"/>
          <w:bCs w:val="0"/>
          <w:sz w:val="24"/>
          <w:szCs w:val="24"/>
          <w:lang w:eastAsia="zh-CN"/>
        </w:rPr>
        <w:t xml:space="preserve">— 声屏障引起的倍频带衰减，dB；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misc</w:t>
      </w:r>
      <w:r>
        <w:rPr>
          <w:rFonts w:hint="eastAsia" w:cs="Times New Roman"/>
          <w:b w:val="0"/>
          <w:bCs w:val="0"/>
          <w:sz w:val="24"/>
          <w:szCs w:val="24"/>
          <w:lang w:eastAsia="zh-CN"/>
        </w:rPr>
        <w:t>—其他多方面效应引起的倍频带衰减，dB。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如已知靠近声源处某点的倍频带声压级LP</w:t>
      </w:r>
      <w:r>
        <w:rPr>
          <w:rFonts w:hint="eastAsia" w:cs="Times New Roman"/>
          <w:b w:val="0"/>
          <w:bCs w:val="0"/>
          <w:sz w:val="24"/>
          <w:szCs w:val="24"/>
          <w:vertAlign w:val="subscript"/>
          <w:lang w:eastAsia="zh-CN"/>
        </w:rPr>
        <w:t>(r0)</w:t>
      </w:r>
      <w:r>
        <w:rPr>
          <w:rFonts w:hint="eastAsia" w:cs="Times New Roman"/>
          <w:b w:val="0"/>
          <w:bCs w:val="0"/>
          <w:sz w:val="24"/>
          <w:szCs w:val="24"/>
          <w:lang w:eastAsia="zh-CN"/>
        </w:rPr>
        <w:t>时，相同方向预测点位置的倍频带声压级LP</w:t>
      </w:r>
      <w:r>
        <w:rPr>
          <w:rFonts w:hint="eastAsia" w:cs="Times New Roman"/>
          <w:b w:val="0"/>
          <w:bCs w:val="0"/>
          <w:sz w:val="24"/>
          <w:szCs w:val="24"/>
          <w:vertAlign w:val="subscript"/>
          <w:lang w:eastAsia="zh-CN"/>
        </w:rPr>
        <w:t>(r)</w:t>
      </w:r>
      <w:r>
        <w:rPr>
          <w:rFonts w:hint="eastAsia" w:cs="Times New Roman"/>
          <w:b w:val="0"/>
          <w:bCs w:val="0"/>
          <w:sz w:val="24"/>
          <w:szCs w:val="24"/>
          <w:lang w:eastAsia="zh-CN"/>
        </w:rPr>
        <w:t>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Settings\\Temp\\LF_4[L)7QAI$K7$X8PO`OQP.jpg" \* MERGEFORMAT </w:instrText>
      </w:r>
      <w:r>
        <w:rPr>
          <w:rFonts w:hint="eastAsia"/>
        </w:rPr>
        <w:fldChar w:fldCharType="separate"/>
      </w:r>
      <w:r>
        <w:rPr>
          <w:rFonts w:hint="eastAsia"/>
        </w:rPr>
        <w:drawing>
          <wp:inline distT="0" distB="0" distL="114300" distR="114300">
            <wp:extent cx="1346835" cy="288290"/>
            <wp:effectExtent l="0" t="0" r="9525" b="1270"/>
            <wp:docPr id="22" name="图片 49" descr="LF_4[L)7QAI$K7$X8PO`OQ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9" descr="LF_4[L)7QAI$K7$X8PO`OQP"/>
                    <pic:cNvPicPr>
                      <a:picLocks noChangeAspect="1"/>
                    </pic:cNvPicPr>
                  </pic:nvPicPr>
                  <pic:blipFill>
                    <a:blip r:embed="rId91"/>
                    <a:stretch>
                      <a:fillRect/>
                    </a:stretch>
                  </pic:blipFill>
                  <pic:spPr>
                    <a:xfrm>
                      <a:off x="0" y="0"/>
                      <a:ext cx="1346835" cy="288290"/>
                    </a:xfrm>
                    <a:prstGeom prst="rect">
                      <a:avLst/>
                    </a:prstGeom>
                    <a:noFill/>
                    <a:ln>
                      <a:noFill/>
                    </a:ln>
                  </pic:spPr>
                </pic:pic>
              </a:graphicData>
            </a:graphic>
          </wp:inline>
        </w:drawing>
      </w:r>
      <w:r>
        <w:rPr>
          <w:rFonts w:hint="eastAsia"/>
        </w:rPr>
        <w:fldChar w:fldCharType="end"/>
      </w:r>
    </w:p>
    <w:p>
      <w:pPr>
        <w:pStyle w:val="7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sz w:val="24"/>
          <w:szCs w:val="24"/>
        </w:rPr>
      </w:pPr>
      <w:r>
        <w:rPr>
          <w:rFonts w:hint="eastAsia"/>
          <w:sz w:val="24"/>
          <w:szCs w:val="24"/>
        </w:rPr>
        <w:t>预测点的A声级，可利用8个倍频带的声压级LA</w:t>
      </w:r>
      <w:r>
        <w:rPr>
          <w:sz w:val="24"/>
          <w:szCs w:val="24"/>
          <w:vertAlign w:val="subscript"/>
        </w:rPr>
        <w:t>（</w:t>
      </w:r>
      <w:r>
        <w:rPr>
          <w:rFonts w:hint="eastAsia"/>
          <w:sz w:val="24"/>
          <w:szCs w:val="24"/>
          <w:vertAlign w:val="subscript"/>
        </w:rPr>
        <w:t>r）</w:t>
      </w:r>
      <w:r>
        <w:rPr>
          <w:rFonts w:hint="eastAsia"/>
          <w:sz w:val="24"/>
          <w:szCs w:val="24"/>
        </w:rPr>
        <w:t>按公式计算：</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Settings\\Temp\\]L8XMQ8M9AP7]55T(0K(}C0.jpg" \* MERGEFORMAT </w:instrText>
      </w:r>
      <w:r>
        <w:rPr>
          <w:rFonts w:hint="eastAsia"/>
        </w:rPr>
        <w:fldChar w:fldCharType="separate"/>
      </w:r>
      <w:r>
        <w:rPr>
          <w:rFonts w:hint="eastAsia"/>
        </w:rPr>
        <w:drawing>
          <wp:inline distT="0" distB="0" distL="114300" distR="114300">
            <wp:extent cx="1914525" cy="484505"/>
            <wp:effectExtent l="0" t="0" r="5715" b="3175"/>
            <wp:docPr id="23" name="图片 50" descr="]L8XMQ8M9AP7]55T(0K(}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0" descr="]L8XMQ8M9AP7]55T(0K(}C0"/>
                    <pic:cNvPicPr>
                      <a:picLocks noChangeAspect="1"/>
                    </pic:cNvPicPr>
                  </pic:nvPicPr>
                  <pic:blipFill>
                    <a:blip r:embed="rId92"/>
                    <a:stretch>
                      <a:fillRect/>
                    </a:stretch>
                  </pic:blipFill>
                  <pic:spPr>
                    <a:xfrm>
                      <a:off x="0" y="0"/>
                      <a:ext cx="1914525" cy="48450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 L</w:t>
      </w:r>
      <w:r>
        <w:rPr>
          <w:rFonts w:hint="eastAsia" w:cs="Times New Roman"/>
          <w:b w:val="0"/>
          <w:bCs w:val="0"/>
          <w:sz w:val="24"/>
          <w:szCs w:val="24"/>
          <w:vertAlign w:val="subscript"/>
          <w:lang w:eastAsia="zh-CN"/>
        </w:rPr>
        <w:t>Pi (r)</w:t>
      </w:r>
      <w:r>
        <w:rPr>
          <w:rFonts w:hint="eastAsia" w:cs="Times New Roman"/>
          <w:b w:val="0"/>
          <w:bCs w:val="0"/>
          <w:sz w:val="24"/>
          <w:szCs w:val="24"/>
          <w:lang w:eastAsia="zh-CN"/>
        </w:rPr>
        <w:t xml:space="preserve">—预测点（r）处，第i倍频带声压级，dB；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Δ</w:t>
      </w:r>
      <w:r>
        <w:rPr>
          <w:rFonts w:hint="eastAsia" w:cs="Times New Roman"/>
          <w:b w:val="0"/>
          <w:bCs w:val="0"/>
          <w:sz w:val="24"/>
          <w:szCs w:val="24"/>
          <w:vertAlign w:val="subscript"/>
          <w:lang w:eastAsia="zh-CN"/>
        </w:rPr>
        <w:t>Li</w:t>
      </w:r>
      <w:r>
        <w:rPr>
          <w:rFonts w:hint="eastAsia" w:cs="Times New Roman"/>
          <w:b w:val="0"/>
          <w:bCs w:val="0"/>
          <w:sz w:val="24"/>
          <w:szCs w:val="24"/>
          <w:lang w:eastAsia="zh-CN"/>
        </w:rPr>
        <w:t xml:space="preserve"> —i倍频带A计权网络修正值，dB。</w:t>
      </w:r>
    </w:p>
    <w:p>
      <w:pPr>
        <w:pStyle w:val="8"/>
        <w:rPr>
          <w:rFonts w:hint="eastAsia"/>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63Hz～16000Hz范围内的A计权网络修正值如下表。</w:t>
      </w:r>
    </w:p>
    <w:p>
      <w:pPr>
        <w:pStyle w:val="79"/>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z w:val="21"/>
          <w:szCs w:val="21"/>
          <w:lang w:val="en-US" w:eastAsia="zh-CN"/>
        </w:rPr>
        <w:t>5.2-</w:t>
      </w:r>
      <w:r>
        <w:rPr>
          <w:rFonts w:hint="eastAsia" w:ascii="Times New Roman" w:hAnsi="Times New Roman" w:eastAsia="宋体" w:cs="Times New Roman"/>
          <w:b/>
          <w:bCs/>
          <w:sz w:val="21"/>
          <w:szCs w:val="21"/>
          <w:lang w:val="en-US" w:eastAsia="zh-CN"/>
        </w:rPr>
        <w:t>17</w:t>
      </w:r>
      <w:r>
        <w:rPr>
          <w:rFonts w:hint="default" w:ascii="Times New Roman" w:hAnsi="Times New Roman" w:eastAsia="宋体" w:cs="Times New Roman"/>
          <w:b/>
          <w:bCs/>
          <w:sz w:val="21"/>
          <w:szCs w:val="21"/>
        </w:rPr>
        <w:t xml:space="preserve">  A计权网络修正值</w:t>
      </w:r>
    </w:p>
    <w:tbl>
      <w:tblPr>
        <w:tblStyle w:val="63"/>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258"/>
        <w:gridCol w:w="848"/>
        <w:gridCol w:w="848"/>
        <w:gridCol w:w="846"/>
        <w:gridCol w:w="848"/>
        <w:gridCol w:w="848"/>
        <w:gridCol w:w="847"/>
        <w:gridCol w:w="849"/>
        <w:gridCol w:w="849"/>
        <w:gridCol w:w="861"/>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77" w:hRule="atLeast"/>
        </w:trPr>
        <w:tc>
          <w:tcPr>
            <w:tcW w:w="1139" w:type="pct"/>
            <w:tcBorders>
              <w:bottom w:val="single" w:color="000000" w:sz="12" w:space="0"/>
            </w:tcBorders>
            <w:noWrap w:val="0"/>
            <w:vAlign w:val="center"/>
          </w:tcPr>
          <w:p>
            <w:pPr>
              <w:jc w:val="center"/>
              <w:rPr>
                <w:rFonts w:hint="eastAsia"/>
                <w:color w:val="auto"/>
              </w:rPr>
            </w:pPr>
            <w:r>
              <w:rPr>
                <w:rFonts w:hint="eastAsia"/>
                <w:color w:val="auto"/>
              </w:rPr>
              <w:t>频率（Hz）</w:t>
            </w:r>
          </w:p>
        </w:tc>
        <w:tc>
          <w:tcPr>
            <w:tcW w:w="428" w:type="pct"/>
            <w:tcBorders>
              <w:bottom w:val="single" w:color="000000" w:sz="12" w:space="0"/>
            </w:tcBorders>
            <w:noWrap w:val="0"/>
            <w:vAlign w:val="center"/>
          </w:tcPr>
          <w:p>
            <w:pPr>
              <w:jc w:val="center"/>
              <w:rPr>
                <w:rFonts w:hint="eastAsia"/>
                <w:color w:val="auto"/>
              </w:rPr>
            </w:pPr>
            <w:r>
              <w:rPr>
                <w:rFonts w:hint="eastAsia"/>
                <w:color w:val="auto"/>
              </w:rPr>
              <w:t>63</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125</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250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500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1000</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4000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8000</w:t>
            </w:r>
          </w:p>
        </w:tc>
        <w:tc>
          <w:tcPr>
            <w:tcW w:w="434" w:type="pct"/>
            <w:tcBorders>
              <w:bottom w:val="single" w:color="000000" w:sz="12" w:space="0"/>
            </w:tcBorders>
            <w:noWrap w:val="0"/>
            <w:vAlign w:val="center"/>
          </w:tcPr>
          <w:p>
            <w:pPr>
              <w:jc w:val="center"/>
              <w:rPr>
                <w:rFonts w:hint="eastAsia"/>
                <w:color w:val="auto"/>
              </w:rPr>
            </w:pPr>
            <w:r>
              <w:rPr>
                <w:rFonts w:hint="eastAsia"/>
                <w:color w:val="auto"/>
              </w:rPr>
              <w:t>16000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70" w:hRule="atLeast"/>
        </w:trPr>
        <w:tc>
          <w:tcPr>
            <w:tcW w:w="1139" w:type="pct"/>
            <w:tcBorders>
              <w:top w:val="single" w:color="000000" w:sz="12" w:space="0"/>
            </w:tcBorders>
            <w:noWrap w:val="0"/>
            <w:vAlign w:val="center"/>
          </w:tcPr>
          <w:p>
            <w:pPr>
              <w:jc w:val="center"/>
              <w:rPr>
                <w:rFonts w:hint="eastAsia"/>
                <w:color w:val="auto"/>
              </w:rPr>
            </w:pPr>
            <w:r>
              <w:rPr>
                <w:rFonts w:hint="eastAsia"/>
                <w:color w:val="auto"/>
              </w:rPr>
              <w:t>ΔLi（dB）</w:t>
            </w:r>
          </w:p>
        </w:tc>
        <w:tc>
          <w:tcPr>
            <w:tcW w:w="428" w:type="pct"/>
            <w:tcBorders>
              <w:top w:val="single" w:color="000000" w:sz="12" w:space="0"/>
            </w:tcBorders>
            <w:noWrap w:val="0"/>
            <w:vAlign w:val="center"/>
          </w:tcPr>
          <w:p>
            <w:pPr>
              <w:jc w:val="center"/>
              <w:rPr>
                <w:rFonts w:hint="eastAsia"/>
                <w:color w:val="auto"/>
              </w:rPr>
            </w:pPr>
            <w:r>
              <w:rPr>
                <w:rFonts w:hint="eastAsia"/>
                <w:color w:val="auto"/>
              </w:rPr>
              <w:t>-26.2</w:t>
            </w:r>
          </w:p>
        </w:tc>
        <w:tc>
          <w:tcPr>
            <w:tcW w:w="428" w:type="pct"/>
            <w:tcBorders>
              <w:top w:val="single" w:color="000000" w:sz="12" w:space="0"/>
            </w:tcBorders>
            <w:noWrap w:val="0"/>
            <w:vAlign w:val="center"/>
          </w:tcPr>
          <w:p>
            <w:pPr>
              <w:jc w:val="center"/>
              <w:rPr>
                <w:rFonts w:hint="eastAsia"/>
                <w:color w:val="auto"/>
              </w:rPr>
            </w:pPr>
            <w:r>
              <w:rPr>
                <w:rFonts w:hint="eastAsia"/>
                <w:color w:val="auto"/>
              </w:rPr>
              <w:t>-16.1</w:t>
            </w:r>
          </w:p>
        </w:tc>
        <w:tc>
          <w:tcPr>
            <w:tcW w:w="427" w:type="pct"/>
            <w:tcBorders>
              <w:top w:val="single" w:color="000000" w:sz="12" w:space="0"/>
            </w:tcBorders>
            <w:noWrap w:val="0"/>
            <w:vAlign w:val="center"/>
          </w:tcPr>
          <w:p>
            <w:pPr>
              <w:jc w:val="center"/>
              <w:rPr>
                <w:rFonts w:hint="eastAsia"/>
                <w:color w:val="auto"/>
              </w:rPr>
            </w:pPr>
            <w:r>
              <w:rPr>
                <w:rFonts w:hint="eastAsia"/>
                <w:color w:val="auto"/>
              </w:rPr>
              <w:t>-8.6</w:t>
            </w:r>
          </w:p>
        </w:tc>
        <w:tc>
          <w:tcPr>
            <w:tcW w:w="428" w:type="pct"/>
            <w:tcBorders>
              <w:top w:val="single" w:color="000000" w:sz="12" w:space="0"/>
            </w:tcBorders>
            <w:noWrap w:val="0"/>
            <w:vAlign w:val="center"/>
          </w:tcPr>
          <w:p>
            <w:pPr>
              <w:jc w:val="center"/>
              <w:rPr>
                <w:rFonts w:hint="eastAsia"/>
                <w:color w:val="auto"/>
              </w:rPr>
            </w:pPr>
            <w:r>
              <w:rPr>
                <w:rFonts w:hint="eastAsia"/>
                <w:color w:val="auto"/>
              </w:rPr>
              <w:t>-3.2</w:t>
            </w:r>
          </w:p>
        </w:tc>
        <w:tc>
          <w:tcPr>
            <w:tcW w:w="428" w:type="pct"/>
            <w:tcBorders>
              <w:top w:val="single" w:color="000000" w:sz="12" w:space="0"/>
            </w:tcBorders>
            <w:noWrap w:val="0"/>
            <w:vAlign w:val="center"/>
          </w:tcPr>
          <w:p>
            <w:pPr>
              <w:jc w:val="center"/>
              <w:rPr>
                <w:rFonts w:hint="eastAsia"/>
                <w:color w:val="auto"/>
              </w:rPr>
            </w:pPr>
            <w:r>
              <w:rPr>
                <w:rFonts w:hint="eastAsia"/>
                <w:color w:val="auto"/>
              </w:rPr>
              <w:t>0</w:t>
            </w:r>
          </w:p>
        </w:tc>
        <w:tc>
          <w:tcPr>
            <w:tcW w:w="427" w:type="pct"/>
            <w:tcBorders>
              <w:top w:val="single" w:color="000000" w:sz="12" w:space="0"/>
            </w:tcBorders>
            <w:noWrap w:val="0"/>
            <w:vAlign w:val="center"/>
          </w:tcPr>
          <w:p>
            <w:pPr>
              <w:jc w:val="center"/>
              <w:rPr>
                <w:rFonts w:hint="eastAsia"/>
                <w:color w:val="auto"/>
              </w:rPr>
            </w:pPr>
            <w:r>
              <w:rPr>
                <w:rFonts w:hint="eastAsia"/>
                <w:color w:val="auto"/>
              </w:rPr>
              <w:t>1.2</w:t>
            </w:r>
          </w:p>
        </w:tc>
        <w:tc>
          <w:tcPr>
            <w:tcW w:w="428" w:type="pct"/>
            <w:tcBorders>
              <w:top w:val="single" w:color="000000" w:sz="12" w:space="0"/>
            </w:tcBorders>
            <w:noWrap w:val="0"/>
            <w:vAlign w:val="center"/>
          </w:tcPr>
          <w:p>
            <w:pPr>
              <w:jc w:val="center"/>
              <w:rPr>
                <w:rFonts w:hint="eastAsia"/>
                <w:color w:val="auto"/>
              </w:rPr>
            </w:pPr>
            <w:r>
              <w:rPr>
                <w:rFonts w:hint="eastAsia"/>
                <w:color w:val="auto"/>
              </w:rPr>
              <w:t>1.0</w:t>
            </w:r>
          </w:p>
        </w:tc>
        <w:tc>
          <w:tcPr>
            <w:tcW w:w="428" w:type="pct"/>
            <w:tcBorders>
              <w:top w:val="single" w:color="000000" w:sz="12" w:space="0"/>
            </w:tcBorders>
            <w:noWrap w:val="0"/>
            <w:vAlign w:val="center"/>
          </w:tcPr>
          <w:p>
            <w:pPr>
              <w:jc w:val="center"/>
              <w:rPr>
                <w:rFonts w:hint="eastAsia"/>
                <w:color w:val="auto"/>
              </w:rPr>
            </w:pPr>
            <w:r>
              <w:rPr>
                <w:rFonts w:hint="eastAsia"/>
                <w:color w:val="auto"/>
              </w:rPr>
              <w:t>-1.1</w:t>
            </w:r>
          </w:p>
        </w:tc>
        <w:tc>
          <w:tcPr>
            <w:tcW w:w="434" w:type="pct"/>
            <w:tcBorders>
              <w:top w:val="single" w:color="000000" w:sz="12" w:space="0"/>
            </w:tcBorders>
            <w:noWrap w:val="0"/>
            <w:vAlign w:val="center"/>
          </w:tcPr>
          <w:p>
            <w:pPr>
              <w:jc w:val="center"/>
              <w:rPr>
                <w:rFonts w:hint="eastAsia"/>
                <w:color w:val="auto"/>
              </w:rPr>
            </w:pPr>
            <w:r>
              <w:rPr>
                <w:rFonts w:hint="eastAsia"/>
                <w:color w:val="auto"/>
              </w:rPr>
              <w:t>-6.6</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在不能取得声源倍频带声功率级或倍频带声压级，只能获得A声功率级或某点的A声级时，可按以下公式作近似计算：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Settings\\Temp\\)D(VORGFO~_}@DKQ}[@_B$L.jpg"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422400" cy="233045"/>
            <wp:effectExtent l="0" t="0" r="10160" b="10795"/>
            <wp:docPr id="32" name="图片 53" descr=")D(VORGFO~_}@DKQ}[@_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3" descr=")D(VORGFO~_}@DKQ}[@_B$L"/>
                    <pic:cNvPicPr>
                      <a:picLocks noChangeAspect="1"/>
                    </pic:cNvPicPr>
                  </pic:nvPicPr>
                  <pic:blipFill>
                    <a:blip r:embed="rId93"/>
                    <a:stretch>
                      <a:fillRect/>
                    </a:stretch>
                  </pic:blipFill>
                  <pic:spPr>
                    <a:xfrm>
                      <a:off x="0" y="0"/>
                      <a:ext cx="1422400" cy="233045"/>
                    </a:xfrm>
                    <a:prstGeom prst="rect">
                      <a:avLst/>
                    </a:prstGeom>
                    <a:noFill/>
                    <a:ln>
                      <a:noFill/>
                    </a:ln>
                  </pic:spPr>
                </pic:pic>
              </a:graphicData>
            </a:graphic>
          </wp:inline>
        </w:drawing>
      </w:r>
      <w:r>
        <w:rPr>
          <w:rFonts w:hint="eastAsia" w:cs="Times New Roman"/>
          <w:b w:val="0"/>
          <w:bCs w:val="0"/>
          <w:sz w:val="21"/>
          <w:szCs w:val="21"/>
          <w:lang w:eastAsia="zh-CN"/>
        </w:rPr>
        <w:fldChar w:fldCharType="end"/>
      </w:r>
      <w:r>
        <w:rPr>
          <w:rFonts w:hint="eastAsia" w:cs="Times New Roman"/>
          <w:b w:val="0"/>
          <w:bCs w:val="0"/>
          <w:sz w:val="24"/>
          <w:szCs w:val="24"/>
          <w:lang w:eastAsia="zh-CN"/>
        </w:rPr>
        <w:t>或</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INCLUDEPICTURE "C:\\Users\\liuw\\AppData\\Roaming\\Microsoft\\Application Data\\Microsoft\\Application Data\\Application Data\\Microsoft\\Application Data\\Microsoft\\Local Settings\\Temp\\I3EF75F)94LZ8_MV9JA]B1B.jpg"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drawing>
          <wp:inline distT="0" distB="0" distL="114300" distR="114300">
            <wp:extent cx="1277620" cy="248920"/>
            <wp:effectExtent l="0" t="0" r="2540" b="10160"/>
            <wp:docPr id="29" name="图片 54" descr="I3EF75F)94LZ8_MV9JA]B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4" descr="I3EF75F)94LZ8_MV9JA]B1B"/>
                    <pic:cNvPicPr>
                      <a:picLocks noChangeAspect="1"/>
                    </pic:cNvPicPr>
                  </pic:nvPicPr>
                  <pic:blipFill>
                    <a:blip r:embed="rId94"/>
                    <a:stretch>
                      <a:fillRect/>
                    </a:stretch>
                  </pic:blipFill>
                  <pic:spPr>
                    <a:xfrm>
                      <a:off x="0" y="0"/>
                      <a:ext cx="1277620" cy="248920"/>
                    </a:xfrm>
                    <a:prstGeom prst="rect">
                      <a:avLst/>
                    </a:prstGeom>
                    <a:noFill/>
                    <a:ln>
                      <a:noFill/>
                    </a:ln>
                  </pic:spPr>
                </pic:pic>
              </a:graphicData>
            </a:graphic>
          </wp:inline>
        </w:drawing>
      </w:r>
      <w:r>
        <w:rPr>
          <w:rFonts w:hint="eastAsia" w:cs="Times New Roman"/>
          <w:b w:val="0"/>
          <w:bCs w:val="0"/>
          <w:sz w:val="24"/>
          <w:szCs w:val="24"/>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A可选择对A声级影响最大的倍频带计算，一般可选中心频率为500Hz的倍频带作估算。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室内声源等效室外声源功率级计算。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REF _Ref291356076 \h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t>图</w:t>
      </w:r>
      <w:r>
        <w:rPr>
          <w:rFonts w:hint="eastAsia" w:cs="Times New Roman"/>
          <w:b w:val="0"/>
          <w:bCs w:val="0"/>
          <w:sz w:val="24"/>
          <w:szCs w:val="24"/>
          <w:lang w:val="en-US" w:eastAsia="zh-CN"/>
        </w:rPr>
        <w:t>5.2</w:t>
      </w:r>
      <w:r>
        <w:rPr>
          <w:rFonts w:hint="eastAsia" w:cs="Times New Roman"/>
          <w:b w:val="0"/>
          <w:bCs w:val="0"/>
          <w:sz w:val="24"/>
          <w:szCs w:val="24"/>
          <w:lang w:eastAsia="zh-CN"/>
        </w:rPr>
        <w:noBreakHyphen/>
      </w:r>
      <w:r>
        <w:rPr>
          <w:rFonts w:hint="eastAsia" w:cs="Times New Roman"/>
          <w:b w:val="0"/>
          <w:bCs w:val="0"/>
          <w:sz w:val="24"/>
          <w:szCs w:val="24"/>
          <w:lang w:val="en-US" w:eastAsia="zh-CN"/>
        </w:rPr>
        <w:t>4</w:t>
      </w:r>
      <w:r>
        <w:rPr>
          <w:rFonts w:hint="eastAsia" w:cs="Times New Roman"/>
          <w:b w:val="0"/>
          <w:bCs w:val="0"/>
          <w:sz w:val="24"/>
          <w:szCs w:val="24"/>
          <w:lang w:eastAsia="zh-CN"/>
        </w:rPr>
        <w:fldChar w:fldCharType="end"/>
      </w:r>
      <w:r>
        <w:rPr>
          <w:rFonts w:hint="eastAsia" w:cs="Times New Roman"/>
          <w:b w:val="0"/>
          <w:bCs w:val="0"/>
          <w:sz w:val="24"/>
          <w:szCs w:val="24"/>
          <w:lang w:eastAsia="zh-CN"/>
        </w:rPr>
        <w:t>所示，声源位于室内，室内声源可采用等效室外声源声功率级法进行计算。设靠近开口处（或窗户）室内、室外某倍频带的声压级分别为Lp1和Lp2。若声源所在室内声场为近似扩散声场，则室外的倍频带声压级可按以下公式似求出：</w:t>
      </w:r>
    </w:p>
    <w:p>
      <w:pPr>
        <w:pStyle w:val="669"/>
        <w:ind w:left="0" w:leftChars="0" w:firstLine="0" w:firstLineChars="0"/>
        <w:jc w:val="center"/>
      </w:pPr>
      <w:r>
        <w:fldChar w:fldCharType="begin"/>
      </w:r>
      <w:r>
        <w:instrText xml:space="preserve"> INCLUDEPICTURE "C:\\Users\\liuw\\AppData\\Roaming\\Microsoft\\Application Data\\Microsoft\\Application Data\\Application Data\\Microsoft\\Application Data\\Microsoft\\Local Settings\\Temp\\1$)ZN_66L2J~23G@5YOTER2.jpg" \* MERGEFORMAT </w:instrText>
      </w:r>
      <w:r>
        <w:fldChar w:fldCharType="separate"/>
      </w:r>
      <w:r>
        <w:drawing>
          <wp:inline distT="0" distB="0" distL="114300" distR="114300">
            <wp:extent cx="1421130" cy="276225"/>
            <wp:effectExtent l="0" t="0" r="11430" b="13335"/>
            <wp:docPr id="34" name="图片 55" descr="1$)ZN_66L2J~23G@5YO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5" descr="1$)ZN_66L2J~23G@5YOTER2"/>
                    <pic:cNvPicPr>
                      <a:picLocks noChangeAspect="1"/>
                    </pic:cNvPicPr>
                  </pic:nvPicPr>
                  <pic:blipFill>
                    <a:blip r:embed="rId95"/>
                    <a:stretch>
                      <a:fillRect/>
                    </a:stretch>
                  </pic:blipFill>
                  <pic:spPr>
                    <a:xfrm>
                      <a:off x="0" y="0"/>
                      <a:ext cx="1421130" cy="276225"/>
                    </a:xfrm>
                    <a:prstGeom prst="rect">
                      <a:avLst/>
                    </a:prstGeom>
                    <a:noFill/>
                    <a:ln>
                      <a:noFill/>
                    </a:ln>
                  </pic:spPr>
                </pic:pic>
              </a:graphicData>
            </a:graphic>
          </wp:inline>
        </w:drawing>
      </w:r>
      <w: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sz w:val="24"/>
          <w:szCs w:val="24"/>
        </w:rPr>
        <w:t>式中：TL—隔墙（或窗户）倍频带的隔声量，dB。</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cs="Times New Roman"/>
          <w:b w:val="0"/>
          <w:bCs w:val="0"/>
          <w:sz w:val="24"/>
          <w:szCs w:val="24"/>
          <w:lang w:eastAsia="zh-CN"/>
        </w:rPr>
      </w:pPr>
      <w:r>
        <w:fldChar w:fldCharType="begin"/>
      </w:r>
      <w:r>
        <w:instrText xml:space="preserve"> INCLUDEPICTURE "C:\\Users\\liuw\\AppData\\Roaming\\Microsoft\\Application Data\\Microsoft\\Application Data\\Application Data\\Microsoft\\Application Data\\Microsoft\\Local Settings\\Temp\\LJBS_MAO52PI]%QU1566RQB.jpg" \* MERGEFORMAT </w:instrText>
      </w:r>
      <w:r>
        <w:fldChar w:fldCharType="separate"/>
      </w:r>
      <w:r>
        <w:drawing>
          <wp:inline distT="0" distB="0" distL="114300" distR="114300">
            <wp:extent cx="2712720" cy="1395730"/>
            <wp:effectExtent l="0" t="0" r="0" b="6350"/>
            <wp:docPr id="36" name="图片 56" descr="LJBS_MAO52PI]%QU1566RQ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6" descr="LJBS_MAO52PI]%QU1566RQB"/>
                    <pic:cNvPicPr>
                      <a:picLocks noChangeAspect="1"/>
                    </pic:cNvPicPr>
                  </pic:nvPicPr>
                  <pic:blipFill>
                    <a:blip r:embed="rId96"/>
                    <a:stretch>
                      <a:fillRect/>
                    </a:stretch>
                  </pic:blipFill>
                  <pic:spPr>
                    <a:xfrm>
                      <a:off x="0" y="0"/>
                      <a:ext cx="2712720" cy="1395730"/>
                    </a:xfrm>
                    <a:prstGeom prst="rect">
                      <a:avLst/>
                    </a:prstGeom>
                    <a:noFill/>
                    <a:ln>
                      <a:noFill/>
                    </a:ln>
                  </pic:spPr>
                </pic:pic>
              </a:graphicData>
            </a:graphic>
          </wp:inline>
        </w:drawing>
      </w:r>
      <w:r>
        <w:fldChar w:fldCharType="end"/>
      </w:r>
    </w:p>
    <w:p>
      <w:pPr>
        <w:pStyle w:val="868"/>
        <w:rPr>
          <w:sz w:val="21"/>
          <w:szCs w:val="21"/>
        </w:rPr>
      </w:pPr>
      <w:bookmarkStart w:id="60" w:name="_Ref291356076"/>
      <w:r>
        <w:rPr>
          <w:sz w:val="21"/>
          <w:szCs w:val="21"/>
        </w:rPr>
        <w:t>图</w:t>
      </w:r>
      <w:bookmarkEnd w:id="60"/>
      <w:r>
        <w:rPr>
          <w:rFonts w:hint="eastAsia" w:ascii="Times New Roman" w:hAnsi="Times New Roman" w:cs="Times New Roman"/>
          <w:sz w:val="21"/>
          <w:szCs w:val="21"/>
          <w:lang w:val="en-US" w:eastAsia="zh-CN"/>
        </w:rPr>
        <w:t>5.2</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4</w:t>
      </w:r>
      <w:r>
        <w:rPr>
          <w:sz w:val="21"/>
          <w:szCs w:val="21"/>
        </w:rPr>
        <w:t xml:space="preserve">  室内声源等效为室外声源图例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也可按下式计算某一室内声源靠近围护结构处产生的倍频声压级：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Settings\\Temp\\I7SNPSUBB`5()UAH[99]I8J.jpg"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931035" cy="521335"/>
            <wp:effectExtent l="0" t="0" r="4445" b="12065"/>
            <wp:docPr id="39" name="图片 58" descr="I7SNPSUBB`5()UAH[99]I8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descr="I7SNPSUBB`5()UAH[99]I8J"/>
                    <pic:cNvPicPr>
                      <a:picLocks noChangeAspect="1"/>
                    </pic:cNvPicPr>
                  </pic:nvPicPr>
                  <pic:blipFill>
                    <a:blip r:embed="rId97"/>
                    <a:stretch>
                      <a:fillRect/>
                    </a:stretch>
                  </pic:blipFill>
                  <pic:spPr>
                    <a:xfrm>
                      <a:off x="0" y="0"/>
                      <a:ext cx="1931035" cy="52133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Q—指向性因数；通常对无指向性声源，当声源放在房间中心时，Q=1；当放在一面墙的中心时，Q=2；当放在两面墙夹角处时，Q=4；当放在三面墙夹角处时，Q=8。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R—房间常数；R= Sα/(1−α)，S为房间内表面面积，m</w:t>
      </w:r>
      <w:r>
        <w:rPr>
          <w:rFonts w:hint="default" w:ascii="Times New Roman" w:hAnsi="Times New Roman" w:eastAsia="宋体" w:cs="Times New Roman"/>
          <w:b w:val="0"/>
          <w:bCs w:val="0"/>
          <w:sz w:val="24"/>
          <w:szCs w:val="24"/>
          <w:vertAlign w:val="superscript"/>
          <w:lang w:eastAsia="zh-CN"/>
        </w:rPr>
        <w:t>2</w:t>
      </w:r>
      <w:r>
        <w:rPr>
          <w:rFonts w:hint="default" w:ascii="Times New Roman" w:hAnsi="Times New Roman" w:eastAsia="宋体" w:cs="Times New Roman"/>
          <w:b w:val="0"/>
          <w:bCs w:val="0"/>
          <w:sz w:val="24"/>
          <w:szCs w:val="24"/>
          <w:lang w:eastAsia="zh-CN"/>
        </w:rPr>
        <w:t xml:space="preserve">；α为平均吸声系数。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r—声源到靠近围护结构某点处的距离，m。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然后按以下公式计算出所有室内声源在围护结构处产生的i倍频带叠加声压级：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Settings\\Temp\\[A7}ROMWH(6}10%KXDAL2~E.jpg" \* MERGEFORMAT </w:instrText>
      </w:r>
      <w:r>
        <w:rPr>
          <w:rFonts w:hint="eastAsia"/>
        </w:rPr>
        <w:fldChar w:fldCharType="separate"/>
      </w:r>
      <w:r>
        <w:rPr>
          <w:rFonts w:hint="eastAsia"/>
        </w:rPr>
        <w:drawing>
          <wp:inline distT="0" distB="0" distL="114300" distR="114300">
            <wp:extent cx="2095500" cy="502920"/>
            <wp:effectExtent l="0" t="0" r="7620" b="0"/>
            <wp:docPr id="40" name="图片 59" descr="[A7}ROMWH(6}10%KXDAL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9" descr="[A7}ROMWH(6}10%KXDAL2~E"/>
                    <pic:cNvPicPr>
                      <a:picLocks noChangeAspect="1"/>
                    </pic:cNvPicPr>
                  </pic:nvPicPr>
                  <pic:blipFill>
                    <a:blip r:embed="rId98"/>
                    <a:stretch>
                      <a:fillRect/>
                    </a:stretch>
                  </pic:blipFill>
                  <pic:spPr>
                    <a:xfrm>
                      <a:off x="0" y="0"/>
                      <a:ext cx="2095500" cy="50292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 (T)</w:t>
      </w:r>
      <w:r>
        <w:rPr>
          <w:rFonts w:hint="eastAsia" w:cs="Times New Roman"/>
          <w:b w:val="0"/>
          <w:bCs w:val="0"/>
          <w:sz w:val="24"/>
          <w:szCs w:val="24"/>
          <w:lang w:eastAsia="zh-CN"/>
        </w:rPr>
        <w:t xml:space="preserve">—靠近围护结构处室内N个声源i倍频带的叠加声压级，dB；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P1ij</w:t>
      </w:r>
      <w:r>
        <w:rPr>
          <w:rFonts w:hint="eastAsia" w:cs="Times New Roman"/>
          <w:b w:val="0"/>
          <w:bCs w:val="0"/>
          <w:sz w:val="24"/>
          <w:szCs w:val="24"/>
          <w:lang w:eastAsia="zh-CN"/>
        </w:rPr>
        <w:t xml:space="preserve">—室内j声源i倍频带的声压级，dB；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N—室内声源总数。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在室内近似为扩散声场时，按以下公式计算出靠近室外围护结构处的声压级：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Settings\\Temp\\[Q_4(CVF~(EAQLFVGV$[GTF.jpg"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2080260" cy="361315"/>
            <wp:effectExtent l="0" t="0" r="7620" b="4445"/>
            <wp:docPr id="44" name="图片 61" descr="[Q_4(CVF~(EAQLFVGV$[G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1" descr="[Q_4(CVF~(EAQLFVGV$[GTF"/>
                    <pic:cNvPicPr>
                      <a:picLocks noChangeAspect="1"/>
                    </pic:cNvPicPr>
                  </pic:nvPicPr>
                  <pic:blipFill>
                    <a:blip r:embed="rId99"/>
                    <a:stretch>
                      <a:fillRect/>
                    </a:stretch>
                  </pic:blipFill>
                  <pic:spPr>
                    <a:xfrm>
                      <a:off x="0" y="0"/>
                      <a:ext cx="2080260" cy="36131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P2i（T</w:t>
      </w:r>
      <w:r>
        <w:rPr>
          <w:rFonts w:hint="eastAsia" w:cs="Times New Roman"/>
          <w:b w:val="0"/>
          <w:bCs w:val="0"/>
          <w:sz w:val="24"/>
          <w:szCs w:val="24"/>
          <w:lang w:eastAsia="zh-CN"/>
        </w:rPr>
        <w:t xml:space="preserve">）—靠近围护结构处室外N个声源i倍频带的叠加声压级，dB；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TL</w:t>
      </w:r>
      <w:r>
        <w:rPr>
          <w:rFonts w:hint="eastAsia" w:cs="Times New Roman"/>
          <w:b w:val="0"/>
          <w:bCs w:val="0"/>
          <w:sz w:val="24"/>
          <w:szCs w:val="24"/>
          <w:vertAlign w:val="subscript"/>
          <w:lang w:eastAsia="zh-CN"/>
        </w:rPr>
        <w:t>i</w:t>
      </w:r>
      <w:r>
        <w:rPr>
          <w:rFonts w:hint="eastAsia" w:cs="Times New Roman"/>
          <w:b w:val="0"/>
          <w:bCs w:val="0"/>
          <w:sz w:val="24"/>
          <w:szCs w:val="24"/>
          <w:lang w:eastAsia="zh-CN"/>
        </w:rPr>
        <w:t xml:space="preserve">—围护结构i倍频带的隔声量，dB。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然后按下列公式将室外声源的声压级和透过面积换算成等效的室外声源，计算出中心位置位于透声面积（S）处的等效声源的倍频带声功率级。</w:t>
      </w:r>
    </w:p>
    <w:p>
      <w:pPr>
        <w:pStyle w:val="79"/>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Settings\\Temp\\AJ}4~N(2`LIKR9G}HU]S%VM.jpg" \* MERGEFORMAT </w:instrText>
      </w:r>
      <w:r>
        <w:rPr>
          <w:rFonts w:hint="eastAsia"/>
        </w:rPr>
        <w:fldChar w:fldCharType="separate"/>
      </w:r>
      <w:r>
        <w:rPr>
          <w:rFonts w:hint="eastAsia"/>
        </w:rPr>
        <w:drawing>
          <wp:inline distT="0" distB="0" distL="114300" distR="114300">
            <wp:extent cx="1809115" cy="322580"/>
            <wp:effectExtent l="0" t="0" r="4445" b="12700"/>
            <wp:docPr id="45" name="图片 62" descr="AJ}4~N(2`LIKR9G}HU]S%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2" descr="AJ}4~N(2`LIKR9G}HU]S%VM"/>
                    <pic:cNvPicPr>
                      <a:picLocks noChangeAspect="1"/>
                    </pic:cNvPicPr>
                  </pic:nvPicPr>
                  <pic:blipFill>
                    <a:blip r:embed="rId100"/>
                    <a:stretch>
                      <a:fillRect/>
                    </a:stretch>
                  </pic:blipFill>
                  <pic:spPr>
                    <a:xfrm>
                      <a:off x="0" y="0"/>
                      <a:ext cx="1809115" cy="32258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然后按室外声源预测方法计算预测点处的A声级。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2、计算总声压级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设第i个室外声源在预测点产生的A声级为LA</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i</w:t>
      </w:r>
      <w:r>
        <w:rPr>
          <w:rFonts w:hint="eastAsia" w:cs="Times New Roman"/>
          <w:b w:val="0"/>
          <w:bCs w:val="0"/>
          <w:sz w:val="24"/>
          <w:szCs w:val="24"/>
          <w:lang w:eastAsia="zh-CN"/>
        </w:rPr>
        <w:t>，第j个等效室外声源在预测点产生的A声级为LA</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，则预测点的总等效声级为：</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Data\\Microsoft\\Application Data\\Application Data\\Local Settings\\Temp\\43C1ZG6]RU56YB2I0)J2{WY.jpg"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3581400" cy="581025"/>
            <wp:effectExtent l="0" t="0" r="0" b="13335"/>
            <wp:docPr id="47" name="图片 64" descr="43C1ZG6]RU56YB2I0)J2{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4" descr="43C1ZG6]RU56YB2I0)J2{WY"/>
                    <pic:cNvPicPr>
                      <a:picLocks noChangeAspect="1"/>
                    </pic:cNvPicPr>
                  </pic:nvPicPr>
                  <pic:blipFill>
                    <a:blip r:embed="rId101"/>
                    <a:stretch>
                      <a:fillRect/>
                    </a:stretch>
                  </pic:blipFill>
                  <pic:spPr>
                    <a:xfrm>
                      <a:off x="0" y="0"/>
                      <a:ext cx="3581400" cy="58102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—在T时间内声源j工作时间，s；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—在T时间内声源i工作时间，s；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T—计算等效声级的时间；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N—室外声源个数；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M—等效室外声源个数。</w:t>
      </w:r>
    </w:p>
    <w:p>
      <w:pPr>
        <w:pStyle w:val="6"/>
        <w:rPr>
          <w:rFonts w:hint="eastAsia"/>
        </w:rPr>
      </w:pPr>
      <w:r>
        <w:rPr>
          <w:rFonts w:hint="eastAsia"/>
          <w:lang w:eastAsia="zh-CN"/>
        </w:rPr>
        <w:t>预测结果及评价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噪声在室外空间的传播，由于受到遮挡物的隔断，各种介质的吸收与反射，以及空气介质的吸收等物理作用而逐渐减弱。为了简化计算条件并能考虑到最不利因素，计算时只考虑噪声随距离的衰减。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项目营运期间，噪声对厂界贡献值叠加值情况见表</w:t>
      </w:r>
      <w:r>
        <w:rPr>
          <w:rFonts w:hint="eastAsia" w:cs="Times New Roman"/>
          <w:b w:val="0"/>
          <w:bCs w:val="0"/>
          <w:sz w:val="24"/>
          <w:szCs w:val="24"/>
          <w:lang w:val="en-US" w:eastAsia="zh-CN"/>
        </w:rPr>
        <w:t>5.2-18。</w:t>
      </w:r>
    </w:p>
    <w:p>
      <w:pPr>
        <w:pStyle w:val="869"/>
        <w:keepNext w:val="0"/>
        <w:keepLines w:val="0"/>
        <w:pageBreakBefore w:val="0"/>
        <w:widowControl w:val="0"/>
        <w:kinsoku/>
        <w:wordWrap/>
        <w:overflowPunct/>
        <w:topLinePunct w:val="0"/>
        <w:autoSpaceDE/>
        <w:autoSpaceDN/>
        <w:bidi w:val="0"/>
        <w:adjustRightInd/>
        <w:snapToGrid/>
        <w:spacing w:before="0" w:beforeLines="0" w:line="240" w:lineRule="auto"/>
        <w:ind w:left="0" w:leftChars="0" w:right="0" w:rightChars="0" w:firstLine="0" w:firstLineChars="0"/>
        <w:jc w:val="center"/>
        <w:textAlignment w:val="auto"/>
        <w:outlineLvl w:val="9"/>
        <w:rPr>
          <w:rFonts w:hint="eastAsia"/>
          <w:b/>
          <w:bCs/>
          <w:color w:val="auto"/>
          <w:sz w:val="21"/>
          <w:szCs w:val="21"/>
          <w:lang w:val="en-US" w:eastAsia="zh-CN"/>
        </w:rPr>
      </w:pPr>
      <w:r>
        <w:rPr>
          <w:rFonts w:hint="eastAsia"/>
          <w:b/>
          <w:bCs/>
          <w:color w:val="auto"/>
          <w:sz w:val="21"/>
          <w:szCs w:val="21"/>
          <w:lang w:eastAsia="zh-CN"/>
        </w:rPr>
        <w:t>表</w:t>
      </w:r>
      <w:r>
        <w:rPr>
          <w:rFonts w:hint="eastAsia"/>
          <w:b/>
          <w:bCs/>
          <w:color w:val="auto"/>
          <w:sz w:val="21"/>
          <w:szCs w:val="21"/>
          <w:lang w:val="en-US" w:eastAsia="zh-CN"/>
        </w:rPr>
        <w:t xml:space="preserve">5.2-18  声环境预测情况一览表  </w:t>
      </w:r>
      <w:r>
        <w:rPr>
          <w:color w:val="auto"/>
          <w:sz w:val="21"/>
          <w:szCs w:val="21"/>
        </w:rPr>
        <w:t>单位：dB(A)</w:t>
      </w:r>
    </w:p>
    <w:tbl>
      <w:tblPr>
        <w:tblStyle w:val="6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238"/>
        <w:gridCol w:w="1236"/>
        <w:gridCol w:w="1236"/>
        <w:gridCol w:w="1238"/>
        <w:gridCol w:w="1238"/>
        <w:gridCol w:w="1239"/>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gridSpan w:val="2"/>
            <w:tcBorders>
              <w:top w:val="single" w:color="auto" w:sz="12" w:space="0"/>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点位</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时间段</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背景值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贡献值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叠加值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标准值</w:t>
            </w:r>
          </w:p>
        </w:tc>
        <w:tc>
          <w:tcPr>
            <w:tcW w:w="625" w:type="pct"/>
            <w:tcBorders>
              <w:top w:val="single" w:color="auto" w:sz="12" w:space="0"/>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restart"/>
            <w:tcBorders>
              <w:top w:val="single" w:color="auto" w:sz="12" w:space="0"/>
              <w:lef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厂界</w:t>
            </w:r>
          </w:p>
        </w:tc>
        <w:tc>
          <w:tcPr>
            <w:tcW w:w="625" w:type="pct"/>
            <w:vMerge w:val="restar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东侧</w:t>
            </w:r>
          </w:p>
        </w:tc>
        <w:tc>
          <w:tcPr>
            <w:tcW w:w="624"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tcBorders>
              <w:top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52.0</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tcBorders>
              <w:top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top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31.8</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31.2</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44.0</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西侧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42.3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50.8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42.8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39.3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50.9</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43.4</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51.6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4"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tcBorders>
              <w:bottom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37.3</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44.7</w:t>
            </w:r>
          </w:p>
        </w:tc>
        <w:tc>
          <w:tcPr>
            <w:tcW w:w="625"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bl>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4"/>
          <w:szCs w:val="24"/>
        </w:rPr>
        <w:t>由表</w:t>
      </w:r>
      <w:r>
        <w:rPr>
          <w:rFonts w:hint="default" w:ascii="Times New Roman" w:hAnsi="Times New Roman" w:eastAsia="宋体" w:cs="Times New Roman"/>
          <w:color w:val="auto"/>
          <w:sz w:val="24"/>
          <w:szCs w:val="24"/>
          <w:lang w:val="en-US" w:eastAsia="zh-CN"/>
        </w:rPr>
        <w:t>5.2-1</w:t>
      </w:r>
      <w:r>
        <w:rPr>
          <w:rFonts w:hint="eastAsia"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中的预测结果</w:t>
      </w:r>
      <w:r>
        <w:rPr>
          <w:rFonts w:hint="default" w:ascii="Times New Roman" w:hAnsi="Times New Roman" w:eastAsia="宋体" w:cs="Times New Roman"/>
          <w:color w:val="auto"/>
          <w:sz w:val="24"/>
          <w:szCs w:val="24"/>
        </w:rPr>
        <w:t>可知，</w:t>
      </w:r>
      <w:r>
        <w:rPr>
          <w:rFonts w:hint="default" w:ascii="Times New Roman" w:hAnsi="Times New Roman" w:eastAsia="宋体" w:cs="Times New Roman"/>
          <w:color w:val="auto"/>
          <w:sz w:val="24"/>
          <w:szCs w:val="24"/>
          <w:lang w:eastAsia="zh-CN"/>
        </w:rPr>
        <w:t>经采取有效措施后，项目的贡献噪声值及与项目所在地的背景噪声值叠加后，项目厂界噪声均</w:t>
      </w:r>
      <w:r>
        <w:rPr>
          <w:rFonts w:hint="default" w:ascii="Times New Roman" w:hAnsi="Times New Roman" w:eastAsia="宋体" w:cs="Times New Roman"/>
          <w:color w:val="auto"/>
          <w:sz w:val="24"/>
          <w:szCs w:val="24"/>
        </w:rPr>
        <w:t>能满足 GB12348-2008《工业企业厂界环境噪声排放标准》</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类标准要求。</w:t>
      </w:r>
    </w:p>
    <w:p>
      <w:pPr>
        <w:pStyle w:val="5"/>
        <w:ind w:firstLine="562"/>
      </w:pPr>
      <w:r>
        <w:rPr>
          <w:rFonts w:hint="eastAsia"/>
          <w:lang w:val="en-US" w:eastAsia="zh-CN"/>
        </w:rPr>
        <w:t xml:space="preserve"> </w:t>
      </w:r>
      <w:r>
        <w:rPr>
          <w:rFonts w:hint="eastAsia"/>
          <w:lang w:eastAsia="zh-CN"/>
        </w:rPr>
        <w:t>营运期固废环境影响分析</w:t>
      </w:r>
    </w:p>
    <w:p>
      <w:pPr>
        <w:pStyle w:val="6"/>
        <w:rPr>
          <w:rFonts w:hint="eastAsia"/>
        </w:rPr>
      </w:pPr>
      <w:r>
        <w:rPr>
          <w:rFonts w:hint="eastAsia"/>
          <w:lang w:eastAsia="zh-CN"/>
        </w:rPr>
        <w:t>固废管理的途径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各类固废如收集、贮放、运输、处置等环节的不严格或不妥善，会造成土壤、地下水污染，其主要可能途径有：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（1）废物产生后，不能完全收集而流失于环境中；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（2）贮放容器使用材质不当，耐蚀性能差，容器受蚀后造成废液渗漏；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（3）废物临时堆放地无防雨、防风、防渗设施，雨水洗淋后污染物随渗滤液进入土壤和地表、地下水环境，大风时也可造成风蚀流失；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（4）因管理不善而造成人为流失继而污染环境；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（5）废物得不到及时处置，在处置场所因各种因素造成流失；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拟建项目污染物排放如不受控制，在上述所列污染途径情况下，可能对环境的污染危害影响主要有：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（1）污染水体，破坏水生环境，并进而污染地下水体；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（2）由于土壤污染，而对地面树木、花草的生长发育造成不良影响；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（3）土壤受污染后，由于污染物在雨水淋滤下转移至地下水层，致使地下水（特别是潜层水）污染；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（4）生活垃圾的杂乱堆积影响人们居住环境的卫生状况，对人们的健康构成威胁。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因此，必须确保固体废物的处置和管理。</w:t>
      </w:r>
    </w:p>
    <w:p>
      <w:pPr>
        <w:pStyle w:val="6"/>
        <w:rPr>
          <w:rFonts w:hint="eastAsia"/>
        </w:rPr>
      </w:pPr>
      <w:r>
        <w:rPr>
          <w:rFonts w:hint="eastAsia"/>
          <w:lang w:eastAsia="zh-CN"/>
        </w:rPr>
        <w:t>固废废物的处理处置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根据上文，本项目产生的固废主要有猪粪、病死猪尸体、医疗垃圾、生活垃圾等。分别属于一般工业固废、危险废物。建设单位重视对固废的综合利用和处置。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（1）一般工业固废贮存和处置方式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rPr>
      </w:pPr>
      <w:r>
        <w:rPr>
          <w:rFonts w:hint="eastAsia" w:cs="Times New Roman"/>
          <w:b w:val="0"/>
          <w:bCs w:val="0"/>
          <w:sz w:val="24"/>
          <w:szCs w:val="24"/>
          <w:lang w:eastAsia="zh-CN"/>
        </w:rPr>
        <w:t>本项目生产性工业固废为猪粪、病死猪尸体，猪粪每天清粪后经异位发酵床集中处理制成有机肥；病死猪尸体经</w:t>
      </w:r>
      <w:r>
        <w:rPr>
          <w:rFonts w:hint="default" w:ascii="Times New Roman" w:hAnsi="Times New Roman" w:eastAsia="宋体" w:cs="Times New Roman"/>
          <w:kern w:val="0"/>
          <w:sz w:val="24"/>
          <w:szCs w:val="24"/>
          <w:lang w:val="en-US" w:eastAsia="zh-CN"/>
        </w:rPr>
        <w:t xml:space="preserve">经病死猪降解变成无病菌的有机肥包装外售。 </w:t>
      </w:r>
      <w:r>
        <w:rPr>
          <w:rFonts w:hint="eastAsia" w:ascii="Times New Roman" w:hAnsi="Times New Roman" w:cs="Times New Roman"/>
          <w:kern w:val="0"/>
          <w:sz w:val="24"/>
          <w:szCs w:val="24"/>
          <w:lang w:val="en-US" w:eastAsia="zh-CN"/>
        </w:rPr>
        <w:t>生活垃圾由环卫部门统一收集处理。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本项目一般工业固废暂存区位于固废间，堆场设有防渗漏、防雨、防火设施，并远离敏感点。固废堆放期不应过长，并做好运输途中防泄漏、洒落措施。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w:t>
      </w:r>
      <w:r>
        <w:rPr>
          <w:rFonts w:hint="eastAsia" w:cs="Times New Roman"/>
          <w:b w:val="0"/>
          <w:bCs w:val="0"/>
          <w:sz w:val="24"/>
          <w:szCs w:val="24"/>
          <w:lang w:val="en-US" w:eastAsia="zh-CN"/>
        </w:rPr>
        <w:t>2</w:t>
      </w:r>
      <w:r>
        <w:rPr>
          <w:rFonts w:hint="eastAsia" w:cs="Times New Roman"/>
          <w:b w:val="0"/>
          <w:bCs w:val="0"/>
          <w:sz w:val="24"/>
          <w:szCs w:val="24"/>
          <w:lang w:eastAsia="zh-CN"/>
        </w:rPr>
        <w:t>）危险性固废暂存措施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本项目设置危险废物暂存点，生产过程中产生的危险废物临时暂存于项目危险废物暂存点中，统一收集后交由有资质的单位作无害化处理，要求签订危险废物处置合同，严格执行危险废物转移联单管理制度。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危险废物暂存场所按照《危险废物贮存污染控制标准》的要求建设，危险废物的贮存必须按《危险废物贮存污染控制标准》GB18579-2001及2013修改单的要求进行，具体要求如下：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（1）禁止将相互反应的危险废物在同一容器内混装；装载液体、半固体危险废物的容器内需留有足够的空间，容器顶部距液面之间的距离不得小于100 mm；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（2）使用符合标准的容器盛装危险废物，其材质强度应满足贮存要求，同时，选用的材质必须不能与危险废物产生化学反应。</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（3）危险废物贮存场所的地面与群脚采用坚固、防渗材料建造，同时材料不能与废物产生化学反应。贮存厂房（仓库）上方应设有排气系统，以保证贮存间内的空气质量。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（4）应加强危险废物贮存设施的运行管理，作好危险废物的出入库管理记录和标识，定期检查危险废物包装容器的完好性，发现破损，应及时采取措施。</w:t>
      </w:r>
    </w:p>
    <w:p>
      <w:pPr>
        <w:pStyle w:val="6"/>
        <w:rPr>
          <w:rFonts w:hint="eastAsia"/>
        </w:rPr>
      </w:pPr>
      <w:r>
        <w:rPr>
          <w:rFonts w:hint="eastAsia"/>
          <w:lang w:eastAsia="zh-CN"/>
        </w:rPr>
        <w:t>危险废物收集运输过程中的环境影响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产生的危险废物经过收集包装后，建设单位应委托有资质的运输单位进行运输。运输者需要认真核对运输清单、标记、选择合适的装载方式和适宜的运输工具，确定合理的运输路线及对泄漏或临时事故的应急措施。采用车辆运输方式收运危险废物时，应考虑对收运人员的培训、许可证的审核以及收运过程中的安全防护等。最经常采用的运输方式是公路运输，为保证安全，危险废物不能在车辆上进行压缩。为防止运输过程中危险废物泄漏对环境造成污染，运输车辆必须具有必要的安全的、密闭的装卸条件，对司机也应进行专业培训，执行系列的特殊规定。危险废物运载车辆应标有醒目的危险符号，危险废物承运者必须掌握所运危险废物的必要资料，并制定在出现危险废物泄漏事故时的应急措施等。</w:t>
      </w:r>
    </w:p>
    <w:p>
      <w:pPr>
        <w:pStyle w:val="6"/>
        <w:rPr>
          <w:rFonts w:hint="eastAsia"/>
        </w:rPr>
      </w:pPr>
      <w:r>
        <w:rPr>
          <w:rFonts w:hint="eastAsia"/>
          <w:lang w:eastAsia="zh-CN"/>
        </w:rPr>
        <w:t>固体废物影响分析评价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val="0"/>
          <w:bCs w:val="0"/>
          <w:lang w:eastAsia="zh-CN"/>
        </w:rPr>
      </w:pPr>
      <w:r>
        <w:rPr>
          <w:rFonts w:hint="eastAsia" w:cs="Times New Roman"/>
          <w:b w:val="0"/>
          <w:bCs w:val="0"/>
          <w:sz w:val="24"/>
          <w:szCs w:val="24"/>
          <w:lang w:eastAsia="zh-CN"/>
        </w:rPr>
        <w:t>本项目最大可能的回收各种固废，符合固体废物资源化要求。建设单位对各种固体废物进行分类处置。生产过程中产生的危险废物临时暂存于危险废物暂存点中，统一收集后交由有资质的单位作无害化处理，要求签订危险废物处置合同，严格执行危险废物转移联单管理制度。生产过程中产生的一般工业固废临时暂存于固体废物堆放区中，猪粪每天清粪后经异位发酵床集中处理制成有机肥；病死猪尸体经</w:t>
      </w:r>
      <w:r>
        <w:rPr>
          <w:rFonts w:hint="eastAsia" w:cs="Times New Roman"/>
          <w:b w:val="0"/>
          <w:bCs w:val="0"/>
          <w:sz w:val="24"/>
          <w:szCs w:val="24"/>
          <w:lang w:val="en-US" w:eastAsia="zh-CN"/>
        </w:rPr>
        <w:t>经病死猪降解变成无病菌的有机肥包装外售；医疗废物交有资质的单位处置。生活垃圾由环卫部门统一收集处理</w:t>
      </w:r>
      <w:r>
        <w:rPr>
          <w:rFonts w:hint="eastAsia" w:cs="Times New Roman"/>
          <w:b w:val="0"/>
          <w:bCs w:val="0"/>
          <w:sz w:val="24"/>
          <w:szCs w:val="24"/>
          <w:lang w:eastAsia="zh-CN"/>
        </w:rPr>
        <w:t>。各类固体废物都得以有效处置。由于项目所产生的固体废物不在厂区内长期储存、处理和处置，因此不会对项目内及周边环境产生不良影响。</w:t>
      </w:r>
    </w:p>
    <w:p>
      <w:pPr>
        <w:pStyle w:val="5"/>
        <w:ind w:firstLine="562"/>
      </w:pPr>
      <w:r>
        <w:rPr>
          <w:rFonts w:hint="eastAsia"/>
          <w:lang w:val="en-US" w:eastAsia="zh-CN"/>
        </w:rPr>
        <w:t xml:space="preserve"> </w:t>
      </w:r>
      <w:r>
        <w:rPr>
          <w:rFonts w:hint="eastAsia"/>
          <w:lang w:eastAsia="zh-CN"/>
        </w:rPr>
        <w:t>营运期土壤环境影响分析</w:t>
      </w:r>
    </w:p>
    <w:p>
      <w:pPr>
        <w:pStyle w:val="6"/>
        <w:rPr>
          <w:rFonts w:hint="eastAsia"/>
        </w:rPr>
      </w:pPr>
      <w:r>
        <w:rPr>
          <w:rFonts w:hint="eastAsia"/>
          <w:lang w:eastAsia="zh-CN"/>
        </w:rPr>
        <w:t>土壤环境影响评价等级</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）表</w:t>
      </w:r>
      <w:r>
        <w:rPr>
          <w:rFonts w:hint="eastAsia" w:ascii="Times New Roman" w:hAnsi="Times New Roman" w:cs="Times New Roman"/>
          <w:color w:val="231F20"/>
          <w:sz w:val="24"/>
          <w:szCs w:val="24"/>
          <w:lang w:val="en-US" w:eastAsia="zh-CN"/>
        </w:rPr>
        <w:t>4</w:t>
      </w:r>
      <w:r>
        <w:rPr>
          <w:rFonts w:hint="default" w:ascii="Times New Roman" w:hAnsi="Times New Roman" w:eastAsia="宋体" w:cs="Times New Roman"/>
          <w:color w:val="231F20"/>
          <w:sz w:val="24"/>
          <w:szCs w:val="24"/>
        </w:rPr>
        <w:t>中评价工作等级分级表</w:t>
      </w:r>
      <w:r>
        <w:rPr>
          <w:rFonts w:hint="eastAsia" w:ascii="Times New Roman" w:hAnsi="Times New Roman" w:eastAsia="宋体" w:cs="Times New Roman"/>
          <w:color w:val="231F20"/>
          <w:sz w:val="24"/>
          <w:szCs w:val="24"/>
          <w:lang w:eastAsia="zh-CN"/>
        </w:rPr>
        <w:t>及表</w:t>
      </w:r>
      <w:r>
        <w:rPr>
          <w:rFonts w:hint="eastAsia" w:ascii="Times New Roman" w:hAnsi="Times New Roman" w:eastAsia="宋体" w:cs="Times New Roman"/>
          <w:color w:val="231F20"/>
          <w:sz w:val="24"/>
          <w:szCs w:val="24"/>
          <w:lang w:val="en-US" w:eastAsia="zh-CN"/>
        </w:rPr>
        <w:t>2.5-10、表2.5-11可知，</w:t>
      </w:r>
      <w:r>
        <w:rPr>
          <w:rFonts w:hint="default" w:ascii="Times New Roman" w:hAnsi="Times New Roman" w:eastAsia="宋体" w:cs="Times New Roman"/>
          <w:color w:val="231F20"/>
          <w:sz w:val="24"/>
          <w:szCs w:val="24"/>
        </w:rPr>
        <w:t>项目</w:t>
      </w:r>
      <w:r>
        <w:rPr>
          <w:rFonts w:hint="eastAsia" w:ascii="Times New Roman" w:hAnsi="Times New Roman" w:cs="Times New Roman"/>
          <w:color w:val="231F20"/>
          <w:sz w:val="24"/>
          <w:szCs w:val="24"/>
          <w:lang w:eastAsia="zh-CN"/>
        </w:rPr>
        <w:t>土壤</w:t>
      </w:r>
      <w:r>
        <w:rPr>
          <w:rFonts w:hint="default" w:ascii="Times New Roman" w:hAnsi="Times New Roman" w:eastAsia="宋体" w:cs="Times New Roman"/>
          <w:color w:val="231F20"/>
          <w:sz w:val="24"/>
          <w:szCs w:val="24"/>
        </w:rPr>
        <w:t>环境影响评价工作等级为</w:t>
      </w:r>
      <w:r>
        <w:rPr>
          <w:rFonts w:hint="eastAsia" w:ascii="Times New Roman" w:hAnsi="Times New Roman" w:cs="Times New Roman"/>
          <w:color w:val="231F20"/>
          <w:sz w:val="24"/>
          <w:szCs w:val="24"/>
          <w:lang w:eastAsia="zh-CN"/>
        </w:rPr>
        <w:t>“</w:t>
      </w:r>
      <w:r>
        <w:rPr>
          <w:rFonts w:hint="eastAsia" w:ascii="Times New Roman" w:hAnsi="Times New Roman" w:cs="Times New Roman"/>
          <w:color w:val="231F20"/>
          <w:sz w:val="24"/>
          <w:szCs w:val="24"/>
          <w:lang w:val="en-US" w:eastAsia="zh-CN"/>
        </w:rPr>
        <w:t>三</w:t>
      </w:r>
      <w:r>
        <w:rPr>
          <w:rFonts w:hint="eastAsia" w:ascii="Times New Roman" w:hAnsi="Times New Roman" w:cs="Times New Roman"/>
          <w:color w:val="231F20"/>
          <w:sz w:val="24"/>
          <w:szCs w:val="24"/>
          <w:lang w:eastAsia="zh-CN"/>
        </w:rPr>
        <w:t>”级</w:t>
      </w:r>
      <w:r>
        <w:rPr>
          <w:rFonts w:hint="default" w:ascii="Times New Roman" w:hAnsi="Times New Roman" w:eastAsia="宋体" w:cs="Times New Roman"/>
          <w:color w:val="231F20"/>
          <w:sz w:val="24"/>
          <w:szCs w:val="24"/>
        </w:rPr>
        <w:t>。</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w:t>
      </w:r>
      <w:r>
        <w:rPr>
          <w:rFonts w:hint="default" w:ascii="Times New Roman" w:hAnsi="Times New Roman" w:eastAsia="宋体" w:cs="Times New Roman"/>
          <w:color w:val="231F20"/>
          <w:sz w:val="24"/>
          <w:szCs w:val="24"/>
          <w:lang w:eastAsia="zh-CN"/>
        </w:rPr>
        <w:t>本项目可开展简单的土壤环境影响分析工作</w:t>
      </w:r>
      <w:r>
        <w:rPr>
          <w:rFonts w:hint="default" w:ascii="Times New Roman" w:hAnsi="Times New Roman" w:eastAsia="宋体" w:cs="Times New Roman"/>
          <w:color w:val="231F20"/>
          <w:sz w:val="24"/>
          <w:szCs w:val="24"/>
          <w:lang w:val="en-US" w:eastAsia="zh-CN"/>
        </w:rPr>
        <w:t>。</w:t>
      </w:r>
    </w:p>
    <w:p>
      <w:pPr>
        <w:pStyle w:val="6"/>
        <w:rPr>
          <w:rFonts w:hint="eastAsia"/>
        </w:rPr>
      </w:pPr>
      <w:r>
        <w:rPr>
          <w:rFonts w:hint="eastAsia"/>
          <w:lang w:eastAsia="zh-CN"/>
        </w:rPr>
        <w:t>土地利用基本情况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本项目土地类型为设施农用地、林地； </w:t>
      </w:r>
    </w:p>
    <w:p>
      <w:pPr>
        <w:pStyle w:val="8"/>
        <w:rPr>
          <w:rFonts w:hint="eastAsia"/>
        </w:rPr>
      </w:pPr>
      <w:r>
        <w:rPr>
          <w:rFonts w:hint="default" w:ascii="Times New Roman" w:hAnsi="Times New Roman" w:eastAsia="宋体" w:cs="Times New Roman"/>
          <w:color w:val="231F20"/>
          <w:sz w:val="24"/>
          <w:szCs w:val="24"/>
        </w:rPr>
        <w:t>根据国家土壤信息服务平台，本项目所在地土壤类型为红壤。</w:t>
      </w:r>
    </w:p>
    <w:p>
      <w:pPr>
        <w:pStyle w:val="6"/>
        <w:rPr>
          <w:rFonts w:hint="eastAsia"/>
        </w:rPr>
      </w:pPr>
      <w:r>
        <w:rPr>
          <w:rFonts w:hint="eastAsia"/>
          <w:lang w:eastAsia="zh-CN"/>
        </w:rPr>
        <w:t>评价范围</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根据《环境影响评价技术导则 土壤环境（试行）》(HJ964-2018)，本项目评价范围为项目占地范围及项目占地范围外0.05km的范围。 </w:t>
      </w:r>
    </w:p>
    <w:p>
      <w:pPr>
        <w:pStyle w:val="6"/>
        <w:rPr>
          <w:rFonts w:hint="eastAsia"/>
        </w:rPr>
      </w:pPr>
      <w:r>
        <w:rPr>
          <w:rFonts w:hint="eastAsia"/>
          <w:lang w:eastAsia="zh-CN"/>
        </w:rPr>
        <w:t>评价时段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根据建设项目土壤环境影响类型识别结果，本项目重点预测评价时段为运营期。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lang w:eastAsia="zh-CN"/>
        </w:rPr>
      </w:pPr>
      <w:r>
        <w:rPr>
          <w:rFonts w:hint="eastAsia"/>
          <w:b/>
          <w:bCs/>
          <w:sz w:val="21"/>
          <w:szCs w:val="21"/>
          <w:lang w:eastAsia="zh-CN"/>
        </w:rPr>
        <w:t>表</w:t>
      </w:r>
      <w:r>
        <w:rPr>
          <w:rFonts w:hint="eastAsia"/>
          <w:b/>
          <w:bCs/>
          <w:sz w:val="21"/>
          <w:szCs w:val="21"/>
          <w:lang w:val="en-US" w:eastAsia="zh-CN"/>
        </w:rPr>
        <w:t>5.2-19   建设项目土壤环境影响类型与影响途径表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9"/>
        <w:gridCol w:w="1979"/>
        <w:gridCol w:w="1979"/>
        <w:gridCol w:w="1979"/>
        <w:gridCol w:w="1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不同时段</w:t>
            </w:r>
          </w:p>
        </w:tc>
        <w:tc>
          <w:tcPr>
            <w:tcW w:w="4000" w:type="pct"/>
            <w:gridSpan w:val="4"/>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continue"/>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大气沉降</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地面漫流</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02" w:type="pct"/>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建设期</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top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运营期</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c>
          <w:tcPr>
            <w:tcW w:w="1002" w:type="pct"/>
            <w:tcBorders>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服务期满后</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bottom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bl>
    <w:p>
      <w:pPr>
        <w:pStyle w:val="6"/>
        <w:rPr>
          <w:rFonts w:hint="eastAsia"/>
        </w:rPr>
      </w:pPr>
      <w:r>
        <w:rPr>
          <w:rFonts w:hint="eastAsia"/>
          <w:lang w:eastAsia="zh-CN"/>
        </w:rPr>
        <w:t>情景设置</w:t>
      </w:r>
    </w:p>
    <w:p>
      <w:pPr>
        <w:pStyle w:val="8"/>
        <w:rPr>
          <w:rFonts w:hint="eastAsia"/>
        </w:rPr>
      </w:pPr>
      <w:r>
        <w:rPr>
          <w:rFonts w:hint="default"/>
          <w:b w:val="0"/>
          <w:bCs w:val="0"/>
          <w:lang w:eastAsia="zh-CN"/>
        </w:rPr>
        <w:t>本项目运营期发生污染土壤环境的</w:t>
      </w:r>
      <w:r>
        <w:rPr>
          <w:rFonts w:hint="eastAsia"/>
          <w:b w:val="0"/>
          <w:bCs w:val="0"/>
          <w:lang w:eastAsia="zh-CN"/>
        </w:rPr>
        <w:t>途径</w:t>
      </w:r>
      <w:r>
        <w:rPr>
          <w:rFonts w:hint="default"/>
          <w:b w:val="0"/>
          <w:bCs w:val="0"/>
          <w:lang w:eastAsia="zh-CN"/>
        </w:rPr>
        <w:t>主要为污水处理站</w:t>
      </w:r>
      <w:r>
        <w:rPr>
          <w:rFonts w:hint="eastAsia"/>
          <w:b w:val="0"/>
          <w:bCs w:val="0"/>
          <w:lang w:eastAsia="zh-CN"/>
        </w:rPr>
        <w:t>、异位发酵床</w:t>
      </w:r>
      <w:r>
        <w:rPr>
          <w:rFonts w:hint="default"/>
          <w:b w:val="0"/>
          <w:bCs w:val="0"/>
          <w:lang w:eastAsia="zh-CN"/>
        </w:rPr>
        <w:t>。正常情况下，污水处理站是不会发生泄漏的，本次针对非正常情况进行分析评价。</w:t>
      </w:r>
    </w:p>
    <w:p>
      <w:pPr>
        <w:pStyle w:val="6"/>
        <w:rPr>
          <w:rFonts w:hint="eastAsia"/>
        </w:rPr>
      </w:pPr>
      <w:r>
        <w:rPr>
          <w:rFonts w:hint="eastAsia"/>
          <w:lang w:eastAsia="zh-CN"/>
        </w:rPr>
        <w:t>环境影响类型、途径及影响因子识别</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根据建设项目土壤环境影响源及影响因子识别，本项目评价因子选取COD、氨氮。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5.2-20  污染影响型建设项目土壤环境影响源及影响因子识别表</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0"/>
        <w:gridCol w:w="2003"/>
        <w:gridCol w:w="1359"/>
        <w:gridCol w:w="2039"/>
        <w:gridCol w:w="1603"/>
        <w:gridCol w:w="1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污染源</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工艺流程</w:t>
            </w:r>
            <w:r>
              <w:rPr>
                <w:rFonts w:hint="eastAsia"/>
                <w:b w:val="0"/>
                <w:bCs w:val="0"/>
                <w:sz w:val="21"/>
                <w:szCs w:val="21"/>
                <w:vertAlign w:val="baseline"/>
                <w:lang w:val="en-US" w:eastAsia="zh-CN"/>
              </w:rPr>
              <w:t>/节点</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污染途径</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全部污染物指标</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特征因子</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b w:val="0"/>
                <w:bCs w:val="0"/>
                <w:sz w:val="21"/>
                <w:szCs w:val="21"/>
                <w:vertAlign w:val="baseline"/>
                <w:lang w:eastAsia="zh-CN"/>
              </w:rPr>
            </w:pPr>
            <w:r>
              <w:rPr>
                <w:rFonts w:hint="eastAsia"/>
                <w:b w:val="0"/>
                <w:bCs w:val="0"/>
                <w:sz w:val="21"/>
                <w:szCs w:val="21"/>
                <w:vertAlign w:val="baseline"/>
                <w:lang w:eastAsia="zh-CN"/>
              </w:rPr>
              <w:t>污水处理设施</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异位发酵床</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防渗层</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事故</w:t>
            </w:r>
          </w:p>
        </w:tc>
      </w:tr>
    </w:tbl>
    <w:p>
      <w:pPr>
        <w:pStyle w:val="6"/>
        <w:rPr>
          <w:rFonts w:hint="eastAsia"/>
        </w:rPr>
      </w:pPr>
      <w:r>
        <w:rPr>
          <w:rFonts w:hint="eastAsia"/>
          <w:lang w:eastAsia="zh-CN"/>
        </w:rPr>
        <w:t>影响分析</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本项目对土壤产生污染的影响源主要污水处理</w:t>
      </w:r>
      <w:r>
        <w:rPr>
          <w:rFonts w:hint="eastAsia"/>
          <w:b w:val="0"/>
          <w:bCs w:val="0"/>
          <w:lang w:eastAsia="zh-CN"/>
        </w:rPr>
        <w:t>设施、异位发酵床</w:t>
      </w:r>
      <w:r>
        <w:rPr>
          <w:rFonts w:hint="default"/>
          <w:b w:val="0"/>
          <w:bCs w:val="0"/>
          <w:lang w:eastAsia="zh-CN"/>
        </w:rPr>
        <w:t>。当污水处理</w:t>
      </w:r>
      <w:r>
        <w:rPr>
          <w:rFonts w:hint="eastAsia"/>
          <w:b w:val="0"/>
          <w:bCs w:val="0"/>
          <w:lang w:eastAsia="zh-CN"/>
        </w:rPr>
        <w:t>设施、异位发酵床</w:t>
      </w:r>
      <w:r>
        <w:rPr>
          <w:rFonts w:hint="default"/>
          <w:b w:val="0"/>
          <w:bCs w:val="0"/>
          <w:lang w:eastAsia="zh-CN"/>
        </w:rPr>
        <w:t xml:space="preserve">出现破损而导致废水泄漏时，废水将渗入土壤，对土壤及地下水造成污染，因此，本项目应严格落实好分区防渗工程并定期检查，杜绝泄漏情况的发生，基本不会对项目土壤造成明显影响。 </w:t>
      </w:r>
    </w:p>
    <w:p>
      <w:pPr>
        <w:pStyle w:val="6"/>
        <w:rPr>
          <w:rFonts w:hint="eastAsia"/>
        </w:rPr>
      </w:pPr>
      <w:r>
        <w:rPr>
          <w:rFonts w:hint="eastAsia"/>
          <w:lang w:eastAsia="zh-CN"/>
        </w:rPr>
        <w:t>土壤环境影响评价自查表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val="0"/>
          <w:bCs w:val="0"/>
          <w:sz w:val="21"/>
          <w:szCs w:val="21"/>
          <w:lang w:eastAsia="zh-CN"/>
        </w:rPr>
      </w:pPr>
      <w:r>
        <w:rPr>
          <w:rFonts w:hint="eastAsia"/>
          <w:b/>
          <w:bCs/>
          <w:sz w:val="21"/>
          <w:szCs w:val="21"/>
          <w:lang w:eastAsia="zh-CN"/>
        </w:rPr>
        <w:t>表</w:t>
      </w:r>
      <w:r>
        <w:rPr>
          <w:rFonts w:hint="eastAsia"/>
          <w:b/>
          <w:bCs/>
          <w:sz w:val="21"/>
          <w:szCs w:val="21"/>
          <w:lang w:val="en-US" w:eastAsia="zh-CN"/>
        </w:rPr>
        <w:t>5.2-21  土壤环境影响评价自查表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759"/>
        <w:gridCol w:w="1498"/>
        <w:gridCol w:w="470"/>
        <w:gridCol w:w="836"/>
        <w:gridCol w:w="1131"/>
        <w:gridCol w:w="384"/>
        <w:gridCol w:w="1589"/>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top w:val="single" w:color="auto" w:sz="12" w:space="0"/>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工作内容</w:t>
            </w:r>
          </w:p>
        </w:tc>
        <w:tc>
          <w:tcPr>
            <w:tcW w:w="2982" w:type="pct"/>
            <w:gridSpan w:val="6"/>
            <w:tcBorders>
              <w:top w:val="single" w:color="auto" w:sz="12" w:space="0"/>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完成情况</w:t>
            </w:r>
          </w:p>
        </w:tc>
        <w:tc>
          <w:tcPr>
            <w:tcW w:w="806" w:type="pct"/>
            <w:tcBorders>
              <w:top w:val="single" w:color="auto" w:sz="12" w:space="0"/>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影响识别</w:t>
            </w:r>
          </w:p>
        </w:tc>
        <w:tc>
          <w:tcPr>
            <w:tcW w:w="888" w:type="pct"/>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影响类型</w:t>
            </w:r>
          </w:p>
        </w:tc>
        <w:tc>
          <w:tcPr>
            <w:tcW w:w="2982" w:type="pct"/>
            <w:gridSpan w:val="6"/>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；生态影响型</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；两种兼有</w:t>
            </w:r>
            <w:r>
              <w:rPr>
                <w:rFonts w:hint="eastAsia"/>
                <w:b w:val="0"/>
                <w:bCs w:val="0"/>
                <w:sz w:val="21"/>
                <w:szCs w:val="21"/>
                <w:vertAlign w:val="baseline"/>
                <w:lang w:eastAsia="zh-CN"/>
              </w:rPr>
              <w:sym w:font="Wingdings 2" w:char="00A3"/>
            </w:r>
          </w:p>
        </w:tc>
        <w:tc>
          <w:tcPr>
            <w:tcW w:w="806" w:type="pct"/>
            <w:tcBorders>
              <w:top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建设用地</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；农用地</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；未利用地</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占地规模</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w:t>
            </w:r>
            <w:r>
              <w:rPr>
                <w:rFonts w:hint="eastAsia"/>
                <w:b w:val="0"/>
                <w:bCs w:val="0"/>
                <w:sz w:val="21"/>
                <w:szCs w:val="21"/>
                <w:vertAlign w:val="baseline"/>
                <w:lang w:val="en-US" w:eastAsia="zh-CN"/>
              </w:rPr>
              <w:t>40020</w:t>
            </w:r>
            <w:r>
              <w:rPr>
                <w:rFonts w:hint="eastAsia"/>
                <w:b w:val="0"/>
                <w:bCs w:val="0"/>
                <w:sz w:val="21"/>
                <w:szCs w:val="21"/>
                <w:vertAlign w:val="baseline"/>
                <w:lang w:eastAsia="zh-CN"/>
              </w:rPr>
              <w:t>）</w:t>
            </w:r>
            <w:r>
              <w:rPr>
                <w:rFonts w:hint="eastAsia"/>
                <w:b w:val="0"/>
                <w:bCs w:val="0"/>
                <w:sz w:val="21"/>
                <w:szCs w:val="21"/>
                <w:vertAlign w:val="baseline"/>
                <w:lang w:val="en-US" w:eastAsia="zh-CN"/>
              </w:rPr>
              <w:t>m</w:t>
            </w:r>
            <w:r>
              <w:rPr>
                <w:rFonts w:hint="eastAsia"/>
                <w:b w:val="0"/>
                <w:bCs w:val="0"/>
                <w:sz w:val="21"/>
                <w:szCs w:val="21"/>
                <w:vertAlign w:val="superscript"/>
                <w:lang w:val="en-US" w:eastAsia="zh-CN"/>
              </w:rPr>
              <w:t>2</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敏感目标信息</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敏感目标（耕地）、方位（项目周围）、距离（</w:t>
            </w:r>
            <w:r>
              <w:rPr>
                <w:rFonts w:hint="eastAsia"/>
                <w:b w:val="0"/>
                <w:bCs w:val="0"/>
                <w:sz w:val="21"/>
                <w:szCs w:val="21"/>
                <w:vertAlign w:val="baseline"/>
                <w:lang w:val="en-US" w:eastAsia="zh-CN"/>
              </w:rPr>
              <w:t>1m</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影响途径</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b w:val="0"/>
                <w:bCs w:val="0"/>
                <w:sz w:val="21"/>
                <w:szCs w:val="21"/>
                <w:vertAlign w:val="baseline"/>
                <w:lang w:eastAsia="zh-CN"/>
              </w:rPr>
            </w:pPr>
            <w:r>
              <w:rPr>
                <w:rFonts w:hint="eastAsia"/>
                <w:b w:val="0"/>
                <w:bCs w:val="0"/>
                <w:sz w:val="21"/>
                <w:szCs w:val="21"/>
                <w:vertAlign w:val="baseline"/>
                <w:lang w:eastAsia="zh-CN"/>
              </w:rPr>
              <w:t>大气沉降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；地面漫流</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；垂直入渗</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地下水位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特征污染物</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所属土壤环境影响评价类别</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Ⅰ类</w:t>
            </w:r>
            <w:r>
              <w:rPr>
                <w:rFonts w:hint="eastAsia"/>
                <w:b w:val="0"/>
                <w:bCs w:val="0"/>
                <w:sz w:val="21"/>
                <w:szCs w:val="21"/>
                <w:vertAlign w:val="baseline"/>
                <w:lang w:eastAsia="zh-CN"/>
              </w:rPr>
              <w:sym w:font="Wingdings 2" w:char="0052"/>
            </w:r>
            <w:r>
              <w:rPr>
                <w:rFonts w:hint="eastAsia"/>
                <w:b w:val="0"/>
                <w:bCs w:val="0"/>
                <w:sz w:val="21"/>
                <w:szCs w:val="21"/>
                <w:vertAlign w:val="baseline"/>
                <w:lang w:eastAsia="zh-CN"/>
              </w:rPr>
              <w:t>；Ⅱ类</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；Ⅲ类</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；Ⅳ类</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敏感程度</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；较敏感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；不敏感</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评价工作等级</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一级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；二级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；三级</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现状调查内容</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资料收集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a）</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d）</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理化性质</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同附录</w:t>
            </w:r>
            <w:r>
              <w:rPr>
                <w:rFonts w:hint="eastAsia"/>
                <w:b w:val="0"/>
                <w:bCs w:val="0"/>
                <w:sz w:val="21"/>
                <w:szCs w:val="21"/>
                <w:vertAlign w:val="baseline"/>
                <w:lang w:val="en-US"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现状监测点位</w:t>
            </w: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占地范围外</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深度</w:t>
            </w:r>
          </w:p>
        </w:tc>
        <w:tc>
          <w:tcPr>
            <w:tcW w:w="806" w:type="pct"/>
            <w:vMerge w:val="restart"/>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点位布置图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表层样点数</w:t>
            </w: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3</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0.2m</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柱状样点数</w:t>
            </w:r>
          </w:p>
        </w:tc>
        <w:tc>
          <w:tcPr>
            <w:tcW w:w="659"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765"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评价标准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ascii="Arial" w:hAnsi="Arial" w:cs="Arial"/>
                <w:b w:val="0"/>
                <w:bCs w:val="0"/>
                <w:sz w:val="21"/>
                <w:szCs w:val="21"/>
                <w:vertAlign w:val="baseline"/>
                <w:lang w:val="en-US" w:eastAsia="zh-CN"/>
              </w:rPr>
              <w:t>GB36600</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；表</w:t>
            </w:r>
            <w:r>
              <w:rPr>
                <w:rFonts w:hint="eastAsia"/>
                <w:b w:val="0"/>
                <w:bCs w:val="0"/>
                <w:sz w:val="21"/>
                <w:szCs w:val="21"/>
                <w:vertAlign w:val="baseline"/>
                <w:lang w:val="en-US" w:eastAsia="zh-CN"/>
              </w:rPr>
              <w:t>D.2</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default"/>
                <w:b w:val="0"/>
                <w:bCs w:val="0"/>
                <w:sz w:val="21"/>
                <w:szCs w:val="21"/>
                <w:vertAlign w:val="baseline"/>
                <w:lang w:eastAsia="zh-CN"/>
              </w:rPr>
              <w:t>从监测结果可知，本次监测的所有土壤样点中，所有监测因子均满足《土壤环境质量 农用地土壤污染风险管控标准（试行）》（GB15618-2018）筛选值，说明本项目所在地土壤环境质量满足要求</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影响预测</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预测方法</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附录</w:t>
            </w:r>
            <w:r>
              <w:rPr>
                <w:rFonts w:hint="eastAsia"/>
                <w:b w:val="0"/>
                <w:bCs w:val="0"/>
                <w:sz w:val="21"/>
                <w:szCs w:val="21"/>
                <w:vertAlign w:val="baseline"/>
                <w:lang w:val="en-US" w:eastAsia="zh-CN"/>
              </w:rPr>
              <w:t>E</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；附录</w:t>
            </w:r>
            <w:r>
              <w:rPr>
                <w:rFonts w:hint="eastAsia"/>
                <w:b w:val="0"/>
                <w:bCs w:val="0"/>
                <w:sz w:val="21"/>
                <w:szCs w:val="21"/>
                <w:vertAlign w:val="baseline"/>
                <w:lang w:val="en-US" w:eastAsia="zh-CN"/>
              </w:rPr>
              <w:t>F</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预测分析内容</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影响范围（</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r>
              <w:rPr>
                <w:rFonts w:hint="eastAsia"/>
                <w:b w:val="0"/>
                <w:bCs w:val="0"/>
                <w:sz w:val="21"/>
                <w:szCs w:val="21"/>
                <w:vertAlign w:val="baseline"/>
                <w:lang w:val="en-US" w:eastAsia="zh-CN"/>
              </w:rPr>
              <w:t xml:space="preserve"> ；影响程度（    ）</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防治措施</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防控措施</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b w:val="0"/>
                <w:bCs w:val="0"/>
                <w:sz w:val="21"/>
                <w:szCs w:val="21"/>
                <w:vertAlign w:val="baseline"/>
                <w:lang w:eastAsia="zh-CN"/>
              </w:rPr>
              <w:t>土壤环境质量现状保障□；源头控制□；过程防控√；其他（√）</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ascii="宋体" w:hAnsi="宋体" w:eastAsia="宋体"/>
                <w:color w:val="000000"/>
                <w:sz w:val="21"/>
              </w:rPr>
              <w:t>跟踪监测</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监测点数</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监测指标</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监测频次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1</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GB15618中所有基本项</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5年1次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信息公开指标</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评价结论</w:t>
            </w:r>
          </w:p>
        </w:tc>
        <w:tc>
          <w:tcPr>
            <w:tcW w:w="2982" w:type="pct"/>
            <w:gridSpan w:val="6"/>
            <w:tcBorders>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项目不会对周围土壤产生明显影响</w:t>
            </w:r>
          </w:p>
        </w:tc>
        <w:tc>
          <w:tcPr>
            <w:tcW w:w="806" w:type="pct"/>
            <w:tcBorders>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bl>
    <w:p>
      <w:pPr>
        <w:pStyle w:val="5"/>
        <w:ind w:firstLine="562"/>
      </w:pPr>
      <w:r>
        <w:rPr>
          <w:rFonts w:hint="eastAsia"/>
          <w:lang w:val="en-US" w:eastAsia="zh-CN"/>
        </w:rPr>
        <w:t xml:space="preserve"> </w:t>
      </w:r>
      <w:r>
        <w:rPr>
          <w:rFonts w:hint="eastAsia"/>
          <w:lang w:eastAsia="zh-CN"/>
        </w:rPr>
        <w:t>生态环境影响分析</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（1）易造成土壤、面源污染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营运期对生态环境影响比较大的是项目所产生的废水、固体废物（猪粪等）对土壤、地下水及地表水的影响，容易造成土壤、地下水硝酸盐积累、超标。由于本建设项目的特点决定了其所排放的废物含氮量较高，不过由于该选址为山地，地下水埋藏较深，与农田相比其土壤硝酸盐积累的问题并不突出，亦不会使评价区地下水遭到较严重的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（2）暴雨径流引起的面源污染影响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由于项目所在地处于中亚热带，春季阴雨连绵，夏季降雨量较大而且较为集中，在暴雨条件下容易形成地表径流，从而造成面源污染。因此，本项目在建设和营运过程中，要切实注意各种有机物的储存、治理，科学管理、强化监督、达标排放，唯有如此，才能降低项目形成面源污染的几率，才能创造经济效益与生态效益的双重效益。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（3）对区域植被生物量的影响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本项目工程建设主要在原有地貌的基础上，在林地上建设猪舍，对原有自然景观的改变较小，并且项目建设后将呈现良好的人文景观，生物量、景观类型的改变，对生态系统碳氧平衡产生一定的影响。 </w:t>
      </w:r>
    </w:p>
    <w:p>
      <w:pPr>
        <w:pStyle w:val="8"/>
        <w:rPr>
          <w:rFonts w:hint="eastAsia"/>
        </w:rPr>
      </w:pPr>
      <w:r>
        <w:rPr>
          <w:rFonts w:hint="default" w:ascii="Times New Roman" w:hAnsi="Times New Roman" w:eastAsia="宋体" w:cs="Times New Roman"/>
          <w:b w:val="0"/>
          <w:bCs w:val="0"/>
          <w:lang w:eastAsia="zh-CN"/>
        </w:rPr>
        <w:t>结合项目目前实际情况来看，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w:t>
      </w:r>
      <w:r>
        <w:rPr>
          <w:rFonts w:hint="eastAsia" w:cs="Times New Roman"/>
          <w:b w:val="0"/>
          <w:bCs w:val="0"/>
          <w:lang w:eastAsia="zh-CN"/>
        </w:rPr>
        <w:t>。</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sectPr>
          <w:pgSz w:w="11910" w:h="16840"/>
          <w:pgMar w:top="1500" w:right="1100" w:bottom="1180" w:left="1120" w:header="850" w:footer="993" w:gutter="0"/>
          <w:pgBorders>
            <w:top w:val="none" w:sz="0" w:space="0"/>
            <w:left w:val="none" w:sz="0" w:space="0"/>
            <w:bottom w:val="none" w:sz="0" w:space="0"/>
            <w:right w:val="none" w:sz="0" w:space="0"/>
          </w:pgBorders>
          <w:pgNumType w:fmt="decimal"/>
          <w:cols w:space="720" w:num="1"/>
        </w:sectPr>
      </w:pPr>
    </w:p>
    <w:p>
      <w:pPr>
        <w:pStyle w:val="3"/>
        <w:jc w:val="center"/>
      </w:pPr>
      <w:bookmarkStart w:id="61" w:name="_Toc6428"/>
      <w:bookmarkStart w:id="62" w:name="_Toc18299"/>
      <w:r>
        <w:rPr>
          <w:rFonts w:hint="eastAsia"/>
        </w:rPr>
        <w:t>环境</w:t>
      </w:r>
      <w:r>
        <w:rPr>
          <w:rFonts w:hint="eastAsia"/>
          <w:lang w:eastAsia="zh-CN"/>
        </w:rPr>
        <w:t>风险评价</w:t>
      </w:r>
      <w:bookmarkEnd w:id="61"/>
      <w:bookmarkEnd w:id="62"/>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影响评价管理防范环境风险的通知》（环发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77号）和《关于切实加强风险防范严格环境影响评价管理的通知》（环发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98号）的相关要求，应对可能产生重大环境污染事故隐患进行环境风险评价。</w:t>
      </w:r>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根据《建设项目环境风险评价技术导则》（HJ169-2018），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pStyle w:val="4"/>
      </w:pPr>
      <w:bookmarkStart w:id="63" w:name="_Toc18171"/>
      <w:bookmarkStart w:id="64" w:name="_Toc25922"/>
      <w:r>
        <w:rPr>
          <w:rFonts w:hint="eastAsia"/>
          <w:lang w:eastAsia="zh-CN"/>
        </w:rPr>
        <w:t>评价依据</w:t>
      </w:r>
      <w:bookmarkEnd w:id="63"/>
      <w:bookmarkEnd w:id="6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（1）风险调查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根据《建设项目环境风险评价技术导则》（HJ169-2018）中附录B，本项目原辅材料中无列入《建设项目环境风险评价技术导则》（HJ169-2018）附录B中的物质。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（2）风险潜势初判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本项目原辅材料中无列入《建设项目环境风险评价技术导则》（HJ169-2018）附录B中的物质，因此本项目环境风险潜势为Ⅰ。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（3）评价等级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z w:val="24"/>
          <w:szCs w:val="24"/>
        </w:rPr>
      </w:pPr>
      <w:r>
        <w:rPr>
          <w:rFonts w:hint="eastAsia"/>
          <w:sz w:val="24"/>
          <w:szCs w:val="24"/>
        </w:rPr>
        <w:t>根据2.</w:t>
      </w:r>
      <w:r>
        <w:rPr>
          <w:rFonts w:hint="eastAsia"/>
          <w:sz w:val="24"/>
          <w:szCs w:val="24"/>
          <w:lang w:val="en-US" w:eastAsia="zh-CN"/>
        </w:rPr>
        <w:t>5.7</w:t>
      </w:r>
      <w:r>
        <w:rPr>
          <w:rFonts w:hint="eastAsia"/>
          <w:sz w:val="24"/>
          <w:szCs w:val="24"/>
        </w:rPr>
        <w:t>节环境风险评价工作等级判定可知，项目环境风险潜势划分为Ⅰ，无评价工作等级划分，只需按《建设项目环境风险评价技术导则》（HJ169-2018）附录A简单分析基本内容进行分析即可。</w:t>
      </w:r>
    </w:p>
    <w:p>
      <w:pPr>
        <w:pStyle w:val="4"/>
      </w:pPr>
      <w:bookmarkStart w:id="65" w:name="_Toc7232"/>
      <w:bookmarkStart w:id="66" w:name="_Toc14283"/>
      <w:r>
        <w:rPr>
          <w:rFonts w:hint="eastAsia"/>
          <w:lang w:eastAsia="zh-CN"/>
        </w:rPr>
        <w:t>环境风险识别</w:t>
      </w:r>
      <w:bookmarkEnd w:id="65"/>
      <w:bookmarkEnd w:id="66"/>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根据本项目的生产工艺流程和设计参数，生产过程包括：物料输送、各生产设备运行等。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原料在装卸、使用输送和储存过程中，生产过程中如操作不当或者设备损坏或人为因素造成原料泄露或者外溢的因素主要有年久失修，原料包装物腐蚀，致使物料渗漏；管道连接不好或由于地面下沉，造成管道接口不严，致使泄漏或渗漏现象发生，引发污染、伤害事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综上所述，本项目生产使用的物料较多，在储存、生产等环节，由于管理、操作不当或设备损害等因素，可能会发生泄露或火灾等事故，从而引发环境污染。</w:t>
      </w:r>
    </w:p>
    <w:p>
      <w:pPr>
        <w:pStyle w:val="4"/>
      </w:pPr>
      <w:bookmarkStart w:id="67" w:name="_Toc23598"/>
      <w:bookmarkStart w:id="68" w:name="_Toc8593"/>
      <w:r>
        <w:rPr>
          <w:rFonts w:hint="eastAsia"/>
          <w:lang w:eastAsia="zh-CN"/>
        </w:rPr>
        <w:t>环境风险分析</w:t>
      </w:r>
      <w:bookmarkEnd w:id="67"/>
      <w:bookmarkEnd w:id="68"/>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地表水环境污染影响分析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畜禽养殖场中高浓度、未经处理的废水进入自然水体后，使水中的悬浮物、有机物和微生物含量升高，改变水体的物理、化学和生物群落群落组成，使水质变坏。粪污中含有大量的病原微生物将通过水体或通过水生动植物进行扩散传播，危害人畜健康。此外，粪污中有机生物降解和水生生物的繁殖大量消耗水体溶解氧，使水体发黑发臭，水生生物死亡，发生水体“富营养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若发生废水排放事故，因项目水量不大，且设置有专门的应急事故池，废水向外泄漏经林地漫流消散，基本不会对水体水质造成影响。</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地</w:t>
      </w:r>
      <w:r>
        <w:rPr>
          <w:rFonts w:hint="eastAsia"/>
          <w:b/>
          <w:bCs/>
          <w:sz w:val="24"/>
          <w:szCs w:val="24"/>
          <w:lang w:eastAsia="zh-CN"/>
        </w:rPr>
        <w:t>下</w:t>
      </w:r>
      <w:r>
        <w:rPr>
          <w:rFonts w:hint="eastAsia"/>
          <w:b/>
          <w:bCs/>
          <w:sz w:val="24"/>
          <w:szCs w:val="24"/>
        </w:rPr>
        <w:t>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直接或作为粪肥直接灌溉土壤，部分氮、磷不仅随地表水或水体流失流入周边水体，且会渗入地下污染地下水。废水处理系统等设施出现下渗时，渗滤液将会渗入地下污染地下水，废水及渗滤液中的有毒、有害成分进入地下水中，会使地下水溶解氧含量减少，水质中有毒成分增多，一旦污染地下水，将极难治理恢复，造成较持久性的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由此可见事故排污对环境将造成一定的危害，应坚决杜绝本项目废水事故排放事故的发生。一旦出现事故，应立即采取应急措施停止污染，将污水储存在有防渗设施的事故池中，待处理系统正常后，再将废水经处理后用于场内生态果林绿化灌溉。</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土壤环境污染分析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中高浓度的有机物和氨氮会使土壤环境质量严重破坏。当废水排放超过土壤的自净能力，便会出现降解不完全和厌氧腐解，产生恶臭物质和亚硝酸盐等有害物质，引起土壤的组成和性状发生改变，破坏其原有的基本功能；作物徒长、倒伏、晚熟或不熟，造成减产、甚至毒害作物使之出现大面积腐烂。此外，土壤对病原微生物的自净能力下降，不仅增加了净化难度，而且易造成生物污染和疫病传播。</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b/>
          <w:bCs/>
          <w:sz w:val="24"/>
          <w:szCs w:val="24"/>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w:t>
      </w:r>
      <w:r>
        <w:rPr>
          <w:rFonts w:hint="eastAsia"/>
          <w:b/>
          <w:bCs/>
          <w:sz w:val="24"/>
          <w:szCs w:val="24"/>
        </w:rPr>
        <w:t>大气环境污染分析</w:t>
      </w:r>
    </w:p>
    <w:p>
      <w:pPr>
        <w:pStyle w:val="8"/>
        <w:rPr>
          <w:rFonts w:hint="eastAsia"/>
        </w:rPr>
      </w:pPr>
      <w:r>
        <w:rPr>
          <w:rFonts w:hint="eastAsia"/>
          <w:b w:val="0"/>
          <w:sz w:val="24"/>
          <w:szCs w:val="24"/>
        </w:rPr>
        <w:t>未经处理的废水会散发出高浓度的恶臭气体，造成空气中含氧量相对下降，污浊度升高，轻则降低空气质量、产生异味妨碍人畜健康生存；重则引起呼吸系统疾病。未经处理的猪场废水中含有大量的微生物，在风的作用下极易扩散到空气中，可引起猪大肠杆菌病、猪新城疫等疫病的传播，危害人和动物的健康。</w:t>
      </w:r>
    </w:p>
    <w:p>
      <w:pPr>
        <w:pStyle w:val="4"/>
      </w:pPr>
      <w:bookmarkStart w:id="69" w:name="_Toc6205"/>
      <w:bookmarkStart w:id="70" w:name="_Toc16623"/>
      <w:r>
        <w:rPr>
          <w:rFonts w:hint="eastAsia"/>
          <w:lang w:eastAsia="zh-CN"/>
        </w:rPr>
        <w:t>环境风险防范措施及应急要求</w:t>
      </w:r>
      <w:bookmarkEnd w:id="69"/>
      <w:bookmarkEnd w:id="70"/>
    </w:p>
    <w:p>
      <w:pPr>
        <w:pStyle w:val="5"/>
        <w:ind w:firstLine="562"/>
      </w:pPr>
      <w:r>
        <w:rPr>
          <w:rFonts w:hint="eastAsia"/>
          <w:lang w:eastAsia="zh-CN"/>
        </w:rPr>
        <w:t>企业总图布置与风险防范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在厂区内的总平面设计上，应严格按照国家相关规范、标准和规定以及按照安监、消防、供电、卫生等相关部门的要求进行设计。</w:t>
      </w:r>
    </w:p>
    <w:p>
      <w:pPr>
        <w:pStyle w:val="5"/>
        <w:ind w:firstLine="562"/>
      </w:pPr>
      <w:r>
        <w:rPr>
          <w:rFonts w:hint="eastAsia"/>
          <w:lang w:eastAsia="zh-CN"/>
        </w:rPr>
        <w:t>生产过程风险防范与管理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本项目环境风险主要是生产设施和贮运过程发生泄漏、火灾、爆炸等风险事故，以及污染防治设施非正常使用引起的环境污染。安全事故发生后，不仅对人员、财产造成损失，而且对周围环境有着难以弥补的损害。为避免风险事故发生，避免风险事故发生后对环境造成的严重污染，建设单位首先树立环境风险意识，并在管理过程当中强化环境风险意识。在实际工作与管理过程当中落实环境风险防患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（1）树立并强化环境风险意识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贯彻“安全第一，预防为主”方针，树立环境风险意识，强化环境风险责任，体现环境保护的内容。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（2）实行安全环保管理制度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由上述分析可知，在生产、暂存等过程中均有可以发生各种事故，事故发生后会对环境造成不同程度的污染，因此针对建设项目开展全面、全员、全过程的系统安全管理，把安全工作的重点放在系统的安全隐患上，并从整体和全局上促进建设项目各个环节的安全操作，并建立监察、检测、管理，实行安全检查目标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（3）规范并强化风险预防措施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为预防安全事故的发生，建设单位制定安全管理规章制度，并采取相应的预防和处理措施。对防止安全事故的发生起到制度上、技术上的保证作用，但火灾事故的发生，会产生一定的环境污染，对于这类事故的预防仍然需要制定相应的防患措施，从运输、贮存过程中予以全面考虑，并力求做到规范且可操作性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（4）提高员工的技术水平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人员的失误也是导致事故发生的重要因素之一。失误的原因主要是，由于技术水平低下、身体状况、工作疏忽。项目建成投产后，建设单位严格要求负责危险废物装卸、运输、管理等人员的技术水平，职工上岗前必须参加培训，落实安全教育制度。</w:t>
      </w:r>
    </w:p>
    <w:p>
      <w:pPr>
        <w:pStyle w:val="5"/>
        <w:ind w:firstLine="562"/>
      </w:pPr>
      <w:r>
        <w:rPr>
          <w:rFonts w:hint="eastAsia"/>
          <w:lang w:eastAsia="zh-CN"/>
        </w:rPr>
        <w:t>物料泄漏的防范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b w:val="0"/>
          <w:sz w:val="24"/>
          <w:szCs w:val="24"/>
        </w:rPr>
      </w:pPr>
      <w:r>
        <w:rPr>
          <w:rFonts w:hint="eastAsia"/>
          <w:b w:val="0"/>
          <w:sz w:val="24"/>
          <w:szCs w:val="24"/>
        </w:rPr>
        <w:t>防范泄漏事故是生产和储运过程中最重要的环节，发生泄漏事故可能引起火灾和爆炸等一系列重大事故，由此会带来环境风险问题项目必须严格落实安监、消防部门对物料泄漏的相关防范要求，同时自觉接受安监、消防部门的监督管理。同时，设置雨水外排口截断阀，在火灾、泄漏等事故情况下关闭截断阀门，防止消防废水通过雨水管道排入外环境。</w:t>
      </w:r>
    </w:p>
    <w:p>
      <w:pPr>
        <w:pStyle w:val="5"/>
        <w:ind w:firstLine="562"/>
      </w:pPr>
      <w:r>
        <w:rPr>
          <w:rFonts w:hint="eastAsia"/>
          <w:lang w:eastAsia="zh-CN"/>
        </w:rPr>
        <w:t>生产过程火灾爆炸事故预防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（1）应急环境监测、抢险、救援及控制措施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①泄漏、火灾等事故发生后，在向安监、消防部门报告的同时，应立即向有关环境管理部门报告，请求环境管理部门应急监测工作组进行应急监测；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②环境管理部门应急监测工作组应根据污染物的扩散速度和事件发生地的气象和地域特点，确定污染物扩散范围。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③根据监测结果，综合分析突发环境事件污染变化趋势，并通过专家咨询和讨论的方式，预测并报告突发污染事故的发展情况和污染物的变化情况，作为突发环境事件应急决策的依据。</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（2）消防事故环境风险防范措施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一旦发生火灾后，消防过程中同样会产生二次环境风险，主要体现在消防污水如直接经过市政雨水或污水管网进入纳污水体含高浓度污染物的消防排水势必对地表水体造成极为不利的影响，造成污水处理设施的故障，导致严重的危害后果，因此必须设置容积足够的事故应急池，同时设置雨水外排口截断阀，在火灾、泄漏等事故情况下关闭截断阀门，防止消防废水通过雨水管道排入外环境。</w:t>
      </w:r>
    </w:p>
    <w:p>
      <w:pPr>
        <w:pStyle w:val="5"/>
        <w:ind w:firstLine="562"/>
      </w:pPr>
      <w:r>
        <w:rPr>
          <w:rFonts w:hint="eastAsia"/>
          <w:lang w:eastAsia="zh-CN"/>
        </w:rPr>
        <w:t>加强员工的安全生产教育卫生防疫的防范措施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加强饲养管理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项目严格按照国家法律规定及标准，采用标准化养殖技术标准与健康养殖规范化操作规程，从培育到饲养管理、疫病防治等各个环节进行有效严格的管理。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1）加强员工防疫知识和兽医法规的教育；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2）完善隔离制度，粪污和动物运输通道分离，人畜分离，加强生产区人员及其他动物的出入管理，养殖区入口设置消毒设施并严格执行消毒制度。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3）加强影响疾病发生和流行的饲养管理因素，主要包括饲料营养、饮水质量、饲养密度等内容，防治病原微生物在不同批次群体中形成连续感染或交叉感染。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免疫接种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项目根据《中华人民共和国动物防疫法》及其配套法规的要求，结合当地实际情况，有选择的进行疫病防治工作，通过规范的免疫接种预防疫病的发生。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疫病预防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项目疫病监测依照《中华人民共和国动物防疫法》及配套法规要求执行。发生疫病或疑似疫病时应采用以下措施：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1）驻场兽医应及时进行诊断，并尽快向当地畜牧兽医管理部门报告疫情。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2）确诊发生一类疫病时，猪场应配合当地畜牧兽医管理部门，对猪群实施严格的隔离、捕杀措施。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3）发生二类疫病时，应对畜群实施清群和净化措施，全场进行彻底的清洗消毒。</w:t>
      </w:r>
    </w:p>
    <w:p>
      <w:pPr>
        <w:pStyle w:val="5"/>
        <w:ind w:firstLine="562"/>
      </w:pPr>
      <w:r>
        <w:rPr>
          <w:rFonts w:hint="eastAsia"/>
          <w:lang w:eastAsia="zh-CN"/>
        </w:rPr>
        <w:t>事故废水应急储存设施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当发生</w:t>
      </w:r>
      <w:r>
        <w:rPr>
          <w:rFonts w:hint="eastAsia"/>
          <w:sz w:val="24"/>
          <w:szCs w:val="24"/>
          <w:lang w:val="en-US" w:eastAsia="zh-CN"/>
        </w:rPr>
        <w:t>泄露、火灾</w:t>
      </w:r>
      <w:r>
        <w:rPr>
          <w:rFonts w:hint="eastAsia"/>
          <w:sz w:val="24"/>
          <w:szCs w:val="24"/>
        </w:rPr>
        <w:t>等环境风险事故时，消防产生的废水如不及时收集，外排后将对地表水环境构成严重污染的潜存威胁。为此，建设单位应完善</w:t>
      </w:r>
      <w:r>
        <w:rPr>
          <w:rFonts w:hint="eastAsia"/>
          <w:sz w:val="24"/>
          <w:szCs w:val="24"/>
          <w:lang w:eastAsia="zh-CN"/>
        </w:rPr>
        <w:t>场区</w:t>
      </w:r>
      <w:r>
        <w:rPr>
          <w:rFonts w:hint="eastAsia"/>
          <w:sz w:val="24"/>
          <w:szCs w:val="24"/>
        </w:rPr>
        <w:t>应急水池以及配套管网设施。</w:t>
      </w:r>
    </w:p>
    <w:p>
      <w:pPr>
        <w:pStyle w:val="8"/>
        <w:rPr>
          <w:rFonts w:hint="eastAsia"/>
        </w:rPr>
      </w:pPr>
      <w:r>
        <w:rPr>
          <w:rFonts w:hint="eastAsia"/>
          <w:b/>
          <w:bCs/>
          <w:sz w:val="24"/>
          <w:szCs w:val="24"/>
        </w:rPr>
        <w:t>（1）事故应急池计算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参考《化工建设项目环境保护设计规范》（GB50483-2009）、《关于印发水体风险防控要点》（试行）的通知》（安环</w:t>
      </w:r>
      <w:r>
        <w:rPr>
          <w:rFonts w:hint="eastAsia" w:ascii="宋体" w:hAnsi="宋体" w:eastAsia="宋体" w:cs="宋体"/>
          <w:sz w:val="24"/>
          <w:szCs w:val="24"/>
        </w:rPr>
        <w:t>〔</w:t>
      </w:r>
      <w:r>
        <w:rPr>
          <w:rFonts w:hint="eastAsia"/>
          <w:sz w:val="24"/>
          <w:szCs w:val="24"/>
        </w:rPr>
        <w:t>2006</w:t>
      </w:r>
      <w:r>
        <w:rPr>
          <w:rFonts w:hint="eastAsia" w:ascii="宋体" w:hAnsi="宋体" w:eastAsia="宋体" w:cs="宋体"/>
          <w:sz w:val="24"/>
          <w:szCs w:val="24"/>
        </w:rPr>
        <w:t>〕</w:t>
      </w:r>
      <w:r>
        <w:rPr>
          <w:rFonts w:hint="eastAsia"/>
          <w:sz w:val="24"/>
          <w:szCs w:val="24"/>
        </w:rPr>
        <w:t>10号）、《水体污染防控经济措施设计导则》中对事故应急池大小的规定：</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sz w:val="24"/>
          <w:szCs w:val="24"/>
        </w:rPr>
      </w:pPr>
      <w:r>
        <w:rPr>
          <w:rFonts w:hint="eastAsia" w:ascii="TimesNewRomanPSMT" w:hAnsi="TimesNewRomanPSMT" w:eastAsia="TimesNewRomanPSMT"/>
          <w:sz w:val="24"/>
        </w:rPr>
        <w:t>V</w:t>
      </w:r>
      <w:r>
        <w:rPr>
          <w:rFonts w:hint="eastAsia" w:ascii="宋体" w:hAnsi="宋体" w:eastAsia="宋体"/>
          <w:sz w:val="12"/>
        </w:rPr>
        <w:t>总</w:t>
      </w:r>
      <w:r>
        <w:rPr>
          <w:rFonts w:hint="eastAsia" w:ascii="TimesNewRomanPSMT" w:hAnsi="TimesNewRomanPSMT" w:eastAsia="TimesNewRomanPSMT"/>
          <w:sz w:val="24"/>
        </w:rPr>
        <w:t>= (V</w:t>
      </w:r>
      <w:r>
        <w:rPr>
          <w:rFonts w:hint="eastAsia" w:ascii="TimesNewRomanPSMT" w:hAnsi="TimesNewRomanPSMT" w:eastAsia="TimesNewRomanPSMT"/>
          <w:sz w:val="16"/>
        </w:rPr>
        <w:t xml:space="preserve">1 </w:t>
      </w:r>
      <w:r>
        <w:rPr>
          <w:rFonts w:hint="eastAsia" w:ascii="TimesNewRomanPSMT" w:hAnsi="TimesNewRomanPSMT" w:eastAsia="TimesNewRomanPSMT"/>
          <w:sz w:val="24"/>
        </w:rPr>
        <w:t>+ V</w:t>
      </w:r>
      <w:r>
        <w:rPr>
          <w:rFonts w:hint="eastAsia" w:ascii="TimesNewRomanPSMT" w:hAnsi="TimesNewRomanPSMT" w:eastAsia="TimesNewRomanPSMT"/>
          <w:sz w:val="16"/>
        </w:rPr>
        <w:t>2</w:t>
      </w:r>
      <w:r>
        <w:rPr>
          <w:rFonts w:hint="eastAsia" w:ascii="宋体" w:hAnsi="宋体" w:eastAsia="宋体"/>
          <w:sz w:val="24"/>
        </w:rPr>
        <w:t>－</w:t>
      </w:r>
      <w:r>
        <w:rPr>
          <w:rFonts w:hint="eastAsia" w:ascii="TimesNewRomanPSMT" w:hAnsi="TimesNewRomanPSMT" w:eastAsia="TimesNewRomanPSMT"/>
          <w:sz w:val="24"/>
        </w:rPr>
        <w:t>V</w:t>
      </w:r>
      <w:r>
        <w:rPr>
          <w:rFonts w:hint="eastAsia" w:ascii="TimesNewRomanPSMT" w:hAnsi="TimesNewRomanPSMT" w:eastAsia="TimesNewRomanPSMT"/>
          <w:sz w:val="16"/>
        </w:rPr>
        <w:t>3</w:t>
      </w:r>
      <w:r>
        <w:rPr>
          <w:rFonts w:hint="eastAsia" w:ascii="TimesNewRomanPSMT" w:hAnsi="TimesNewRomanPSMT" w:eastAsia="TimesNewRomanPSMT"/>
          <w:sz w:val="24"/>
        </w:rPr>
        <w:t>)</w:t>
      </w:r>
      <w:r>
        <w:rPr>
          <w:rFonts w:hint="eastAsia" w:ascii="TimesNewRomanPSMT" w:hAnsi="TimesNewRomanPSMT" w:eastAsia="TimesNewRomanPSMT"/>
          <w:sz w:val="16"/>
        </w:rPr>
        <w:t xml:space="preserve">max </w:t>
      </w:r>
      <w:r>
        <w:rPr>
          <w:rFonts w:hint="eastAsia" w:ascii="TimesNewRomanPSMT" w:hAnsi="TimesNewRomanPSMT" w:eastAsia="TimesNewRomanPSMT"/>
          <w:sz w:val="24"/>
        </w:rPr>
        <w:t>+ V</w:t>
      </w:r>
      <w:r>
        <w:rPr>
          <w:rFonts w:hint="eastAsia" w:ascii="TimesNewRomanPSMT" w:hAnsi="TimesNewRomanPSMT" w:eastAsia="TimesNewRomanPSMT"/>
          <w:sz w:val="16"/>
        </w:rPr>
        <w:t xml:space="preserve">4 </w:t>
      </w:r>
      <w:r>
        <w:rPr>
          <w:rFonts w:hint="eastAsia" w:ascii="TimesNewRomanPSMT" w:hAnsi="TimesNewRomanPSMT" w:eastAsia="TimesNewRomanPSMT"/>
          <w:sz w:val="24"/>
        </w:rPr>
        <w:t>+ V</w:t>
      </w:r>
      <w:r>
        <w:rPr>
          <w:rFonts w:hint="eastAsia" w:ascii="TimesNewRomanPSMT" w:hAnsi="TimesNewRomanPSMT" w:eastAsia="TimesNewRomanPSMT"/>
          <w:sz w:val="16"/>
        </w:rPr>
        <w:t>5</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)m</w:t>
      </w:r>
      <w:r>
        <w:rPr>
          <w:rFonts w:hint="eastAsia"/>
          <w:sz w:val="24"/>
          <w:szCs w:val="24"/>
          <w:vertAlign w:val="subscript"/>
        </w:rPr>
        <w:t>ax</w:t>
      </w:r>
      <w:r>
        <w:rPr>
          <w:rFonts w:hint="eastAsia"/>
          <w:sz w:val="24"/>
          <w:szCs w:val="24"/>
        </w:rPr>
        <w:t>是指对收集系统范围内不同罐组或装置分别计算V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，取其中最大值。</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上式中，V</w:t>
      </w:r>
      <w:r>
        <w:rPr>
          <w:rFonts w:hint="eastAsia"/>
          <w:sz w:val="24"/>
          <w:szCs w:val="24"/>
          <w:vertAlign w:val="subscript"/>
        </w:rPr>
        <w:t>1</w:t>
      </w:r>
      <w:r>
        <w:rPr>
          <w:rFonts w:hint="eastAsia"/>
          <w:sz w:val="24"/>
          <w:szCs w:val="24"/>
        </w:rPr>
        <w:t>——收集系统范围内发生事故的一个罐组或一套装置的物料量最大储罐物料量，m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注：储存相同物料的罐组按一个最大储罐计，装置物料量按存留最大物料量的一台反应器或中间储罐计。</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2</w:t>
      </w:r>
      <w:r>
        <w:rPr>
          <w:rFonts w:hint="eastAsia"/>
          <w:sz w:val="24"/>
          <w:szCs w:val="24"/>
        </w:rPr>
        <w:t>——发生事故的储罐或装置的消防水量，m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3</w:t>
      </w:r>
      <w:r>
        <w:rPr>
          <w:rFonts w:hint="eastAsia"/>
          <w:sz w:val="24"/>
          <w:szCs w:val="24"/>
        </w:rPr>
        <w:t>——发生事故时可以转输到其它储存或处理设施的物料量，m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4</w:t>
      </w:r>
      <w:r>
        <w:rPr>
          <w:rFonts w:hint="eastAsia"/>
          <w:sz w:val="24"/>
          <w:szCs w:val="24"/>
        </w:rPr>
        <w:t>——发生事故时仍必须进入该收集系统的生产废水量，m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5</w:t>
      </w:r>
      <w:r>
        <w:rPr>
          <w:rFonts w:hint="eastAsia"/>
          <w:sz w:val="24"/>
          <w:szCs w:val="24"/>
        </w:rPr>
        <w:t>——发生事故时可能进入该收集系统的降雨量，m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A、项目不设置储罐等，则V</w:t>
      </w:r>
      <w:r>
        <w:rPr>
          <w:rFonts w:hint="eastAsia"/>
          <w:sz w:val="24"/>
          <w:szCs w:val="24"/>
          <w:vertAlign w:val="subscript"/>
        </w:rPr>
        <w:t>1</w:t>
      </w:r>
      <w:r>
        <w:rPr>
          <w:rFonts w:hint="eastAsia"/>
          <w:sz w:val="24"/>
          <w:szCs w:val="24"/>
        </w:rPr>
        <w:t>=0m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B、根据《建筑设计防火规范》（GB50016-2014）和《消防给水及消火栓系统技术规范》（GB50974-2014），本项目属于戊类仓库，本项目消防给水量按最大的15L/s计，消防灭火时间按2小时计，则最大消防水量为108m</w:t>
      </w:r>
      <w:r>
        <w:rPr>
          <w:rFonts w:hint="eastAsia"/>
          <w:sz w:val="24"/>
          <w:szCs w:val="24"/>
          <w:vertAlign w:val="superscript"/>
        </w:rPr>
        <w:t>3</w:t>
      </w:r>
      <w:r>
        <w:rPr>
          <w:rFonts w:hint="eastAsia"/>
          <w:sz w:val="24"/>
          <w:szCs w:val="24"/>
        </w:rPr>
        <w:t>，V</w:t>
      </w:r>
      <w:r>
        <w:rPr>
          <w:rFonts w:hint="eastAsia"/>
          <w:sz w:val="24"/>
          <w:szCs w:val="24"/>
          <w:vertAlign w:val="subscript"/>
        </w:rPr>
        <w:t>2</w:t>
      </w:r>
      <w:r>
        <w:rPr>
          <w:rFonts w:hint="eastAsia"/>
          <w:sz w:val="24"/>
          <w:szCs w:val="24"/>
        </w:rPr>
        <w:t>=108m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C、发生事故时转输的物料量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本项目无转输到其它储存或处理设施的物料量，则V</w:t>
      </w:r>
      <w:r>
        <w:rPr>
          <w:rFonts w:hint="eastAsia"/>
          <w:sz w:val="24"/>
          <w:szCs w:val="24"/>
          <w:vertAlign w:val="subscript"/>
        </w:rPr>
        <w:t>3</w:t>
      </w:r>
      <w:r>
        <w:rPr>
          <w:rFonts w:hint="eastAsia"/>
          <w:sz w:val="24"/>
          <w:szCs w:val="24"/>
        </w:rPr>
        <w:t>=0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D、一旦发生事故，公司将停产，生产废水不进入该收集系统，故V</w:t>
      </w:r>
      <w:r>
        <w:rPr>
          <w:rFonts w:hint="eastAsia"/>
          <w:sz w:val="24"/>
          <w:szCs w:val="24"/>
          <w:vertAlign w:val="subscript"/>
        </w:rPr>
        <w:t>4</w:t>
      </w:r>
      <w:r>
        <w:rPr>
          <w:rFonts w:hint="eastAsia"/>
          <w:sz w:val="24"/>
          <w:szCs w:val="24"/>
        </w:rPr>
        <w:t>= 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E、发生事故时可能进入该收集系统的降雨量，m³；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ascii="TimesNewRomanPSMT" w:hAnsi="TimesNewRomanPSMT" w:eastAsia="TimesNewRomanPSMT"/>
          <w:sz w:val="24"/>
        </w:rPr>
        <w:t>V</w:t>
      </w:r>
      <w:r>
        <w:rPr>
          <w:rFonts w:hint="eastAsia" w:ascii="TimesNewRomanPSMT" w:hAnsi="TimesNewRomanPSMT" w:eastAsia="TimesNewRomanPSMT"/>
          <w:sz w:val="16"/>
        </w:rPr>
        <w:t>5</w:t>
      </w:r>
      <w:r>
        <w:rPr>
          <w:rFonts w:hint="eastAsia" w:ascii="TimesNewRomanPSMT" w:hAnsi="TimesNewRomanPSMT" w:eastAsia="TimesNewRomanPSMT"/>
          <w:sz w:val="24"/>
        </w:rPr>
        <w:t>=10qF</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q---降雨强度，mm；按平均日降雨量；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t>q=q</w:t>
      </w:r>
      <w:r>
        <w:rPr>
          <w:rFonts w:hint="eastAsia"/>
          <w:sz w:val="24"/>
          <w:szCs w:val="24"/>
          <w:vertAlign w:val="subscript"/>
        </w:rPr>
        <w:t>a</w:t>
      </w:r>
      <w:r>
        <w:rPr>
          <w:rFonts w:hint="eastAsia"/>
          <w:sz w:val="24"/>
          <w:szCs w:val="24"/>
        </w:rPr>
        <w:t>/n；</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w:t>
      </w:r>
      <w:r>
        <w:rPr>
          <w:rFonts w:hint="eastAsia"/>
          <w:sz w:val="24"/>
          <w:szCs w:val="24"/>
          <w:vertAlign w:val="subscript"/>
        </w:rPr>
        <w:t>a</w:t>
      </w:r>
      <w:r>
        <w:rPr>
          <w:rFonts w:hint="eastAsia"/>
          <w:sz w:val="24"/>
          <w:szCs w:val="24"/>
        </w:rPr>
        <w:t>---年平均降雨量，mm，取</w:t>
      </w:r>
      <w:r>
        <w:rPr>
          <w:rFonts w:hint="eastAsia"/>
          <w:sz w:val="24"/>
          <w:szCs w:val="24"/>
          <w:lang w:val="en-US" w:eastAsia="zh-CN"/>
        </w:rPr>
        <w:t>1649.7</w:t>
      </w:r>
      <w:r>
        <w:rPr>
          <w:rFonts w:hint="eastAsia"/>
          <w:sz w:val="24"/>
          <w:szCs w:val="24"/>
        </w:rPr>
        <w:t>mm；</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n---年平均降雨日数，取1</w:t>
      </w:r>
      <w:r>
        <w:rPr>
          <w:rFonts w:hint="eastAsia"/>
          <w:sz w:val="24"/>
          <w:szCs w:val="24"/>
          <w:lang w:val="en-US" w:eastAsia="zh-CN"/>
        </w:rPr>
        <w:t>72</w:t>
      </w:r>
      <w:r>
        <w:rPr>
          <w:rFonts w:hint="eastAsia"/>
          <w:sz w:val="24"/>
          <w:szCs w:val="24"/>
        </w:rPr>
        <w:t>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F---必须进入事故废水收集系统的雨水汇水面积，ha。本项目猪舍汇雨面积约为</w:t>
      </w:r>
      <w:r>
        <w:rPr>
          <w:rFonts w:hint="eastAsia"/>
          <w:sz w:val="24"/>
          <w:szCs w:val="24"/>
          <w:lang w:val="en-US" w:eastAsia="zh-CN"/>
        </w:rPr>
        <w:t>11119.2</w:t>
      </w:r>
      <w:r>
        <w:rPr>
          <w:rFonts w:hint="eastAsia"/>
          <w:sz w:val="24"/>
          <w:szCs w:val="24"/>
        </w:rPr>
        <w:t>m</w:t>
      </w:r>
      <w:r>
        <w:rPr>
          <w:rFonts w:hint="eastAsia"/>
          <w:sz w:val="24"/>
          <w:szCs w:val="24"/>
          <w:vertAlign w:val="superscript"/>
        </w:rPr>
        <w:t>2</w:t>
      </w:r>
      <w:r>
        <w:rPr>
          <w:rFonts w:hint="eastAsia"/>
          <w:sz w:val="24"/>
          <w:szCs w:val="24"/>
        </w:rPr>
        <w:t>，即</w:t>
      </w:r>
      <w:r>
        <w:rPr>
          <w:rFonts w:hint="eastAsia"/>
          <w:sz w:val="24"/>
          <w:szCs w:val="24"/>
          <w:lang w:val="en-US" w:eastAsia="zh-CN"/>
        </w:rPr>
        <w:t>1.11</w:t>
      </w:r>
      <w:r>
        <w:rPr>
          <w:rFonts w:hint="eastAsia"/>
          <w:sz w:val="24"/>
          <w:szCs w:val="24"/>
        </w:rPr>
        <w:t>ha。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经核算，V</w:t>
      </w:r>
      <w:r>
        <w:rPr>
          <w:rFonts w:hint="eastAsia"/>
          <w:sz w:val="24"/>
          <w:szCs w:val="24"/>
          <w:vertAlign w:val="subscript"/>
        </w:rPr>
        <w:t>5</w:t>
      </w:r>
      <w:r>
        <w:rPr>
          <w:rFonts w:hint="eastAsia"/>
          <w:sz w:val="24"/>
          <w:szCs w:val="24"/>
        </w:rPr>
        <w:t xml:space="preserve"> =</w:t>
      </w:r>
      <w:r>
        <w:rPr>
          <w:rFonts w:hint="eastAsia"/>
          <w:sz w:val="24"/>
          <w:szCs w:val="24"/>
          <w:lang w:val="en-US" w:eastAsia="zh-CN"/>
        </w:rPr>
        <w:t>106.46</w:t>
      </w:r>
      <w:r>
        <w:rPr>
          <w:rFonts w:hint="eastAsia"/>
          <w:sz w:val="24"/>
          <w:szCs w:val="24"/>
        </w:rPr>
        <w:t xml:space="preserve">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sz w:val="24"/>
          <w:szCs w:val="24"/>
        </w:rPr>
      </w:pPr>
      <w:r>
        <w:rPr>
          <w:rFonts w:hint="eastAsia"/>
          <w:b/>
          <w:bCs/>
          <w:sz w:val="24"/>
          <w:szCs w:val="24"/>
        </w:rPr>
        <w:t>事故应急池大小计算</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1</w:t>
      </w:r>
      <w:r>
        <w:rPr>
          <w:rFonts w:hint="eastAsia"/>
          <w:sz w:val="24"/>
          <w:szCs w:val="24"/>
        </w:rPr>
        <w:t>+V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w:t>
      </w:r>
      <w:r>
        <w:rPr>
          <w:rFonts w:hint="eastAsia"/>
          <w:sz w:val="24"/>
          <w:szCs w:val="24"/>
          <w:vertAlign w:val="subscript"/>
        </w:rPr>
        <w:t>max</w:t>
      </w:r>
      <w:r>
        <w:rPr>
          <w:rFonts w:hint="eastAsia"/>
          <w:sz w:val="24"/>
          <w:szCs w:val="24"/>
        </w:rPr>
        <w:t>+V</w:t>
      </w:r>
      <w:r>
        <w:rPr>
          <w:rFonts w:hint="eastAsia"/>
          <w:sz w:val="24"/>
          <w:szCs w:val="24"/>
          <w:vertAlign w:val="subscript"/>
        </w:rPr>
        <w:t>4</w:t>
      </w:r>
      <w:r>
        <w:rPr>
          <w:rFonts w:hint="eastAsia"/>
          <w:sz w:val="24"/>
          <w:szCs w:val="24"/>
        </w:rPr>
        <w:t xml:space="preserve"> +V</w:t>
      </w:r>
      <w:r>
        <w:rPr>
          <w:rFonts w:hint="eastAsia"/>
          <w:sz w:val="24"/>
          <w:szCs w:val="24"/>
          <w:vertAlign w:val="subscript"/>
        </w:rPr>
        <w:t>5</w:t>
      </w:r>
      <w:r>
        <w:rPr>
          <w:rFonts w:hint="eastAsia"/>
          <w:sz w:val="24"/>
          <w:szCs w:val="24"/>
        </w:rPr>
        <w:t>=0+108-0+0+</w:t>
      </w:r>
      <w:r>
        <w:rPr>
          <w:rFonts w:hint="eastAsia"/>
          <w:sz w:val="24"/>
          <w:szCs w:val="24"/>
          <w:lang w:val="en-US" w:eastAsia="zh-CN"/>
        </w:rPr>
        <w:t>106.46</w:t>
      </w:r>
      <w:r>
        <w:rPr>
          <w:rFonts w:hint="eastAsia"/>
          <w:sz w:val="24"/>
          <w:szCs w:val="24"/>
        </w:rPr>
        <w:t>=</w:t>
      </w:r>
      <w:r>
        <w:rPr>
          <w:rFonts w:hint="eastAsia"/>
          <w:sz w:val="24"/>
          <w:szCs w:val="24"/>
          <w:lang w:val="en-US" w:eastAsia="zh-CN"/>
        </w:rPr>
        <w:t>214.46</w:t>
      </w:r>
      <w:r>
        <w:rPr>
          <w:rFonts w:hint="eastAsia"/>
          <w:sz w:val="24"/>
          <w:szCs w:val="24"/>
        </w:rPr>
        <w:t>m</w:t>
      </w:r>
      <w:r>
        <w:rPr>
          <w:rFonts w:hint="eastAsia"/>
          <w:sz w:val="24"/>
          <w:szCs w:val="24"/>
          <w:vertAlign w:val="superscript"/>
        </w:rPr>
        <w:t>3</w:t>
      </w:r>
    </w:p>
    <w:p>
      <w:pPr>
        <w:pStyle w:val="8"/>
        <w:rPr>
          <w:rFonts w:hint="eastAsia"/>
        </w:rPr>
      </w:pPr>
      <w:r>
        <w:rPr>
          <w:rFonts w:hint="eastAsia"/>
          <w:sz w:val="24"/>
          <w:szCs w:val="24"/>
        </w:rPr>
        <w:t>根据上述分析，</w:t>
      </w:r>
      <w:r>
        <w:rPr>
          <w:rFonts w:hint="eastAsia"/>
          <w:sz w:val="24"/>
          <w:szCs w:val="24"/>
          <w:lang w:eastAsia="zh-CN"/>
        </w:rPr>
        <w:t>场内</w:t>
      </w:r>
      <w:r>
        <w:rPr>
          <w:rFonts w:hint="eastAsia"/>
          <w:sz w:val="24"/>
          <w:szCs w:val="24"/>
        </w:rPr>
        <w:t>现有情况下，至少应设置容积为</w:t>
      </w:r>
      <w:r>
        <w:rPr>
          <w:rFonts w:hint="eastAsia"/>
          <w:sz w:val="24"/>
          <w:szCs w:val="24"/>
          <w:lang w:val="en-US" w:eastAsia="zh-CN"/>
        </w:rPr>
        <w:t>250</w:t>
      </w:r>
      <w:r>
        <w:rPr>
          <w:rFonts w:hint="eastAsia"/>
          <w:sz w:val="24"/>
          <w:szCs w:val="24"/>
        </w:rPr>
        <w:t xml:space="preserve"> m</w:t>
      </w:r>
      <w:r>
        <w:rPr>
          <w:rFonts w:hint="eastAsia"/>
          <w:sz w:val="24"/>
          <w:szCs w:val="24"/>
          <w:vertAlign w:val="superscript"/>
        </w:rPr>
        <w:t>3</w:t>
      </w:r>
      <w:r>
        <w:rPr>
          <w:rFonts w:hint="eastAsia"/>
          <w:sz w:val="24"/>
          <w:szCs w:val="24"/>
        </w:rPr>
        <w:t>的事故应急池。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sz w:val="24"/>
          <w:szCs w:val="24"/>
        </w:rPr>
      </w:pPr>
      <w:r>
        <w:rPr>
          <w:rFonts w:hint="eastAsia" w:ascii="宋体" w:hAnsi="宋体" w:eastAsia="宋体"/>
          <w:b/>
          <w:bCs/>
          <w:sz w:val="24"/>
        </w:rPr>
        <w:t>（</w:t>
      </w:r>
      <w:r>
        <w:rPr>
          <w:rFonts w:hint="eastAsia" w:ascii="TimesNewRomanPSMT" w:hAnsi="TimesNewRomanPSMT" w:eastAsia="TimesNewRomanPSMT"/>
          <w:b/>
          <w:bCs/>
          <w:sz w:val="24"/>
        </w:rPr>
        <w:t>2</w:t>
      </w:r>
      <w:r>
        <w:rPr>
          <w:rFonts w:hint="eastAsia" w:ascii="宋体" w:hAnsi="宋体" w:eastAsia="宋体"/>
          <w:b/>
          <w:bCs/>
          <w:sz w:val="24"/>
        </w:rPr>
        <w:t>）事故应急池设置要求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参照《化工建设项目环境保护设计规范》（GB50483-2009）的规定，需采取以下措施：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1）事故应急池应加盖防止雨水进入，正常工况应保持腾空状态以备急用；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2）事故应急池建设时需根据实际情况采取防渗、防腐、防冻等措施；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3）事故应急池一般宜采取地下式，以利于收集废水防止漫流，而对于容积较大的事故应急池也可采用半地下式或地上式；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4）事故应急池需建设必要的导液管（沟），使得事故废水能顺利流入应急池内；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5）在上述水池和排水管网之间建设连通水管，并在池旁建设提水泵，在厂区总排口处设水闸。当发生事故时，关闭厂区总闸，通过水泵把事故废水排入事故水池；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6）在非事故状态下需占用事故池时（例如，前期雨水池共用），占用容积不得超过事故池容积的1/3，并应设有在事故时可以紧急排空的技术措施。污水处理事故池不可作为事故储存设施，不能把风险进一步转加到污水处理系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综上所述，本项目消防废水和事故废水应急储存设施技术可行。</w:t>
      </w:r>
    </w:p>
    <w:p>
      <w:pPr>
        <w:pStyle w:val="5"/>
        <w:ind w:firstLine="562"/>
      </w:pPr>
      <w:r>
        <w:rPr>
          <w:rFonts w:hint="eastAsia"/>
          <w:lang w:eastAsia="zh-CN"/>
        </w:rPr>
        <w:t>制定项目风险事故应急预案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制定风险事故应急预案的目的是为了在发生环境风险事故时，能以最快的速度发挥最大的效能，有序的实施救援，尽快控制事态的发展，降低事故造成的危害，减少事故造成的损失。建设单位必须制定切实可行的风险事故应急预案，以便事故发生时，通过事故鉴别，能及时分别采取针对性措施，控制事故的进一步发展，把事故造成的破坏降至最低程度。</w:t>
      </w:r>
    </w:p>
    <w:p>
      <w:pPr>
        <w:pStyle w:val="4"/>
      </w:pPr>
      <w:bookmarkStart w:id="71" w:name="_Toc22740"/>
      <w:bookmarkStart w:id="72" w:name="_Toc12506"/>
      <w:r>
        <w:rPr>
          <w:rFonts w:hint="eastAsia"/>
          <w:lang w:eastAsia="zh-CN"/>
        </w:rPr>
        <w:t>环境风险影响评价自查表</w:t>
      </w:r>
      <w:bookmarkEnd w:id="71"/>
      <w:bookmarkEnd w:id="72"/>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表6.5-1 环境风险简单分析内容表</w:t>
      </w:r>
    </w:p>
    <w:tbl>
      <w:tblPr>
        <w:tblStyle w:val="6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6"/>
        <w:gridCol w:w="1198"/>
        <w:gridCol w:w="1529"/>
        <w:gridCol w:w="989"/>
        <w:gridCol w:w="1202"/>
        <w:gridCol w:w="13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建设项目名称</w:t>
            </w:r>
          </w:p>
        </w:tc>
        <w:tc>
          <w:tcPr>
            <w:tcW w:w="3657" w:type="pct"/>
            <w:gridSpan w:val="5"/>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高联村寨下组现代高效化养猪场建设项目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建设地点</w:t>
            </w:r>
          </w:p>
        </w:tc>
        <w:tc>
          <w:tcPr>
            <w:tcW w:w="703"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（广东）省</w:t>
            </w:r>
          </w:p>
        </w:tc>
        <w:tc>
          <w:tcPr>
            <w:tcW w:w="897"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（韶关）市</w:t>
            </w:r>
          </w:p>
        </w:tc>
        <w:tc>
          <w:tcPr>
            <w:tcW w:w="58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）区</w:t>
            </w:r>
          </w:p>
        </w:tc>
        <w:tc>
          <w:tcPr>
            <w:tcW w:w="705"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（仁化）县</w:t>
            </w:r>
          </w:p>
        </w:tc>
        <w:tc>
          <w:tcPr>
            <w:tcW w:w="77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地理坐标</w:t>
            </w:r>
          </w:p>
        </w:tc>
        <w:tc>
          <w:tcPr>
            <w:tcW w:w="703"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经度</w:t>
            </w:r>
          </w:p>
        </w:tc>
        <w:tc>
          <w:tcPr>
            <w:tcW w:w="897"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113.704162</w:t>
            </w:r>
          </w:p>
        </w:tc>
        <w:tc>
          <w:tcPr>
            <w:tcW w:w="580"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纬度</w:t>
            </w:r>
          </w:p>
        </w:tc>
        <w:tc>
          <w:tcPr>
            <w:tcW w:w="1475" w:type="pct"/>
            <w:gridSpan w:val="2"/>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25.191894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主要危险物质及分布</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环境影响途径及危害后果（大气、地表水、地下水等）</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sz w:val="21"/>
                <w:szCs w:val="21"/>
                <w:vertAlign w:val="baseline"/>
              </w:rPr>
            </w:pPr>
            <w:r>
              <w:rPr>
                <w:rFonts w:hint="eastAsia"/>
                <w:sz w:val="21"/>
                <w:szCs w:val="21"/>
                <w:vertAlign w:val="baseline"/>
              </w:rPr>
              <w:t>主要为</w:t>
            </w:r>
            <w:r>
              <w:rPr>
                <w:rFonts w:hint="eastAsia"/>
                <w:sz w:val="21"/>
                <w:szCs w:val="21"/>
                <w:vertAlign w:val="baseline"/>
                <w:lang w:val="en-US" w:eastAsia="zh-CN"/>
              </w:rPr>
              <w:t>泄露、火灾等事故</w:t>
            </w:r>
            <w:r>
              <w:rPr>
                <w:rFonts w:hint="eastAsia"/>
                <w:sz w:val="21"/>
                <w:szCs w:val="21"/>
                <w:vertAlign w:val="baseline"/>
              </w:rPr>
              <w:t>产生的消防废水等废水未有效收集排入下水道流入附近水体，影响水质环境，或经过土地渗透进入地下水环境影响地下水水质；火灾事故产生有毒有害烟气，废水处理系统故障导致废水事故排放等，废水污染物直接排入大气，影响地表水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lang w:val="en-US" w:eastAsia="zh-CN"/>
              </w:rPr>
              <w:t>风险防范措施</w:t>
            </w:r>
            <w:r>
              <w:rPr>
                <w:rFonts w:hint="default" w:ascii="Times New Roman" w:hAnsi="Times New Roman" w:cs="Times New Roman"/>
                <w:sz w:val="21"/>
                <w:szCs w:val="21"/>
                <w:vertAlign w:val="baseline"/>
              </w:rPr>
              <w:t>要求</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需设置相应的事故应急水池，以接纳事故产生的废水，防止污染环境；加强废气、废水治理设施日常监测与维修；加强应急物资供应；加强本企业的环保技术培训，提高本企业全体员工的环境意识和综合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填表说明（列出项目相关信息及评价说明）</w:t>
            </w:r>
          </w:p>
        </w:tc>
        <w:tc>
          <w:tcPr>
            <w:tcW w:w="3657" w:type="pct"/>
            <w:gridSpan w:val="5"/>
            <w:tcBorders>
              <w:top w:val="single" w:color="auto" w:sz="4"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项目总投资</w:t>
            </w:r>
            <w:r>
              <w:rPr>
                <w:rFonts w:hint="eastAsia" w:ascii="Times New Roman" w:hAnsi="Times New Roman" w:cs="Times New Roman"/>
                <w:sz w:val="21"/>
                <w:szCs w:val="21"/>
                <w:vertAlign w:val="baseline"/>
                <w:lang w:val="en-US" w:eastAsia="zh-CN"/>
              </w:rPr>
              <w:t>1</w:t>
            </w:r>
            <w:r>
              <w:rPr>
                <w:rFonts w:hint="eastAsia" w:cs="Times New Roman"/>
                <w:sz w:val="21"/>
                <w:szCs w:val="21"/>
                <w:vertAlign w:val="baseline"/>
                <w:lang w:val="en-US" w:eastAsia="zh-CN"/>
              </w:rPr>
              <w:t>28</w:t>
            </w:r>
            <w:r>
              <w:rPr>
                <w:rFonts w:hint="eastAsia" w:ascii="Times New Roman" w:hAnsi="Times New Roman" w:cs="Times New Roman"/>
                <w:sz w:val="21"/>
                <w:szCs w:val="21"/>
                <w:vertAlign w:val="baseline"/>
                <w:lang w:val="en-US" w:eastAsia="zh-CN"/>
              </w:rPr>
              <w:t>0</w:t>
            </w:r>
            <w:r>
              <w:rPr>
                <w:rFonts w:hint="default" w:ascii="Times New Roman" w:hAnsi="Times New Roman" w:cs="Times New Roman"/>
                <w:sz w:val="21"/>
                <w:szCs w:val="21"/>
                <w:vertAlign w:val="baseline"/>
              </w:rPr>
              <w:t>万元，占</w:t>
            </w:r>
            <w:r>
              <w:rPr>
                <w:rFonts w:hint="default" w:ascii="Times New Roman" w:hAnsi="Times New Roman" w:cs="Times New Roman"/>
                <w:color w:val="auto"/>
                <w:sz w:val="21"/>
                <w:szCs w:val="21"/>
                <w:vertAlign w:val="baseline"/>
              </w:rPr>
              <w:t>地面积为</w:t>
            </w:r>
            <w:r>
              <w:rPr>
                <w:rFonts w:hint="eastAsia" w:cs="Times New Roman"/>
                <w:color w:val="auto"/>
                <w:sz w:val="21"/>
                <w:szCs w:val="21"/>
                <w:vertAlign w:val="baseline"/>
                <w:lang w:val="en-US" w:eastAsia="zh-CN"/>
              </w:rPr>
              <w:t>107亩</w:t>
            </w:r>
            <w:r>
              <w:rPr>
                <w:rFonts w:hint="default" w:ascii="Times New Roman" w:hAnsi="Times New Roman" w:cs="Times New Roman"/>
                <w:color w:val="auto"/>
                <w:sz w:val="21"/>
                <w:szCs w:val="21"/>
                <w:vertAlign w:val="baseline"/>
              </w:rPr>
              <w:t>，主要建</w:t>
            </w:r>
            <w:r>
              <w:rPr>
                <w:rFonts w:hint="default" w:ascii="Times New Roman" w:hAnsi="Times New Roman" w:cs="Times New Roman"/>
                <w:sz w:val="21"/>
                <w:szCs w:val="21"/>
                <w:vertAlign w:val="baseline"/>
              </w:rPr>
              <w:t>筑物包括生活区、</w:t>
            </w:r>
            <w:r>
              <w:rPr>
                <w:rFonts w:hint="eastAsia" w:ascii="Times New Roman" w:hAnsi="Times New Roman" w:cs="Times New Roman"/>
                <w:sz w:val="21"/>
                <w:szCs w:val="21"/>
                <w:vertAlign w:val="baseline"/>
                <w:lang w:eastAsia="zh-CN"/>
              </w:rPr>
              <w:t>养殖区</w:t>
            </w:r>
            <w:r>
              <w:rPr>
                <w:rFonts w:hint="default" w:ascii="Times New Roman" w:hAnsi="Times New Roman" w:cs="Times New Roman"/>
                <w:sz w:val="21"/>
                <w:szCs w:val="21"/>
                <w:vertAlign w:val="baseline"/>
              </w:rPr>
              <w:t>、环保区等，项目建成后</w:t>
            </w:r>
            <w:r>
              <w:rPr>
                <w:rFonts w:hint="default" w:ascii="Times New Roman" w:hAnsi="Times New Roman" w:cs="Times New Roman"/>
                <w:sz w:val="21"/>
                <w:szCs w:val="21"/>
                <w:vertAlign w:val="baseline"/>
                <w:lang w:val="en-US" w:eastAsia="zh-CN"/>
              </w:rPr>
              <w:t>年存档保育猪</w:t>
            </w:r>
            <w:r>
              <w:rPr>
                <w:rFonts w:hint="eastAsia" w:cs="Times New Roman"/>
                <w:sz w:val="21"/>
                <w:szCs w:val="21"/>
                <w:vertAlign w:val="baseline"/>
                <w:lang w:val="en-US" w:eastAsia="zh-CN"/>
              </w:rPr>
              <w:t>1855</w:t>
            </w:r>
            <w:r>
              <w:rPr>
                <w:rFonts w:hint="default" w:ascii="Times New Roman" w:hAnsi="Times New Roman" w:cs="Times New Roman"/>
                <w:sz w:val="21"/>
                <w:szCs w:val="21"/>
                <w:vertAlign w:val="baseline"/>
                <w:lang w:val="en-US" w:eastAsia="zh-CN"/>
              </w:rPr>
              <w:t>头、育肥猪</w:t>
            </w:r>
            <w:r>
              <w:rPr>
                <w:rFonts w:hint="eastAsia" w:cs="Times New Roman"/>
                <w:sz w:val="21"/>
                <w:szCs w:val="21"/>
                <w:vertAlign w:val="baseline"/>
                <w:lang w:val="en-US" w:eastAsia="zh-CN"/>
              </w:rPr>
              <w:t>5500</w:t>
            </w:r>
            <w:r>
              <w:rPr>
                <w:rFonts w:hint="default" w:ascii="Times New Roman" w:hAnsi="Times New Roman" w:cs="Times New Roman"/>
                <w:sz w:val="21"/>
                <w:szCs w:val="21"/>
                <w:vertAlign w:val="baseline"/>
                <w:lang w:val="en-US" w:eastAsia="zh-CN"/>
              </w:rPr>
              <w:t>头，年出栏商品猪</w:t>
            </w:r>
            <w:r>
              <w:rPr>
                <w:rFonts w:hint="eastAsia" w:cs="Times New Roman"/>
                <w:sz w:val="21"/>
                <w:szCs w:val="21"/>
                <w:vertAlign w:val="baseline"/>
                <w:lang w:val="en-US" w:eastAsia="zh-CN"/>
              </w:rPr>
              <w:t>18</w:t>
            </w:r>
            <w:r>
              <w:rPr>
                <w:rFonts w:hint="default" w:ascii="Times New Roman" w:hAnsi="Times New Roman" w:cs="Times New Roman"/>
                <w:sz w:val="21"/>
                <w:szCs w:val="21"/>
                <w:vertAlign w:val="baseline"/>
                <w:lang w:val="en-US" w:eastAsia="zh-CN"/>
              </w:rPr>
              <w:t>000头。</w:t>
            </w:r>
            <w:r>
              <w:rPr>
                <w:rFonts w:hint="default" w:ascii="Times New Roman" w:hAnsi="Times New Roman" w:cs="Times New Roman"/>
                <w:sz w:val="21"/>
                <w:szCs w:val="21"/>
                <w:vertAlign w:val="baseline"/>
              </w:rPr>
              <w:t>本报告已按全厂原辅材料储存情况、生产情况进行环境风险分析。环境风险潜势划分为Ⅰ，无评价工作等级划分</w:t>
            </w:r>
            <w:r>
              <w:rPr>
                <w:rFonts w:hint="eastAsia" w:ascii="Times New Roman" w:hAnsi="Times New Roman" w:cs="Times New Roman"/>
                <w:sz w:val="21"/>
                <w:szCs w:val="21"/>
                <w:vertAlign w:val="baseline"/>
                <w:lang w:eastAsia="zh-CN"/>
              </w:rPr>
              <w:t>，简单分析即可</w:t>
            </w:r>
            <w:r>
              <w:rPr>
                <w:rFonts w:hint="default" w:ascii="Times New Roman" w:hAnsi="Times New Roman" w:cs="Times New Roman"/>
                <w:sz w:val="21"/>
                <w:szCs w:val="21"/>
                <w:vertAlign w:val="baseline"/>
              </w:rPr>
              <w:t>。</w:t>
            </w:r>
          </w:p>
        </w:tc>
      </w:tr>
    </w:tbl>
    <w:p>
      <w:pPr>
        <w:pStyle w:val="4"/>
      </w:pPr>
      <w:bookmarkStart w:id="73" w:name="_Toc25430"/>
      <w:bookmarkStart w:id="74" w:name="_Toc26453"/>
      <w:r>
        <w:rPr>
          <w:rFonts w:hint="eastAsia"/>
          <w:lang w:eastAsia="zh-CN"/>
        </w:rPr>
        <w:t>环境风险分析结论</w:t>
      </w:r>
      <w:bookmarkEnd w:id="73"/>
      <w:bookmarkEnd w:id="74"/>
    </w:p>
    <w:p>
      <w:pPr>
        <w:pStyle w:val="8"/>
        <w:rPr>
          <w:rFonts w:hint="eastAsia"/>
        </w:rPr>
      </w:pPr>
      <w:r>
        <w:rPr>
          <w:rFonts w:hint="eastAsia"/>
        </w:rPr>
        <w:t>本项目的环境风险主要是在贮存、生产等过程发生的泄漏、火灾爆炸以及环保设施非正常运行等风险事故所引发的环境污染。由上文分析可知，本项目事故性排放的污染物对周围环境敏感点影响不明显。</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3"/>
        <w:jc w:val="center"/>
      </w:pPr>
      <w:bookmarkStart w:id="75" w:name="_Toc28842"/>
      <w:bookmarkStart w:id="76" w:name="_Toc20190"/>
      <w:r>
        <w:rPr>
          <w:rFonts w:hint="eastAsia"/>
        </w:rPr>
        <w:t>环境保护措施及可行性分析</w:t>
      </w:r>
      <w:bookmarkEnd w:id="75"/>
      <w:bookmarkEnd w:id="76"/>
    </w:p>
    <w:p>
      <w:pPr>
        <w:pStyle w:val="4"/>
      </w:pPr>
      <w:bookmarkStart w:id="77" w:name="_Toc6099"/>
      <w:bookmarkStart w:id="78" w:name="_Toc5000"/>
      <w:r>
        <w:rPr>
          <w:rFonts w:hint="eastAsia"/>
          <w:lang w:eastAsia="zh-CN"/>
        </w:rPr>
        <w:t>施工期污染治理措施</w:t>
      </w:r>
      <w:bookmarkEnd w:id="77"/>
      <w:bookmarkEnd w:id="78"/>
    </w:p>
    <w:p>
      <w:pPr>
        <w:pStyle w:val="5"/>
        <w:ind w:firstLine="562"/>
      </w:pPr>
      <w:r>
        <w:rPr>
          <w:rFonts w:hint="eastAsia"/>
          <w:lang w:eastAsia="zh-CN"/>
        </w:rPr>
        <w:t xml:space="preserve">施工期大气污染防治措施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为了减缓本工程施工期扬尘和机械尾气对周边敏感保护目标的影响，本次环评提出以下减缓措施： </w:t>
      </w:r>
    </w:p>
    <w:p>
      <w:pPr>
        <w:pStyle w:val="8"/>
        <w:keepNext w:val="0"/>
        <w:keepLines w:val="0"/>
        <w:pageBreakBefore w:val="0"/>
        <w:widowControl w:val="0"/>
        <w:numPr>
          <w:ilvl w:val="0"/>
          <w:numId w:val="17"/>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在施工期间对场地内车辆行驶的路面实施洒水抑尘，根据天气干燥情况定期对扬尘作业面喷洒水，最大程度地减少扬尘对周围空气环境质量的影响。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rPr>
      </w:pPr>
      <w:r>
        <w:rPr>
          <w:rFonts w:hint="eastAsia"/>
          <w:sz w:val="24"/>
          <w:szCs w:val="24"/>
        </w:rPr>
        <w:t xml:space="preserve">（2）车辆在运输沙石、余泥等建筑材料和建筑废料时，不宜装得过满，防止物料洒在路上，造成二次污染，粉状材料应加盖蓬布保护，防止扬尘和材料洒落。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（3）开挖出来的泥土应及时运到指定低洼填方区域，临时堆土须设防尘措施，堆放时间不宜过长，堆积高度不宜过高，以防风吹刮扬尘。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（4）运输车辆在施工区以及村庄道路上应限制行驶速度，车辆速度尽量放缓，不易过快，减少扬尘影响。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（5）工地施工现场出口路面应硬化，并设置清洗槽，配备高压水枪清洗轮胎及车身以防止泥土被带出污染村庄道路及产生扬尘。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（6）施工单位必须使用污染物排放符合国家标准的运输车辆和施工设备，严禁使用报废车辆和淘汰设备。施工机械设备宜采用优质柴油，机械尾气通过空气的稀释扩散及自净作用可大大降低对环境的影响。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本环评采取的措施在建筑施工进程普遍采用，根据实际施工情况效果较好，可大大减少施工废气对环境的影响，所采取措施可行。 </w:t>
      </w:r>
    </w:p>
    <w:p>
      <w:pPr>
        <w:pStyle w:val="5"/>
        <w:ind w:firstLine="562"/>
      </w:pPr>
      <w:r>
        <w:rPr>
          <w:rFonts w:hint="eastAsia"/>
          <w:lang w:eastAsia="zh-CN"/>
        </w:rPr>
        <w:t xml:space="preserve">施工期水污染防治措施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为了减缓本工程施工废水和生活污水对环境的影响，本次环评提出以下减缓措施： </w:t>
      </w:r>
    </w:p>
    <w:p>
      <w:pPr>
        <w:pStyle w:val="8"/>
        <w:keepNext w:val="0"/>
        <w:keepLines w:val="0"/>
        <w:pageBreakBefore w:val="0"/>
        <w:widowControl w:val="0"/>
        <w:numPr>
          <w:ilvl w:val="0"/>
          <w:numId w:val="18"/>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施工期间场地内配套隔油沉淀池，并配建集水沟，将各种作业废水和初期雨水集中收集到沉淀池处理后回收利用场地洒水降尘。 </w:t>
      </w:r>
    </w:p>
    <w:p>
      <w:pPr>
        <w:pStyle w:val="8"/>
        <w:rPr>
          <w:rFonts w:hint="eastAsia" w:eastAsia="宋体"/>
          <w:lang w:eastAsia="zh-CN"/>
        </w:rPr>
      </w:pPr>
      <w:r>
        <w:rPr>
          <w:rFonts w:hint="eastAsia"/>
          <w:sz w:val="24"/>
          <w:szCs w:val="24"/>
        </w:rPr>
        <w:t>（2）施工形成的疏松土层要及时压实，根据工程进展情况用木桩、沙包和塑料膜等对松土进行覆盖和压实，减少降雨的携沙量和污染物含量</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（3）加强施工管理，杜绝施工机械在运行、清洗过程中油料的跑、冒、滴、漏问题。 </w:t>
      </w:r>
    </w:p>
    <w:p>
      <w:pPr>
        <w:pStyle w:val="8"/>
        <w:rPr>
          <w:rFonts w:hint="eastAsia"/>
        </w:rPr>
      </w:pPr>
      <w:r>
        <w:rPr>
          <w:rFonts w:hint="eastAsia"/>
          <w:sz w:val="24"/>
          <w:szCs w:val="24"/>
        </w:rPr>
        <w:t xml:space="preserve">（4）施工营地设置隔油化粪池对生活污水进行处理，处理后用作场地林木肥料。本环评采取的措施在建筑施工进程普遍采用，实际施工情况效果较好，可大大减少施工期废水对环境的影响，水污染防治措施可行。 </w:t>
      </w:r>
    </w:p>
    <w:p>
      <w:pPr>
        <w:pStyle w:val="5"/>
        <w:ind w:firstLine="562"/>
      </w:pPr>
      <w:r>
        <w:rPr>
          <w:rFonts w:hint="eastAsia"/>
          <w:lang w:eastAsia="zh-CN"/>
        </w:rPr>
        <w:t xml:space="preserve">施工期噪声污染防治措施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噪声保护对象是在大型高噪设备旁工作的人员，要采取防护措施，以免造成身体伤害，如噪声性耳聋及各种听力障碍等疾病。为减少施工噪声对施工人员的影响，施工单位在施工期间必须严格执行《中华人民共和国噪声污染防治法》中的建设施工噪声污染防治条例，并将施工场界噪声控制在《建筑施工场界环境噪声排放标准》（GB12523-2011）限值之内，具体应采取以下噪声污染防治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在不影响施工质量的前提下，在施工中要尽量采用低噪声，低振动的施工机械；建议建设单位在部分施工现场设置一些临时的屏障设施，阻挡噪声的传播，同时尽量避免在同一时间集中使用大量的动力机械设备。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在施工期间，加强施工管理，落实各项减震降噪措施。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合理规划施工场地，噪声大的设备应尽量远离施工营地。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应经常对施工设施进行检修、维护保养，避免由于设备带病运行使噪声增强的现象发生。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5）施工所需大量的各类材料经公路以卡车运输，运输路线经过部分环境敏感点，繁忙的公路运输引起的噪声会对沿途居民的生活、工作产生一定程度的影响，为减少噪声影响，过往车辆在途经环境敏感点时应限速行驶和减少鸣喇叭，同时施工管理部门应合理安排，尽量减少运送材料的车辆在居民休息时间经过环境敏感点。 </w:t>
      </w:r>
    </w:p>
    <w:p>
      <w:pPr>
        <w:pStyle w:val="8"/>
        <w:rPr>
          <w:rFonts w:hint="eastAsia"/>
        </w:rPr>
      </w:pPr>
      <w:r>
        <w:rPr>
          <w:rFonts w:hint="eastAsia"/>
          <w:sz w:val="24"/>
          <w:szCs w:val="24"/>
        </w:rPr>
        <w:t>施工期采取的措施在建筑施工进程普遍采用，实际施工情况效果较好，可大大减少施工噪声对环境和敏感点的影响，噪声防治措施可行。</w:t>
      </w:r>
    </w:p>
    <w:p>
      <w:pPr>
        <w:pStyle w:val="5"/>
        <w:ind w:firstLine="562"/>
      </w:pPr>
      <w:r>
        <w:rPr>
          <w:rFonts w:hint="eastAsia"/>
          <w:lang w:eastAsia="zh-CN"/>
        </w:rPr>
        <w:t xml:space="preserve">施工期固体废弃物污染防治措施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为了减少施工期固体废弃物对环境的影响，本次环评提出以下减缓措施：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（1）施工营地设置一个垃圾收集点，采用翻盖式垃圾桶。垃圾集中收集后运往附近村屯的生活垃圾集中处置点处理，杜绝生活垃圾随意丢弃，污染环境。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（2）施工建设产生的废钢筋、废铁丝、废砖块等废料经分解、剔除和粉碎后，可以作为建筑材料加以综合利用，对于不能再利用的建筑垃圾作为填料用于低洼区域场地平整。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（3）建筑垃圾的临时堆放应采用设置围堰，集中堆放，同时在雨季可铺设彩条布进行遮雨，避免产生污水径流。 </w:t>
      </w:r>
    </w:p>
    <w:p>
      <w:pPr>
        <w:pStyle w:val="8"/>
        <w:rPr>
          <w:rFonts w:hint="eastAsia"/>
        </w:rPr>
      </w:pPr>
      <w:r>
        <w:rPr>
          <w:rFonts w:hint="eastAsia"/>
          <w:sz w:val="24"/>
          <w:szCs w:val="24"/>
        </w:rPr>
        <w:t>（4）土方阶段应注重水土保持，积极采取水土保持措施，减小挖方、填方过程产生的负面影响。 施工期采取的措施在建筑施工进程普遍采用，实际施工情况效果较好，可大大减少施工固体废弃物对环境的影响，防治措施可行。</w:t>
      </w:r>
    </w:p>
    <w:p>
      <w:pPr>
        <w:pStyle w:val="5"/>
        <w:ind w:firstLine="562"/>
      </w:pPr>
      <w:r>
        <w:rPr>
          <w:rFonts w:hint="eastAsia"/>
          <w:lang w:eastAsia="zh-CN"/>
        </w:rPr>
        <w:t xml:space="preserve">施工期生态环境保护措施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在施工期间应采取生态环境保护措施，以利于项目建成后的生态环境恢复和建设：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1）施工期间项目开发区域的大部分植被将会消失，但应尽量结合绿地建设争取保留项目边缘地带的植被，因为这些物种是适合当地生长条件的乡土植物，是当地植被建设的基础。施工期间尽量保留这些植物群落和物种，并适当地对其进行改造，是改善区域生态环境的良好途径，既可节省复绿开支，也可减少物种的生态入侵及绿地与当地景观不协调的问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（2）水土保持工作应坚持及时、多样、因地制宜、长短期相结合以及总体和局部结合的原则。结合本建设区域的具体情况在施工中可以采取以下对策：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①施工单位在动工前应在必要地段完成拦土堤及护坡垒砌工程，在整体上形成完整的档土墙体系。同时，开边沟，边坡要用石块铺砌，填土场的上游要设置导流沟，防止上游的径流冲刷填土场。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②开发建设区周围设置防洪墙或淤泥幕，防止对施工废水的淤积影响。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③挖填方工程应避开雨季施工。暴雨是造成水土流失的主要原因，因此工程施工尽量避开雨季，可以大大减少土壤流失量。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④在推挖填土方工程完成后，工地往往还要裸露一段时间才能完成建设或重新绿化，这就要及时在地面的径流汇集线上设置缓流泥砂阻隔带。阻隔带可以采用透水的高强PVC编制带，用角铁或木桩将纺织袋固置于与汇流线相切的方向上，带高一般为50cm就已足够，带长可以视地形决定，一般为数米至数十米不等，可以有效地阻止泥沙随径流的初始流动，控制住施工期的水土流失。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⑤在施工中，要合理安排施工计划、施工程序，协调好各个施工步骤，土方填挖应尽量集中和避开暴雨期，并争取土料随挖随运、随填随压，减少堆土裸土的暴露时间，以避免受降雨的直接冲刷。在暴雨期，还应采取应急措施，尽量用覆盖物覆盖新开挖的陡坡，防止冲刷和崩塌。 </w:t>
      </w:r>
    </w:p>
    <w:p>
      <w:pPr>
        <w:pStyle w:val="8"/>
        <w:rPr>
          <w:rFonts w:hint="eastAsia"/>
        </w:rPr>
      </w:pPr>
      <w:r>
        <w:rPr>
          <w:rFonts w:hint="eastAsia"/>
          <w:sz w:val="24"/>
          <w:szCs w:val="24"/>
        </w:rPr>
        <w:t>⑥各个分项目建成以后，及时恢复被扰乱的地域，重新组织未利用的小块土地，种植人工植被，辟为花园或绿地；管理部门应组织人员对区内荒芜的地块栽种人工植被，减少自然的水土流失。</w:t>
      </w:r>
    </w:p>
    <w:p>
      <w:pPr>
        <w:pStyle w:val="4"/>
      </w:pPr>
      <w:bookmarkStart w:id="79" w:name="_Toc29661"/>
      <w:bookmarkStart w:id="80" w:name="_Toc16171"/>
      <w:r>
        <w:rPr>
          <w:rFonts w:hint="eastAsia"/>
          <w:lang w:eastAsia="zh-CN"/>
        </w:rPr>
        <w:t>营运期污染治理措施</w:t>
      </w:r>
      <w:bookmarkEnd w:id="79"/>
      <w:bookmarkEnd w:id="80"/>
    </w:p>
    <w:p>
      <w:pPr>
        <w:pStyle w:val="5"/>
        <w:ind w:firstLine="562"/>
      </w:pPr>
      <w:r>
        <w:rPr>
          <w:rFonts w:hint="eastAsia"/>
          <w:lang w:eastAsia="zh-CN"/>
        </w:rPr>
        <w:t xml:space="preserve">废气污染防治措施及可行性分析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本项目生产过程中产生的污染物主要为猪舍、污水处理设施</w:t>
      </w:r>
      <w:r>
        <w:rPr>
          <w:rFonts w:hint="eastAsia"/>
          <w:sz w:val="24"/>
          <w:szCs w:val="24"/>
          <w:lang w:eastAsia="zh-CN"/>
        </w:rPr>
        <w:t>、异位发酵床</w:t>
      </w:r>
      <w:r>
        <w:rPr>
          <w:rFonts w:hint="eastAsia"/>
          <w:sz w:val="24"/>
          <w:szCs w:val="24"/>
        </w:rPr>
        <w:t>产生的恶臭以及食堂油烟等。</w:t>
      </w:r>
    </w:p>
    <w:p>
      <w:pPr>
        <w:pStyle w:val="6"/>
      </w:pPr>
      <w:r>
        <w:rPr>
          <w:rFonts w:hint="eastAsia"/>
          <w:lang w:eastAsia="zh-CN"/>
        </w:rPr>
        <w:t>养猪场臭气的产生及危害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养猪场产生的臭气主要来源于集体排泄的粪尿和浪费的饲料等废弃物腐败分解的产物及其呼吸道等排出的气体等，其中不仅含有多种有害物质，还产生大量恶臭，在各种恶臭气味中，主要包括氮化物（氨气、甲胺）、硫化物（硫化氢、甲基硫醇）、脂肪族化合物（吲哚、丙烯醛和粪臭素等）、二氧化碳和甲烷气体等，这些恶臭物质尤其是氨气、硫化氢等气体易溶于水，因此，可被人畜的黏膜、结膜等部位吸附，引起结膜和呼吸系统黏膜出现充血、水肿乃至发炎，高浓度的可导致机体呼吸中枢麻痹而死亡。如果动物长时间处于低浓度臭气的环境中，可使体质变弱，生产性能下降，机体抵抗力降低，诱发多种传染病，从而严重影响了养殖场的经济效益。</w:t>
      </w:r>
    </w:p>
    <w:p>
      <w:pPr>
        <w:pStyle w:val="6"/>
      </w:pPr>
      <w:r>
        <w:rPr>
          <w:rFonts w:hint="eastAsia"/>
          <w:lang w:eastAsia="zh-CN"/>
        </w:rPr>
        <w:t>除臭剂的类型及应用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目前，除臭剂的种类有很多，按其作用可分为营养性除臭剂和非营养性除臭剂：按来源、作用机理和功能等可分为物理型除臭剂、生物型除臭剂、药物型除臭剂、植物型除臭剂和复合型除臭剂。</w:t>
      </w:r>
    </w:p>
    <w:p>
      <w:pPr>
        <w:pStyle w:val="6"/>
      </w:pPr>
      <w:r>
        <w:rPr>
          <w:rFonts w:hint="eastAsia"/>
          <w:lang w:eastAsia="zh-CN"/>
        </w:rPr>
        <w:t>本项目大气污染物防治措施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由于猪舍的恶臭污染源很分散，集中处理困难，最有效的控制方法是预防为主，在恶臭产生的源头就地处理。本评价主要提出如下措施减降恶臭污染物的产生：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①源头控制</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通过控制饲养密度，并加强舍内通风，及时清理猪舍，猪粪等应及时加工或外运，尽量减少其在场内的堆存时间和堆存量；搞好场区环境卫生，采用节水型饮水器，猪舍及时冲洗；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温度高时恶臭气体浓度高，猪粪在1～2周后发酵较快，粪便暴露面积大的发酵率高。猪舍使用漏缝地板，保证粪便冷却，并尽快从猪舍内清粪，在猪舍内加强通风，加速粪便干燥，可减少猪粪污染；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通过合理搭配日粮；而减轻环境中的恶臭，减少蚊蝇孪生。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②过程整治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场采用“漏缝板+干清粪”工艺，项目采用墙体集热板、猪舍内热交换器、红外灯和喷雾降温相结合的方式进行猪舍内部温度控制。猪转栏时利用高压水枪冲圈消毒，夏季加强猪舍通风，降低舍内有害气体浓度，产生的粪渣等固废及时运至贮存或处理场所，以减少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猪粪及时运往固粪处置区，固粪处置区场设置顶棚，即能防雨又能保持通风，三面设置围堰。</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加强养殖场生产管理，并对工作人员强化知识培训，提高饲养人员操作技能；场区布置按功能区进行相应划分，各构筑物之间设绿化隔离带，特别是</w:t>
      </w:r>
      <w:r>
        <w:rPr>
          <w:rFonts w:hint="eastAsia"/>
          <w:sz w:val="24"/>
          <w:szCs w:val="24"/>
          <w:lang w:val="en-US" w:eastAsia="zh-CN"/>
        </w:rPr>
        <w:t>集液池</w:t>
      </w:r>
      <w:r>
        <w:rPr>
          <w:rFonts w:hint="eastAsia"/>
          <w:sz w:val="24"/>
          <w:szCs w:val="24"/>
          <w:lang w:eastAsia="zh-CN"/>
        </w:rPr>
        <w:t>四周应加强绿化，易种植椿树、法国梧桐、枸杞树、柏树、小叶女贞等具有吸附恶臭功能的绿色植物，并配合种植草木、灌木等，实现立体绿化，利用绿色植物的吸收作用，以减少恶臭气体的逸散，减轻恶臭等对周围环境的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③终端处理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产生的恶臭用多种化学和生物产品来控制恶臭。评价建议夏季高温天气在养殖区、污水处理站、固粪处置区附近喷洒除臭剂进行处理，多用强氧化剂和杀菌剂等消除微生物产生的臭味或化学氧化臭味物质。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本项目使用养殖场专用植物性除臭剂，该种除臭剂主要成分为活性醛基芳香香料、樟树、桉树、柏木、香茅等天然植物提取物，无毒、无刺激、无腐蚀性，杀菌功能强。植物性除臭剂通过4 种物理化学作用力将臭气分子捕捉：范德华力、耦合力、化学反应力、吸附力，植物型除臭剂可以有效去除硫化氢、氨气、二氧化硫、甲硫醇、胺等多种常见的恶臭气体，也可以用于去除工业领域产生的特种恶臭气味。除臭剂中的活性基(-CHO)具有很高的活性，利用它的活性同挥发性含S(如硫化氢、硫醇、疏基化合物)、含N(如氨、有机胺) 等易挥发物质反应，产生新的低气味且无毒的新物质，不能参与活性基(-CHO)反应的一些挥发性物质则采用气味补偿办法解决，这种补偿也不是简单的气味掩盖作用，而是利用植物提取液中的活性成分与不能和活性基(-CHO)反应的成分进行再次作用，使其失去原来的气味，藉此实现对发挥性恶臭物质的有效削减和消除。</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本项目采用漏缝地板——机械干清粪饲养方式，常年保持猪舍干燥、猪粪不暴露在空气中，所有排污沟密封、分离出的粪渣和废弃垫料不露天堆放、抽风出口喷洒除臭剂。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油烟管道排放。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采取大气处理措施中</w:t>
      </w:r>
      <w:r>
        <w:rPr>
          <w:rFonts w:hint="eastAsia"/>
          <w:sz w:val="24"/>
          <w:szCs w:val="24"/>
          <w:lang w:val="en-US" w:eastAsia="zh-CN"/>
        </w:rPr>
        <w:t>建设</w:t>
      </w:r>
      <w:r>
        <w:rPr>
          <w:rFonts w:hint="eastAsia"/>
          <w:sz w:val="24"/>
          <w:szCs w:val="24"/>
          <w:lang w:eastAsia="zh-CN"/>
        </w:rPr>
        <w:t>单位拟通过喷洒除臭剂来抑制产生的恶臭，本项目采用生物除臭。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1"/>
      </w:r>
      <w:r>
        <w:rPr>
          <w:rFonts w:hint="eastAsia"/>
          <w:sz w:val="24"/>
          <w:szCs w:val="24"/>
          <w:lang w:eastAsia="zh-CN"/>
        </w:rPr>
        <w:t>原理：生物处理法利用微生物将臭味气体中的有机污染物降解或转化为无害或低害类物质的过程，生物除臭剂主要为酶和活菌制剂。益生菌显著降低猪舍氨气浓度其原理主要是益生菌作为一种活菌制剂，一方面可以帮助建立肠道内优势菌群，维持肠道内微生态平衡，通过在肠道内产生有机酸、细菌素等物质来抑制肠道内腐败菌的生长，降低了脲酶活性，减少了蛋白向胺和氨的转化，使养殖动物体内的氨及胺含量下降，这样就减少了随粪便排出体外的氨等有害气体，改善了猪场环境。另一方面益生菌通过增加消化道多种酶的分泌量和消化酶的活性，参与氨物质的代谢，减少了氨的排出，从而降低畜禽舍内氨气浓度，改善饲养环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2"/>
      </w:r>
      <w:r>
        <w:rPr>
          <w:rFonts w:hint="eastAsia"/>
          <w:sz w:val="24"/>
          <w:szCs w:val="24"/>
          <w:lang w:eastAsia="zh-CN"/>
        </w:rPr>
        <w:t>生物剂除臭特点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最大优点是效果持久，不会产生二次污染，但是在使用过程中不能向化学除臭剂那样马上产生除臭效果，需要一定的扩繁时间和发酵时间。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严格禁止与抗生素、杀虫剂、杀菌剂、消毒剂、强酸强碱类产品混合使用，防止杀灭和抑制益生菌，使其活性降低，益生菌保管瓶开启后，一周内用完。</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喷洒生物除臭剂按要求</w:t>
      </w:r>
      <w:r>
        <w:rPr>
          <w:rFonts w:hint="eastAsia"/>
          <w:sz w:val="24"/>
          <w:szCs w:val="24"/>
          <w:lang w:val="en-US" w:eastAsia="zh-CN"/>
        </w:rPr>
        <w:t>3次/天，专人负责厂内除臭。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此外，从清洁生产的角度还包括以下措施：</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加强猪舍管理，及时清扫粪便废物；</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在饲养中使用微生物或植物添加剂等，抑制粪便废气挥发；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）对养猪场进行立体绿化，形成花园式景观。在猪舍及水塘周围种植能散发香味的灌木，如九离香等，在猪场四周种植乔木、灌木，吸附和隔离恶臭污染物的散发。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）尽量将猪舍、异位发酵床、废水处理站等主要恶臭产生源分散布局，这对于减轻恶臭的影响也是有利的。</w:t>
      </w:r>
    </w:p>
    <w:p>
      <w:pPr>
        <w:pStyle w:val="6"/>
      </w:pPr>
      <w:r>
        <w:rPr>
          <w:rFonts w:hint="eastAsia"/>
          <w:lang w:eastAsia="zh-CN"/>
        </w:rPr>
        <w:t>废气处理经济技术可行性分析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采用上述措施治理后，可有效减轻项目恶臭污染影响，评价预测场界排放臭气浓度能够满足《畜禽养殖业污染物排放标准》（GB18596－2001）中表7要求，在场界外500m 范围内不得新建学校、医院、居民区等环境敏感点。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本项目废气处理设施投资约</w:t>
      </w:r>
      <w:r>
        <w:rPr>
          <w:rFonts w:hint="eastAsia"/>
          <w:sz w:val="24"/>
          <w:szCs w:val="24"/>
          <w:lang w:val="en-US" w:eastAsia="zh-CN"/>
        </w:rPr>
        <w:t>18万元，占项目总投资的1.4%，在经济上是可行的。</w:t>
      </w:r>
    </w:p>
    <w:p>
      <w:pPr>
        <w:pStyle w:val="5"/>
        <w:ind w:firstLine="562"/>
      </w:pPr>
      <w:r>
        <w:rPr>
          <w:rFonts w:hint="eastAsia"/>
          <w:lang w:eastAsia="zh-CN"/>
        </w:rPr>
        <w:t xml:space="preserve">废水污染防治措施及可行性分析 </w:t>
      </w:r>
    </w:p>
    <w:p>
      <w:pPr>
        <w:pStyle w:val="6"/>
      </w:pPr>
      <w:r>
        <w:rPr>
          <w:rFonts w:hint="eastAsia"/>
          <w:lang w:eastAsia="zh-CN"/>
        </w:rPr>
        <w:t>猪舍及污水处理设施的布置</w:t>
      </w:r>
    </w:p>
    <w:p>
      <w:pPr>
        <w:pStyle w:val="8"/>
        <w:rPr>
          <w:rFonts w:hint="eastAsia"/>
        </w:rPr>
      </w:pPr>
      <w:r>
        <w:rPr>
          <w:rFonts w:hint="eastAsia"/>
          <w:sz w:val="24"/>
          <w:szCs w:val="24"/>
          <w:lang w:eastAsia="zh-CN"/>
        </w:rPr>
        <w:t>本项目按照《畜禽养殖业污染物排放标准》（</w:t>
      </w:r>
      <w:r>
        <w:rPr>
          <w:rFonts w:hint="eastAsia"/>
          <w:sz w:val="24"/>
          <w:szCs w:val="24"/>
          <w:lang w:val="en-US" w:eastAsia="zh-CN"/>
        </w:rPr>
        <w:t>DB44/613-2009</w:t>
      </w:r>
      <w:r>
        <w:rPr>
          <w:rFonts w:hint="eastAsia"/>
          <w:sz w:val="24"/>
          <w:szCs w:val="24"/>
          <w:lang w:eastAsia="zh-CN"/>
        </w:rPr>
        <w:t>）的规定，养殖场的排水系统实行雨污分流（雨水走明渠，污水走暗渠），猪舍全部采用房舍式密封设计，不设露天养殖，每个猪舍中铺设导水暗渠，暗渠上方用混凝土块封闭，避免雨水进入废水输送渠道中，雨水管道另外铺设，采用明渠直接排放。本项目靠近山体设有排洪渠（沟），场内的地表雨水和周边山体的集留雨水均通过山体周边的排洪沟从场区</w:t>
      </w:r>
      <w:r>
        <w:rPr>
          <w:rFonts w:hint="eastAsia"/>
          <w:sz w:val="24"/>
          <w:szCs w:val="24"/>
          <w:lang w:val="en-US" w:eastAsia="zh-CN"/>
        </w:rPr>
        <w:t>西南</w:t>
      </w:r>
      <w:r>
        <w:rPr>
          <w:rFonts w:hint="eastAsia"/>
          <w:sz w:val="24"/>
          <w:szCs w:val="24"/>
          <w:lang w:eastAsia="zh-CN"/>
        </w:rPr>
        <w:t>面低洼处排入小沟渠</w:t>
      </w:r>
    </w:p>
    <w:p>
      <w:pPr>
        <w:pStyle w:val="6"/>
      </w:pPr>
      <w:r>
        <w:rPr>
          <w:rFonts w:hint="eastAsia"/>
          <w:lang w:eastAsia="zh-CN"/>
        </w:rPr>
        <w:t>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本项目产生的废水主要有猪场工作人员生活污水和猪场养殖废水。</w:t>
      </w:r>
    </w:p>
    <w:p>
      <w:pPr>
        <w:pStyle w:val="8"/>
        <w:rPr>
          <w:rFonts w:hint="eastAsia"/>
        </w:rPr>
      </w:pPr>
      <w:r>
        <w:rPr>
          <w:rFonts w:hint="eastAsia"/>
          <w:sz w:val="24"/>
          <w:szCs w:val="24"/>
          <w:lang w:eastAsia="zh-CN"/>
        </w:rPr>
        <w:t>生产废水含猪粪经集液池收集，混合均匀后喷洒至异位发酵床进行发酵</w:t>
      </w:r>
      <w:r>
        <w:rPr>
          <w:rFonts w:hint="eastAsia"/>
          <w:sz w:val="24"/>
          <w:szCs w:val="24"/>
          <w:lang w:val="en-US" w:eastAsia="zh-CN"/>
        </w:rPr>
        <w:t>处理后制成有机肥料外售，不外排</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1、养殖废水处理工艺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object>
          <v:shape id="_x0000_i1054" o:spt="75" type="#_x0000_t75" style="height:99pt;width:308.25pt;" o:ole="t" filled="f" o:preferrelative="t" stroked="f" coordsize="21600,21600">
            <v:path/>
            <v:fill on="f" focussize="0,0"/>
            <v:stroke on="f"/>
            <v:imagedata r:id="rId103" o:title=""/>
            <o:lock v:ext="edit" grouping="f" rotation="f" text="f" aspectratio="f"/>
            <w10:wrap type="none"/>
            <w10:anchorlock/>
          </v:shape>
          <o:OLEObject Type="Embed" ProgID="Visio.Drawing.11" ShapeID="_x0000_i1054" DrawAspect="Content" ObjectID="_1468075754" r:id="rId102">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b/>
          <w:bCs/>
          <w:sz w:val="21"/>
          <w:szCs w:val="21"/>
          <w:lang w:val="en-US" w:eastAsia="zh-CN"/>
        </w:rPr>
      </w:pPr>
      <w:r>
        <w:rPr>
          <w:rFonts w:hint="eastAsia"/>
          <w:b/>
          <w:bCs/>
          <w:sz w:val="21"/>
          <w:szCs w:val="21"/>
          <w:lang w:eastAsia="zh-CN"/>
        </w:rPr>
        <w:t>图</w:t>
      </w:r>
      <w:r>
        <w:rPr>
          <w:rFonts w:hint="eastAsia"/>
          <w:b/>
          <w:bCs/>
          <w:sz w:val="21"/>
          <w:szCs w:val="21"/>
          <w:lang w:val="en-US" w:eastAsia="zh-CN"/>
        </w:rPr>
        <w:t>7.2-1  养殖废水处理工艺示意图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本项目建成投产后，每年产生猪粪4319.775t，猪尿等生产废水年产生量为9159.47t/a，蒸发20%得7327.576t/a，则可制得有机肥11647.351t/a。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猪舍收集的猪尿、猪粪、定期的冲栏废水和无害化处理间的废水通过官网进入集液池中，在集液池中充分混合后，喷淋至异位发酵床进行发酵，将养殖场产生的养殖废水和粪污发酵制得有机肥，事先养殖废水和粪污的零排放。其核心主要为异位发酵床，发酵床的原理利用微生物菌剂在床体垫料上分解养殖粪污的，是一种有生物参与的活动，所以开孔器、水分、营养是异位发酵床运行的必要保证。</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（1）发酵床垫料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床垫料一般采用谷壳和锯末（也可用秸秆、花生壳等物料代替），比例为6:4（该比例可根据实际情况适当调整），堆体高度控制在1.2-1.6米（一是透气性较好，温度均一、水分挥发快，二是翻堆时比较彻底，有利用粪水减量比），垫料铺设需要一层谷壳，一层锯末，经过翻抛均匀混合；垫料高度可以一次性堆到发酵床要求的高度，长期循环使用，要求垫料高度不得低于80公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（2）菌种添加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按照混匀后物料的总重量的1‰投放粪污处理专用菌种，即1kg菌种发酵10立方物料。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（3）翻抛</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翻抛均匀，使用翻抛机连续翻堆2-3次即可；每隔2-3天，翻抛增氧一次，同时加速水分挥发。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机的作用：对发酵床的垫料进行翻抛增加垫料的氧气接触量使好氧微生物能够有更好的生存环境，更好的活性把排入的污染物分解处理掉达到无污染零排放；翻抛机具有粉碎、搅拌、翻抛的作用，在发酵床中铺入垫料，将粪污与发酵菌种均匀喷洒在垫料上，通过翻抛机来回搅拌实现粪污的快速降解，在发酵过程中，温度升高，粪污充分降解，多余的被蒸发，经过7~15天的发酵，粪污逐渐转变为有机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（4）物料增补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发酵4-6个月，按照锯末与稻壳一定的比例添加堆体1.2-1.6米高度；添加菌种按比例1:10添加，通过翻抛机混匀。</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2、生活污水处理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根据工程分析可知，本项目产生的生活污水为4.8m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/d，建设单位拟涉及地埋式一体化生化处理，处理能力为6m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rPr>
      </w:pPr>
      <w:r>
        <w:rPr>
          <w:rFonts w:hint="eastAsia" w:cs="Times New Roman"/>
          <w:kern w:val="0"/>
          <w:sz w:val="24"/>
          <w:szCs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地灌溉，不外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生活污水处理流程如图7.2-2。</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kern w:val="0"/>
          <w:sz w:val="24"/>
          <w:szCs w:val="24"/>
          <w:lang w:val="en-US" w:eastAsia="zh-CN"/>
        </w:rPr>
      </w:pPr>
      <w:r>
        <w:rPr>
          <w:rFonts w:hint="default" w:cs="Times New Roman"/>
          <w:kern w:val="0"/>
          <w:sz w:val="24"/>
          <w:szCs w:val="24"/>
          <w:lang w:val="en-US" w:eastAsia="zh-CN"/>
        </w:rPr>
        <w:object>
          <v:shape id="_x0000_i1055" o:spt="75" type="#_x0000_t75" style="height:110.25pt;width:294.75pt;" o:ole="t" filled="f" o:preferrelative="t" stroked="f" coordsize="21600,21600">
            <v:path/>
            <v:fill on="f" focussize="0,0"/>
            <v:stroke on="f"/>
            <v:imagedata r:id="rId105" o:title=""/>
            <o:lock v:ext="edit" grouping="f" rotation="f" text="f" aspectratio="f"/>
            <w10:wrap type="none"/>
            <w10:anchorlock/>
          </v:shape>
          <o:OLEObject Type="Embed" ProgID="Visio.Drawing.11" ShapeID="_x0000_i1055" DrawAspect="Content" ObjectID="_1468075755" r:id="rId104">
            <o:LockedField>false</o:LockedField>
          </o:OLEObject>
        </w:object>
      </w:r>
    </w:p>
    <w:p>
      <w:pPr>
        <w:pStyle w:val="8"/>
        <w:jc w:val="center"/>
        <w:rPr>
          <w:rFonts w:hint="eastAsia" w:eastAsia="宋体"/>
          <w:lang w:val="en-US" w:eastAsia="zh-CN"/>
        </w:rPr>
      </w:pPr>
      <w:r>
        <w:rPr>
          <w:rFonts w:hint="eastAsia" w:ascii="宋体" w:hAnsi="宋体" w:eastAsia="宋体"/>
          <w:b/>
          <w:bCs/>
          <w:color w:val="000000"/>
          <w:sz w:val="21"/>
          <w:szCs w:val="21"/>
        </w:rPr>
        <w:t>图</w:t>
      </w:r>
      <w:r>
        <w:rPr>
          <w:rFonts w:hint="eastAsia"/>
          <w:b/>
          <w:bCs/>
          <w:color w:val="000000"/>
          <w:sz w:val="21"/>
          <w:szCs w:val="21"/>
          <w:lang w:val="en-US" w:eastAsia="zh-CN"/>
        </w:rPr>
        <w:t>7</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根据工程分析可知，本项目产生的生活污水</w:t>
      </w:r>
      <w:r>
        <w:rPr>
          <w:rFonts w:hint="eastAsia"/>
          <w:sz w:val="24"/>
          <w:szCs w:val="24"/>
          <w:lang w:val="en-US" w:eastAsia="zh-CN"/>
        </w:rPr>
        <w:t>1752m</w:t>
      </w:r>
      <w:r>
        <w:rPr>
          <w:rFonts w:hint="eastAsia"/>
          <w:sz w:val="24"/>
          <w:szCs w:val="24"/>
          <w:vertAlign w:val="superscript"/>
          <w:lang w:val="en-US" w:eastAsia="zh-CN"/>
        </w:rPr>
        <w:t>3</w:t>
      </w:r>
      <w:r>
        <w:rPr>
          <w:rFonts w:hint="eastAsia"/>
          <w:sz w:val="24"/>
          <w:szCs w:val="24"/>
          <w:lang w:val="en-US" w:eastAsia="zh-CN"/>
        </w:rPr>
        <w:t>/a，即4.8m</w:t>
      </w:r>
      <w:r>
        <w:rPr>
          <w:rFonts w:hint="eastAsia"/>
          <w:sz w:val="24"/>
          <w:szCs w:val="24"/>
          <w:vertAlign w:val="superscript"/>
          <w:lang w:val="en-US" w:eastAsia="zh-CN"/>
        </w:rPr>
        <w:t>3</w:t>
      </w:r>
      <w:r>
        <w:rPr>
          <w:rFonts w:hint="eastAsia"/>
          <w:sz w:val="24"/>
          <w:szCs w:val="24"/>
          <w:lang w:val="en-US" w:eastAsia="zh-CN"/>
        </w:rPr>
        <w:t>/d（按年365天计），建设单位拟设计地埋式一体化生化系统处理，处理能力为6m</w:t>
      </w:r>
      <w:r>
        <w:rPr>
          <w:rFonts w:hint="eastAsia"/>
          <w:sz w:val="24"/>
          <w:szCs w:val="24"/>
          <w:vertAlign w:val="superscript"/>
          <w:lang w:val="en-US" w:eastAsia="zh-CN"/>
        </w:rPr>
        <w:t>3</w:t>
      </w:r>
      <w:r>
        <w:rPr>
          <w:rFonts w:hint="eastAsia"/>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地埋式一体化污水处理设备，可埋入地表下，设备上方地表可作为绿化或其他用地，不需要建房及采暖和保温，全自动控制，不需人员管理无污泥回流，操作简单，维修方便。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lang w:val="en-US" w:eastAsia="zh-CN"/>
        </w:rPr>
        <w:t>地埋式污水处理设备是一种模块化的高效污水生物处理设备，是一种以生物膜为净化主体的污水生物处理系统，充分发挥了厌氧生物滤池、接触氧化床等生物膜反应器具有的生物密度大、耐污能力强、动力消耗低、操作运行稳定、维护方便的特点，使得该系统具有很广的应用前景和推广价值。</w:t>
      </w:r>
    </w:p>
    <w:p>
      <w:pPr>
        <w:pStyle w:val="6"/>
      </w:pPr>
      <w:r>
        <w:rPr>
          <w:rFonts w:hint="eastAsia"/>
          <w:lang w:eastAsia="zh-CN"/>
        </w:rPr>
        <w:t>废水处理措施经济可行性分析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本项目废水处理设计原则如下：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）严格执行国家有关环境保护法律法规的要求；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）严格执行现行的防火、安全、卫生、环境保护等国家和地方颁布的法规、规范与标准；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）选择国内外先进成熟的污水治理技术，采用优质、可靠、适用、经济的治理工艺路线；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）切合实际，正确掌握设计规范和标准，优化工艺技术，合理选用优质、高效的处理设备和设施；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）在确保出水稳定达标的前提下，尽可能地节省投资，减少占地面积和降低运行费用，调整好一次性投资与运行费用、水质要求之间的比例关系；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6</w:t>
      </w:r>
      <w:r>
        <w:rPr>
          <w:rFonts w:hint="eastAsia"/>
          <w:sz w:val="24"/>
          <w:szCs w:val="24"/>
          <w:lang w:eastAsia="zh-CN"/>
        </w:rPr>
        <w:t>）废水处理站总体布局、统一规划，力求工厂和周围环境协调；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7</w:t>
      </w:r>
      <w:r>
        <w:rPr>
          <w:rFonts w:hint="eastAsia"/>
          <w:sz w:val="24"/>
          <w:szCs w:val="24"/>
          <w:lang w:eastAsia="zh-CN"/>
        </w:rPr>
        <w:t>）在处理站运行中保证清洁、安全。设备运行简单，以操作维护方便，利于管理为原则。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项目异位发酵床、事故应急池、地埋式一体化生化处理系统及雨污分流系统的建设成本约</w:t>
      </w:r>
      <w:r>
        <w:rPr>
          <w:rFonts w:hint="eastAsia"/>
          <w:sz w:val="24"/>
          <w:szCs w:val="24"/>
          <w:lang w:val="en-US" w:eastAsia="zh-CN"/>
        </w:rPr>
        <w:t>50万，占项目总投资的3.9%，占项目总投资的比例可接受。由此可见，本项目水污染防治措施在经济上是可行的。</w:t>
      </w:r>
    </w:p>
    <w:p>
      <w:pPr>
        <w:pStyle w:val="5"/>
        <w:ind w:firstLine="562"/>
      </w:pPr>
      <w:r>
        <w:rPr>
          <w:rFonts w:hint="eastAsia"/>
          <w:lang w:eastAsia="zh-CN"/>
        </w:rPr>
        <w:t xml:space="preserve">地下水污染防治措施及其可行性论证 </w:t>
      </w:r>
    </w:p>
    <w:p>
      <w:pPr>
        <w:pStyle w:val="8"/>
        <w:rPr>
          <w:rFonts w:hint="eastAsia"/>
        </w:rPr>
      </w:pPr>
      <w:r>
        <w:rPr>
          <w:rFonts w:hint="eastAsia"/>
          <w:sz w:val="24"/>
          <w:szCs w:val="24"/>
          <w:lang w:eastAsia="zh-CN"/>
        </w:rPr>
        <w:t>根据规划区可能泄漏至地面区域污染物的性质和生产单元的构筑方式，将区内划分为重点污染防治区、一般污染防治区和非污染防治区，详见下表和下图。</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7.2-2  项目地下水分区防治情况一览表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4705"/>
        <w:gridCol w:w="1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防治区</w:t>
            </w:r>
          </w:p>
        </w:tc>
        <w:tc>
          <w:tcPr>
            <w:tcW w:w="4705" w:type="dxa"/>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所属区域</w:t>
            </w:r>
          </w:p>
        </w:tc>
        <w:tc>
          <w:tcPr>
            <w:tcW w:w="1981" w:type="dxa"/>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重点污染防治区</w:t>
            </w:r>
          </w:p>
        </w:tc>
        <w:tc>
          <w:tcPr>
            <w:tcW w:w="4705" w:type="dxa"/>
            <w:tcBorders>
              <w:top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污水处理工程、异位发酵床、危险废物暂存间</w:t>
            </w:r>
          </w:p>
        </w:tc>
        <w:tc>
          <w:tcPr>
            <w:tcW w:w="1981" w:type="dxa"/>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一般污染防治区</w:t>
            </w:r>
          </w:p>
        </w:tc>
        <w:tc>
          <w:tcPr>
            <w:tcW w:w="4705" w:type="dxa"/>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场内生产区</w:t>
            </w:r>
          </w:p>
        </w:tc>
        <w:tc>
          <w:tcPr>
            <w:tcW w:w="1981" w:type="dxa"/>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非污染防治区</w:t>
            </w:r>
          </w:p>
        </w:tc>
        <w:tc>
          <w:tcPr>
            <w:tcW w:w="4705"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办公生活区</w:t>
            </w:r>
          </w:p>
        </w:tc>
        <w:tc>
          <w:tcPr>
            <w:tcW w:w="1981" w:type="dxa"/>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无需防治</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根据防渗参照的标准和规范，结合目前施工过程中的可操作性和和技术水平，不同的防渗区域采用在满足防渗标准要求前提下的防渗措施：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）重点污染防渗区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1）污水处理工程、异位发酵床、危险废物暂存间、事故应急池等</w:t>
      </w:r>
      <w:r>
        <w:rPr>
          <w:rFonts w:hint="eastAsia" w:ascii="宋体" w:hAnsi="宋体"/>
          <w:color w:val="000000"/>
          <w:sz w:val="24"/>
        </w:rPr>
        <w:t>为重点防渗区</w:t>
      </w:r>
      <w:r>
        <w:rPr>
          <w:rFonts w:hint="eastAsia" w:ascii="宋体" w:hAnsi="宋体"/>
          <w:color w:val="000000"/>
          <w:sz w:val="24"/>
          <w:lang w:eastAsia="zh-CN"/>
        </w:rPr>
        <w:t xml:space="preserve">。从防渗角度出发，在压实原始地面之上采用三层处理法处理地基。下层为石灰沙砾层，石灰与沙砾配比为1：5。该层厚10cm，作用使上覆压力均匀分布；中层为石灰粘土层，石灰与粘土配比为1：15；上层为水泥石子层，水泥和石子的配比为1：3，厚度5cm。对地面采用防水水泥砂浆层法处理。防水水泥砂浆层配比为水泥：砂：水：氯化亚铁＝1：2：0.6：0.05，厚度2cm；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2）管道、阀门防渗漏措施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阀门采用知名厂家优质产品，对于生活区及生产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系统统一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3）废水收集管网防渗漏措施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在防渗漏区内废水收集管网是设计的关键内容，设计合理的排水坡度，使水在集水井汇集。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）一般污染防渗区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1）厂内生产区地面全部水泥硬化；</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2）定期检修污水池、污水管，加强防渗处理的工程管理，发生设备故障、泄漏事故等意外时，应及时采取有效措施，如采用备用设备、紧急停运检修等，降低风险环境影响；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3）做好污水灌溉输送管道的维护检查工作，确保管道无老化、无破损，避免污水泄漏，造成沿途土壤、地下水受到污染；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4）建设单位应全面推行清洁生产，从源头减少和预防废物的产生、排放，从源头到末端全方位采取有效控制措施，应从原料产品的储存、装卸、运输、生产、污染处理措施等各个环节和过程进行有效控制，避免污染物泄（渗）漏，同时对可能会泄漏的区域采取防渗措施；对各类固体废物和废水进行循环利用，减少污染物的排放量；提高企业的管理水平，对工艺、管道、设备、污水储存和处理构筑物进行严格的监管，防止污染物的跑、冒、滴、漏，将污染物泄漏的环境风险事故降到最低限度。节约用水，防止产生大量生活污水淋洒场地后，氨氮等生活污染物下渗污染地下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）简单防渗区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生产区、生活区其他区域（除绿化用地之外）应全部进行硬化处理，实现场区不裸露土层。</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7.2-3   主要场地分区防渗要求</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82"/>
        <w:gridCol w:w="63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防渗级别</w:t>
            </w:r>
          </w:p>
        </w:tc>
        <w:tc>
          <w:tcPr>
            <w:tcW w:w="6340"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重点防渗区域（污水处理设施、异位发酵床、猪舍、应急池、废水收集管网路段）</w:t>
            </w:r>
          </w:p>
        </w:tc>
        <w:tc>
          <w:tcPr>
            <w:tcW w:w="6340"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建、构筑物地基需做防渗处理，在施工图设计及施工阶段对基础层进行防渗处理，采用符合要求的天然基础层或人工合成衬里材料，具体要求依据《危险废物贮存污染控制标准》（</w:t>
            </w:r>
            <w:r>
              <w:rPr>
                <w:rFonts w:hint="eastAsia"/>
                <w:sz w:val="21"/>
                <w:szCs w:val="21"/>
                <w:vertAlign w:val="baseline"/>
                <w:lang w:val="en-US" w:eastAsia="zh-CN"/>
              </w:rPr>
              <w:t>GB18597-2001</w:t>
            </w:r>
            <w:r>
              <w:rPr>
                <w:rFonts w:hint="eastAsia"/>
                <w:sz w:val="21"/>
                <w:szCs w:val="21"/>
                <w:vertAlign w:val="baseline"/>
                <w:lang w:eastAsia="zh-CN"/>
              </w:rPr>
              <w:t>）。部分构筑物除需做基础防渗处理外，还需根据生产过程中接触到的物料腐蚀性情况采取相应的防腐蚀性措施。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一般防渗区域</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建、构筑物地基需做防渗处理，在施工图设计及施工阶段对基础层进行防渗处理，采用符合要求的天然黏土防渗层，具体要求依据《生活垃圾填埋场控制标准》（</w:t>
            </w:r>
            <w:r>
              <w:rPr>
                <w:rFonts w:hint="eastAsia"/>
                <w:sz w:val="21"/>
                <w:szCs w:val="21"/>
                <w:vertAlign w:val="baseline"/>
                <w:lang w:val="en-US" w:eastAsia="zh-CN"/>
              </w:rPr>
              <w:t>GB16889-2008</w:t>
            </w:r>
            <w:r>
              <w:rPr>
                <w:rFonts w:hint="eastAsia"/>
                <w:sz w:val="21"/>
                <w:szCs w:val="21"/>
                <w:vertAlign w:val="baseline"/>
                <w:lang w:eastAsia="zh-CN"/>
              </w:rPr>
              <w:t>）进行实施。等效黏土防渗层</w:t>
            </w:r>
            <w:r>
              <w:rPr>
                <w:rFonts w:hint="eastAsia"/>
                <w:sz w:val="21"/>
                <w:szCs w:val="21"/>
                <w:vertAlign w:val="baseline"/>
                <w:lang w:val="en-US" w:eastAsia="zh-CN"/>
              </w:rPr>
              <w:t>Mb≥1.5m，采取防渗措施后的基础层渗透系数≤1.0×10</w:t>
            </w:r>
            <w:r>
              <w:rPr>
                <w:rFonts w:hint="eastAsia"/>
                <w:sz w:val="21"/>
                <w:szCs w:val="21"/>
                <w:vertAlign w:val="superscript"/>
                <w:lang w:val="en-US" w:eastAsia="zh-CN"/>
              </w:rPr>
              <w:t>-7</w:t>
            </w:r>
            <w:r>
              <w:rPr>
                <w:rFonts w:hint="eastAsia"/>
                <w:sz w:val="21"/>
                <w:szCs w:val="21"/>
                <w:vertAlign w:val="baseline"/>
                <w:lang w:val="en-US" w:eastAsia="zh-CN"/>
              </w:rPr>
              <w:t>cm/s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简单防渗区域（道路）</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一般地面硬化</w:t>
            </w:r>
          </w:p>
        </w:tc>
      </w:tr>
    </w:tbl>
    <w:p>
      <w:pPr>
        <w:pStyle w:val="8"/>
        <w:rPr>
          <w:rFonts w:hint="eastAsia"/>
        </w:rPr>
      </w:pPr>
      <w:r>
        <w:rPr>
          <w:rFonts w:hint="eastAsia"/>
          <w:sz w:val="24"/>
          <w:szCs w:val="24"/>
          <w:lang w:eastAsia="zh-CN"/>
        </w:rPr>
        <w:t>因此，在建设单位严格按照本次评价提出的防渗措施对各单元进行治理后，各功能区及各单元的渗透系数均较低，本项目废水、固废堆存淋滤液向地下水发生渗透的概率较小，因此对区域内地下水污染产生的不利影响较小。</w:t>
      </w:r>
    </w:p>
    <w:p>
      <w:pPr>
        <w:pStyle w:val="5"/>
        <w:ind w:firstLine="562"/>
      </w:pPr>
      <w:r>
        <w:rPr>
          <w:rFonts w:hint="eastAsia"/>
          <w:lang w:eastAsia="zh-CN"/>
        </w:rPr>
        <w:t xml:space="preserve">噪声污染防治措施及其可行性论证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本项目噪声主要来源于猪只叫声、水泵、风机及备用发电机等，项目拟采取的噪声污染防治措施主要包括：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从声源上降噪 根据本项目噪声源特征，建议在设计和设备采购阶段，优先选用低噪声设备，从而从声源上降低设备本身的噪声。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从传播途径上降噪 厂区周围建设一定高度的隔声屏障，如围墙，减少项目噪声对设备房外或场区外声环境的影响；种植一定的乔木、灌木林等绿化带，有利于减少噪声污染。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加强设备维护，确保设备处于良好的运转状态，杜绝因设备不正常运转时产生的高噪声现象。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（3）从平面布置上降噪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合理布置生产设备，高噪声源尽量远离厂界和保护目标，确保厂界噪声达标。 经过预测分析后，采取以上措施后，能有效减少项目营运期噪声对周围环境的影响，厂界处的噪声能够达到《工业企业厂界环境噪声排放标准》（GB12348-2008）中</w:t>
      </w:r>
      <w:r>
        <w:rPr>
          <w:rFonts w:hint="eastAsia"/>
          <w:sz w:val="24"/>
          <w:szCs w:val="24"/>
          <w:lang w:val="en-US" w:eastAsia="zh-CN"/>
        </w:rPr>
        <w:t>1</w:t>
      </w:r>
      <w:r>
        <w:rPr>
          <w:rFonts w:hint="eastAsia"/>
          <w:sz w:val="24"/>
          <w:szCs w:val="24"/>
          <w:lang w:eastAsia="zh-CN"/>
        </w:rPr>
        <w:t xml:space="preserve">类标准。因此，从经济和技术上分析，本项目采取的噪声污染防治措施是可行的。 </w:t>
      </w:r>
    </w:p>
    <w:p>
      <w:pPr>
        <w:pStyle w:val="5"/>
        <w:ind w:firstLine="562"/>
      </w:pPr>
      <w:r>
        <w:rPr>
          <w:rFonts w:hint="eastAsia"/>
          <w:lang w:eastAsia="zh-CN"/>
        </w:rPr>
        <w:t xml:space="preserve">固体废物处理措施及其可行性论证 </w:t>
      </w:r>
    </w:p>
    <w:p>
      <w:pPr>
        <w:pStyle w:val="6"/>
      </w:pPr>
      <w:r>
        <w:rPr>
          <w:rFonts w:hint="eastAsia"/>
          <w:lang w:eastAsia="zh-CN"/>
        </w:rPr>
        <w:t>固体废物污染防治措施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产生的粪污经异位发酵床处理得到有机肥；病死猪按《畜禽病害肉尸及其产品无害化处理规程》（</w:t>
      </w:r>
      <w:r>
        <w:rPr>
          <w:rFonts w:hint="eastAsia"/>
          <w:sz w:val="24"/>
          <w:szCs w:val="24"/>
          <w:lang w:val="en-US" w:eastAsia="zh-CN"/>
        </w:rPr>
        <w:t>GB16548-1996</w:t>
      </w:r>
      <w:r>
        <w:rPr>
          <w:rFonts w:hint="eastAsia"/>
          <w:sz w:val="24"/>
          <w:szCs w:val="24"/>
          <w:lang w:eastAsia="zh-CN"/>
        </w:rPr>
        <w:t>）和《畜禽养殖业污染防治技术规范》（</w:t>
      </w:r>
      <w:r>
        <w:rPr>
          <w:rFonts w:hint="eastAsia"/>
          <w:sz w:val="24"/>
          <w:szCs w:val="24"/>
          <w:lang w:val="en-US" w:eastAsia="zh-CN"/>
        </w:rPr>
        <w:t>HJ/T81-2001</w:t>
      </w:r>
      <w:r>
        <w:rPr>
          <w:rFonts w:hint="eastAsia"/>
          <w:sz w:val="24"/>
          <w:szCs w:val="24"/>
          <w:lang w:eastAsia="zh-CN"/>
        </w:rPr>
        <w:t>）进行“一体化”无害化处理；异位发酵床产生的废垫料和无害化处理制得的油脂、骨粉经发酵制得有机肥；生活垃圾设置固定的垃圾堆放点，定期由环卫部门运走统一处理。疫苗针头等医疗废物应设置专用储存容器，并存放于隔离间（危废暂存间），收集到一定数量后交由有资质的单位进行安全处置。</w:t>
      </w:r>
    </w:p>
    <w:p>
      <w:pPr>
        <w:pStyle w:val="8"/>
        <w:rPr>
          <w:rFonts w:hint="eastAsia"/>
        </w:rPr>
      </w:pPr>
      <w:r>
        <w:rPr>
          <w:rFonts w:hint="eastAsia"/>
          <w:sz w:val="24"/>
          <w:szCs w:val="24"/>
          <w:lang w:eastAsia="zh-CN"/>
        </w:rPr>
        <w:t>根据《广东省人民政府办公厅关于建立病死畜禽无害化处理机制的实施意见》（粤府办</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2015</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36号</w:t>
      </w:r>
      <w:r>
        <w:rPr>
          <w:rFonts w:hint="eastAsia"/>
          <w:sz w:val="24"/>
          <w:szCs w:val="24"/>
          <w:lang w:eastAsia="zh-CN"/>
        </w:rPr>
        <w:t>）和韶关市的要求，“从事畜禽饲养、屠宰、经营、运输的单位和个人是病死畜禽无害化处理的第一责任人，任何单位和个人不得抛弃、收购、贩卖、屠宰、加工病死畜禽。鼓励大型养殖场、屠宰场、批发市场等配备病死畜禽无害化处理设施设备，实现自主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根据《病死及病害动物无害化处理技术规范》（农医发</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2017</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25号</w:t>
      </w:r>
      <w:r>
        <w:rPr>
          <w:rFonts w:hint="eastAsia"/>
          <w:sz w:val="24"/>
          <w:szCs w:val="24"/>
          <w:lang w:eastAsia="zh-CN"/>
        </w:rPr>
        <w:t>）要求，本项目处理病死猪方法属于规范推荐的化制法，化制法具体要求如下：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不得用于患有炭疽等芽孢杆菌类疫病，以及牛海绵状脑病、痒病的染疫动物及产品、组织的处理。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技术要求：</w:t>
      </w:r>
    </w:p>
    <w:p>
      <w:pPr>
        <w:pStyle w:val="8"/>
        <w:keepNext w:val="0"/>
        <w:keepLines w:val="0"/>
        <w:pageBreakBefore w:val="0"/>
        <w:widowControl w:val="0"/>
        <w:numPr>
          <w:ilvl w:val="0"/>
          <w:numId w:val="22"/>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可视情况对病死及病害动物和相关动物产品进行破碎等预处理。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）病死及病害动物和相关动物产品或破碎产污输送入高温高压灭菌容器。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）处理物中心温度≥</w:t>
      </w:r>
      <w:r>
        <w:rPr>
          <w:rFonts w:hint="eastAsia"/>
          <w:sz w:val="24"/>
          <w:szCs w:val="24"/>
          <w:lang w:val="en-US" w:eastAsia="zh-CN"/>
        </w:rPr>
        <w:t>140℃，压力</w:t>
      </w:r>
      <w:r>
        <w:rPr>
          <w:rFonts w:hint="eastAsia"/>
          <w:sz w:val="24"/>
          <w:szCs w:val="24"/>
          <w:lang w:eastAsia="zh-CN"/>
        </w:rPr>
        <w:t>≥</w:t>
      </w:r>
      <w:r>
        <w:rPr>
          <w:rFonts w:hint="eastAsia"/>
          <w:sz w:val="24"/>
          <w:szCs w:val="24"/>
          <w:lang w:val="en-US" w:eastAsia="zh-CN"/>
        </w:rPr>
        <w:t>0.5MPa（绝对压力），时间≥4h（具体处理时间随处理无种类和体积大小而设定）。</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）加热烘干产生的热蒸汽经废气处理系统后排出。</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）加热烘干产生的动物尸体残渣传输至压榨系统处理。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操作注意事项：</w:t>
      </w:r>
    </w:p>
    <w:p>
      <w:pPr>
        <w:pStyle w:val="8"/>
        <w:keepNext w:val="0"/>
        <w:keepLines w:val="0"/>
        <w:pageBreakBefore w:val="0"/>
        <w:widowControl w:val="0"/>
        <w:numPr>
          <w:ilvl w:val="0"/>
          <w:numId w:val="23"/>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搅拌系统的工作时间应以烘干剩余物基本不含水分为宜，根据处理物量的多少，适当延长或缩短搅拌时间。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）应使用合理的污水处理系统，有效去除有机物、氨氮、达到</w:t>
      </w:r>
      <w:r>
        <w:rPr>
          <w:rFonts w:hint="eastAsia"/>
          <w:sz w:val="24"/>
          <w:szCs w:val="24"/>
          <w:lang w:val="en-US" w:eastAsia="zh-CN"/>
        </w:rPr>
        <w:t>GB8978的要求。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）应使用合理的废气处理系统，有效吸收处理过程中动物尸体腐败产生的恶臭气体，达到</w:t>
      </w:r>
      <w:r>
        <w:rPr>
          <w:rFonts w:hint="eastAsia"/>
          <w:sz w:val="24"/>
          <w:szCs w:val="24"/>
          <w:lang w:val="en-US" w:eastAsia="zh-CN"/>
        </w:rPr>
        <w:t>GB16297要求后外排。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）高温高压灭菌容器操作人员应符合相关专业要求，持证上岗。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）处理结束后，需对墙面、地面及相关工具进行彻底清洗消毒。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lang w:val="en-US" w:eastAsia="zh-CN"/>
        </w:rPr>
      </w:pPr>
      <w:r>
        <w:rPr>
          <w:rFonts w:hint="eastAsia"/>
          <w:sz w:val="24"/>
          <w:szCs w:val="24"/>
          <w:lang w:eastAsia="zh-CN"/>
        </w:rPr>
        <w:t>根据本项目的实际情况，本项目不需要对动物尸体进行预处理，高温高压灭菌容器使用频率约为</w:t>
      </w:r>
      <w:r>
        <w:rPr>
          <w:rFonts w:hint="eastAsia"/>
          <w:sz w:val="24"/>
          <w:szCs w:val="24"/>
          <w:lang w:val="en-US" w:eastAsia="zh-CN"/>
        </w:rPr>
        <w:t>1次/1星期，能源为电。</w:t>
      </w:r>
    </w:p>
    <w:p>
      <w:pPr>
        <w:pStyle w:val="6"/>
      </w:pPr>
      <w:r>
        <w:rPr>
          <w:rFonts w:hint="eastAsia"/>
          <w:lang w:eastAsia="zh-CN"/>
        </w:rPr>
        <w:t>固体处理经济技术可行性分析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综上所述，本项目所产生的固废均能得到有效的处置，不会对环境产生影响。有机肥仓库、化制池、隔离间（危废暂存间）等建设费用约为</w:t>
      </w:r>
      <w:r>
        <w:rPr>
          <w:rFonts w:hint="eastAsia"/>
          <w:sz w:val="24"/>
          <w:szCs w:val="24"/>
          <w:lang w:val="en-US" w:eastAsia="zh-CN"/>
        </w:rPr>
        <w:t>25万元，占项目总投资的1.95%，占项目总投资的比例可接受。因此，本项目固废治理措施在经济和技术上是可行的。</w:t>
      </w:r>
    </w:p>
    <w:p>
      <w:pPr>
        <w:pStyle w:val="5"/>
        <w:ind w:firstLine="562"/>
      </w:pPr>
      <w:r>
        <w:rPr>
          <w:rFonts w:hint="eastAsia"/>
          <w:lang w:eastAsia="zh-CN"/>
        </w:rPr>
        <w:t xml:space="preserve">土壤环境防治措施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 xml:space="preserve">）项目外购的饲料均进行成分检测，确保其满足中华人民共和国农业行业标准《无公害食品生猪饲养饲料使用准则》（NY5032-2001），从源头控制重金属及微生物的允许量，确保饲料中不含兴奋剂、镇静剂和各种违禁药品，保证饲料的清洁性、营养性和安全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未腐熟或腐熟不够的有机肥，由于碳氮比(C/N)过高，土壤微生物难以分解，作物很难利用，而且新鲜的禽畜粪含盐较高，作物不但不吸收，还容易加剧地下害虫的危害。因此，粪便经过处理成为腐熟的有机肥再外售，禁止将未腐熟或腐熟不够的有机肥外售；</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）结合地下水污染防治措施建设，本项目在场地内污染区建设地面的防渗措施、泄漏污染物收集措施。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1）防渗措施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根据可能泄漏至地面区域污染物的性质和项目构建筑物的布局、构筑方式，将厂区进行防渗分区。对各池体等非可视部位可能发生渗漏进入地下水的区域，划分地下水重点防渗区，强化防渗、抗裂和抗震的设计和材料选择，建立防渗设施的检漏系统。</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2）防腐防渗设计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本项目对水处理的建、构筑物采用C30抗渗混凝土面层，抗渗等级S。</w:t>
      </w:r>
    </w:p>
    <w:p>
      <w:pPr>
        <w:pStyle w:val="8"/>
        <w:rPr>
          <w:rFonts w:hint="eastAsia"/>
        </w:rPr>
      </w:pPr>
      <w:r>
        <w:rPr>
          <w:rFonts w:hint="eastAsia"/>
          <w:sz w:val="24"/>
          <w:szCs w:val="24"/>
          <w:lang w:eastAsia="zh-CN"/>
        </w:rPr>
        <w:t>综上，通过以上工程和管理措施可有效防止土壤污染，措施可行。</w:t>
      </w:r>
    </w:p>
    <w:p>
      <w:pPr>
        <w:pStyle w:val="5"/>
        <w:ind w:firstLine="562"/>
      </w:pPr>
      <w:r>
        <w:rPr>
          <w:rFonts w:hint="eastAsia"/>
          <w:lang w:eastAsia="zh-CN"/>
        </w:rPr>
        <w:t xml:space="preserve">生态环境防治措施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厂区应制定绿化规划，实施全面绿化。结合各种生产设施的特点，种植高低相结合的乔灌木，形成隔离林带，防止污染扩散。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工程厂区周围应积极实施绿化防护林带建设，根据评价现场勘察，周边可利用地较多，具有建设绿化林带的条件，其林带宽度不少于20m。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加强绿化管理及职工素质教育，从根本上树立生态保护的整体形象。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严格保护厂址周边的树林生态系统，本项目不得向外扩张和多占土地，所有的设施和道路建设不能妨碍农田基本设施的正常运行和周边居民的正常的生产生活活动。 </w:t>
      </w:r>
    </w:p>
    <w:p>
      <w:pPr>
        <w:pStyle w:val="8"/>
        <w:rPr>
          <w:rFonts w:hint="eastAsia"/>
        </w:rPr>
      </w:pPr>
      <w:r>
        <w:rPr>
          <w:rFonts w:hint="eastAsia"/>
          <w:sz w:val="24"/>
          <w:szCs w:val="24"/>
          <w:lang w:eastAsia="zh-CN"/>
        </w:rPr>
        <w:t>（5）积极预防人为因素引起的环境生态破坏，降低环境风险，及时消除潜在的环境影响。让职工享有环境知情权，调动职工关心健康、预防污染、保护环境的自觉性，通过他们的生产操作消除环境隐患的威胁。</w:t>
      </w:r>
    </w:p>
    <w:p>
      <w:pPr>
        <w:pStyle w:val="5"/>
        <w:ind w:firstLine="562"/>
      </w:pPr>
      <w:r>
        <w:rPr>
          <w:rFonts w:hint="eastAsia"/>
          <w:lang w:eastAsia="zh-CN"/>
        </w:rPr>
        <w:t xml:space="preserve">养猪场猪病预防及防治措施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病预防总的原则是“预防为主、防重于治、无病先防，采取综合措施防患于未然”。猪病的预防措施主要包括加强饲养管理以提高机体抵抗力；利用药或其他预防措施阻止致病因素危害猪群。加强饲养管理应做到以下几点：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满足猪群机体需要，保证充足清洁的饮用水，定时提供充足的饲料。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搞好各猪舍内外的环境卫生，及时清除猪舍周围的杂草、粪便和垃圾。消灭老鼠及蚊蝇。饲料用具及饮水用具要保持清洁并定期消毒。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default" w:ascii="Times New Roman" w:hAnsi="Times New Roman" w:eastAsia="宋体" w:cs="Times New Roman"/>
          <w:sz w:val="24"/>
          <w:szCs w:val="24"/>
          <w:lang w:eastAsia="zh-CN"/>
        </w:rPr>
        <w:t>（3）根据地不同季节做好防寒防暑工作。保证适宜的饲养密度，以避免影响生长发育和生产性能。</w:t>
      </w:r>
      <w:r>
        <w:rPr>
          <w:rFonts w:hint="eastAsia"/>
          <w:sz w:val="24"/>
          <w:szCs w:val="24"/>
          <w:lang w:eastAsia="zh-CN"/>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猪瘟防疫是当前养猪业所面临的重大实际问题，也是控制猪瘟及消灭猪瘟的重要手段。具体做法是：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严格引猪检疫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为切断猪瘟传染机会，猪在入场前应做全面检疫，检疫合格后方可入场。猪群进场后应隔离观察，全面排除疾病后方可进入猪舍饲养。猪舍空出后，彻底消毒。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加强饲养管理，增强抗病能力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对仔猪要给予足够的营养，增强仔猪的非特异性免疫力和抗病能力，保持猪舍干燥、卫生，并注意夏季降温、冬季保暖。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加强防疫及检疫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一旦发生猪瘟后，要封锁疫点，禁止猪流动，病猪及相关物品应采取无害化处理。对未发病的猪，应立即以猪瘟弱毒疫苗（剂量可加大2~4倍）进行紧急预防接种，对猪舍、粪便和用具彻底彻底消毒，饲养用具每天消毒一次。 </w:t>
      </w:r>
    </w:p>
    <w:p>
      <w:pPr>
        <w:pStyle w:val="8"/>
        <w:rPr>
          <w:rFonts w:hint="eastAsia"/>
        </w:rPr>
      </w:pPr>
      <w:r>
        <w:rPr>
          <w:rFonts w:hint="eastAsia"/>
          <w:sz w:val="24"/>
          <w:szCs w:val="24"/>
          <w:lang w:eastAsia="zh-CN"/>
        </w:rPr>
        <w:t xml:space="preserve"> （</w:t>
      </w:r>
      <w:r>
        <w:rPr>
          <w:rFonts w:hint="eastAsia"/>
          <w:sz w:val="24"/>
          <w:szCs w:val="24"/>
          <w:lang w:val="en-US" w:eastAsia="zh-CN"/>
        </w:rPr>
        <w:t>4</w:t>
      </w:r>
      <w:r>
        <w:rPr>
          <w:rFonts w:hint="eastAsia"/>
          <w:sz w:val="24"/>
          <w:szCs w:val="24"/>
          <w:lang w:eastAsia="zh-CN"/>
        </w:rPr>
        <w:t>）养殖基地建设围墙、防疫沟及绿化隔离带。</w:t>
      </w:r>
    </w:p>
    <w:p>
      <w:pPr>
        <w:pStyle w:val="4"/>
      </w:pPr>
      <w:bookmarkStart w:id="81" w:name="_Toc28251"/>
      <w:bookmarkStart w:id="82" w:name="_Toc19719"/>
      <w:r>
        <w:rPr>
          <w:rFonts w:hint="eastAsia"/>
          <w:lang w:eastAsia="zh-CN"/>
        </w:rPr>
        <w:t>环保投资估算</w:t>
      </w:r>
      <w:bookmarkEnd w:id="81"/>
      <w:bookmarkEnd w:id="82"/>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auto"/>
          <w:sz w:val="24"/>
          <w:szCs w:val="24"/>
          <w:lang w:eastAsia="zh-CN"/>
        </w:rPr>
      </w:pPr>
      <w:r>
        <w:rPr>
          <w:rFonts w:hint="eastAsia"/>
          <w:color w:val="auto"/>
          <w:sz w:val="24"/>
          <w:szCs w:val="24"/>
          <w:lang w:eastAsia="zh-CN"/>
        </w:rPr>
        <w:t>本项目建设完成后，工程污染防治投资估算表见下表</w:t>
      </w:r>
      <w:r>
        <w:rPr>
          <w:rFonts w:hint="eastAsia"/>
          <w:color w:val="auto"/>
          <w:sz w:val="24"/>
          <w:szCs w:val="24"/>
          <w:lang w:val="en-US" w:eastAsia="zh-CN"/>
        </w:rPr>
        <w:t>7</w:t>
      </w:r>
      <w:r>
        <w:rPr>
          <w:rFonts w:hint="eastAsia"/>
          <w:color w:val="auto"/>
          <w:sz w:val="24"/>
          <w:szCs w:val="24"/>
          <w:lang w:eastAsia="zh-CN"/>
        </w:rPr>
        <w:t>.3-1。项目总投资</w:t>
      </w:r>
      <w:r>
        <w:rPr>
          <w:rFonts w:hint="eastAsia"/>
          <w:color w:val="auto"/>
          <w:sz w:val="24"/>
          <w:szCs w:val="24"/>
          <w:lang w:val="en-US" w:eastAsia="zh-CN"/>
        </w:rPr>
        <w:t>1800</w:t>
      </w:r>
      <w:r>
        <w:rPr>
          <w:rFonts w:hint="eastAsia"/>
          <w:color w:val="auto"/>
          <w:sz w:val="24"/>
          <w:szCs w:val="24"/>
          <w:lang w:eastAsia="zh-CN"/>
        </w:rPr>
        <w:t>万元，其中施工期和营运期环保投资约</w:t>
      </w:r>
      <w:r>
        <w:rPr>
          <w:rFonts w:hint="eastAsia"/>
          <w:color w:val="auto"/>
          <w:sz w:val="24"/>
          <w:szCs w:val="24"/>
          <w:lang w:val="en-US" w:eastAsia="zh-CN"/>
        </w:rPr>
        <w:t>106</w:t>
      </w:r>
      <w:r>
        <w:rPr>
          <w:rFonts w:hint="eastAsia"/>
          <w:color w:val="auto"/>
          <w:sz w:val="24"/>
          <w:szCs w:val="24"/>
          <w:lang w:eastAsia="zh-CN"/>
        </w:rPr>
        <w:t>万元，占总投资比例</w:t>
      </w:r>
      <w:r>
        <w:rPr>
          <w:rFonts w:hint="eastAsia"/>
          <w:color w:val="auto"/>
          <w:sz w:val="24"/>
          <w:szCs w:val="24"/>
          <w:lang w:val="en-US" w:eastAsia="zh-CN"/>
        </w:rPr>
        <w:t>8.28</w:t>
      </w:r>
      <w:r>
        <w:rPr>
          <w:rFonts w:hint="eastAsia"/>
          <w:color w:val="auto"/>
          <w:sz w:val="24"/>
          <w:szCs w:val="24"/>
          <w:lang w:eastAsia="zh-CN"/>
        </w:rPr>
        <w:t>%，资金来自建设单位自筹，项目环保投资估算见表</w:t>
      </w:r>
      <w:r>
        <w:rPr>
          <w:rFonts w:hint="eastAsia"/>
          <w:color w:val="auto"/>
          <w:sz w:val="24"/>
          <w:szCs w:val="24"/>
          <w:lang w:val="en-US" w:eastAsia="zh-CN"/>
        </w:rPr>
        <w:t>7</w:t>
      </w:r>
      <w:r>
        <w:rPr>
          <w:rFonts w:hint="eastAsia"/>
          <w:color w:val="auto"/>
          <w:sz w:val="24"/>
          <w:szCs w:val="24"/>
          <w:lang w:eastAsia="zh-CN"/>
        </w:rPr>
        <w:t xml:space="preserve">.3-1。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7.3-1   工程污染防治投资估算表</w:t>
      </w:r>
      <w:r>
        <w:rPr>
          <w:rFonts w:hint="eastAsia" w:ascii="Times New Roman" w:hAnsi="Times New Roman" w:eastAsia="宋体" w:cs="Times New Roman"/>
          <w:b/>
          <w:bCs/>
          <w:sz w:val="21"/>
          <w:szCs w:val="21"/>
          <w:lang w:val="en-US" w:eastAsia="zh-CN"/>
        </w:rPr>
        <w:t xml:space="preserve">   单位：万元</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0"/>
        <w:gridCol w:w="1073"/>
        <w:gridCol w:w="2123"/>
        <w:gridCol w:w="3447"/>
        <w:gridCol w:w="120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43" w:type="dxa"/>
            <w:gridSpan w:val="2"/>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项目</w:t>
            </w:r>
          </w:p>
        </w:tc>
        <w:tc>
          <w:tcPr>
            <w:tcW w:w="2123"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3447"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环保设施及规模</w:t>
            </w:r>
          </w:p>
        </w:tc>
        <w:tc>
          <w:tcPr>
            <w:tcW w:w="1209"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环保投资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施工期</w:t>
            </w:r>
          </w:p>
        </w:tc>
        <w:tc>
          <w:tcPr>
            <w:tcW w:w="107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洒水降尘错时</w:t>
            </w:r>
          </w:p>
        </w:tc>
        <w:tc>
          <w:tcPr>
            <w:tcW w:w="1209" w:type="dxa"/>
            <w:tcBorders>
              <w:top w:val="single" w:color="auto" w:sz="12" w:space="0"/>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设置沉砂池、临时排水沟等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施工人员</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临时化粪池</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建筑垃圾</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营运期</w:t>
            </w: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机械通风、饲料添加益生菌等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污水处理厂恶臭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绿化、喷洒除臭剂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val="en-US" w:eastAsia="zh-CN"/>
              </w:rPr>
              <w:t>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无害化处理车间恶臭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采用密闭车间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厨房油烟</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油烟净化器</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污水收集管网</w:t>
            </w:r>
          </w:p>
        </w:tc>
        <w:tc>
          <w:tcPr>
            <w:tcW w:w="1209" w:type="dxa"/>
            <w:vMerge w:val="restart"/>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污水处理设施，处理能力</w:t>
            </w:r>
            <w:r>
              <w:rPr>
                <w:rFonts w:hint="eastAsia" w:cs="Times New Roman"/>
                <w:sz w:val="21"/>
                <w:szCs w:val="21"/>
                <w:vertAlign w:val="baseline"/>
                <w:lang w:val="en-US" w:eastAsia="zh-CN"/>
              </w:rPr>
              <w:t>6</w:t>
            </w:r>
            <w:r>
              <w:rPr>
                <w:rFonts w:hint="default" w:ascii="Times New Roman" w:hAnsi="Times New Roman" w:eastAsia="宋体" w:cs="Times New Roman"/>
                <w:sz w:val="21"/>
                <w:szCs w:val="21"/>
                <w:vertAlign w:val="baseline"/>
                <w:lang w:val="en-US" w:eastAsia="zh-CN"/>
              </w:rPr>
              <w:t>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/d</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地下水防渗措施</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化粪池</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处理生活污水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场区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雨水收集管网</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噪声治理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固液分离机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隔声罩</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各类风机、泵机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减震垫</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机械清粪机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病死猪无害化处理机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隔离间（危废暂存间）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生活垃圾</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送环卫部门处理</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313" w:type="dxa"/>
            <w:gridSpan w:val="4"/>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合计</w:t>
            </w:r>
          </w:p>
        </w:tc>
        <w:tc>
          <w:tcPr>
            <w:tcW w:w="1209"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9"/>
      </w:pPr>
    </w:p>
    <w:p>
      <w:pPr>
        <w:pStyle w:val="9"/>
      </w:pPr>
    </w:p>
    <w:p>
      <w:pPr>
        <w:pStyle w:val="3"/>
        <w:jc w:val="center"/>
      </w:pPr>
      <w:bookmarkStart w:id="83" w:name="_Toc14357"/>
      <w:bookmarkStart w:id="84" w:name="_Toc2434"/>
      <w:r>
        <w:rPr>
          <w:rFonts w:hint="eastAsia"/>
          <w:lang w:eastAsia="zh-CN"/>
        </w:rPr>
        <w:t>清洁生产</w:t>
      </w:r>
      <w:bookmarkEnd w:id="83"/>
      <w:bookmarkEnd w:id="84"/>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清洁生产即是指既可满足人们的需要，又可合理使用资源和能源，并保护环境的生产方法和措施。主要包括生产过程和产品两方面。</w:t>
      </w:r>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实行清洁生产是全球可持续发展战略的要求，是控制环境污染的有效手段。这是改变过去被动、滞后的污染控制手段为全过程污染控制的主动行动，可降低末端处理的负担。清洁生产技术的应用不仅对环境有利，而且能提高产品质量，降低生产成本，提高劳动生产率，从而提高企业的市场竞争能力。这就要求企业在产品方案选择、原材料使用、生产工艺确定、加强生产管理等方面实行清洁生产，并结合节能节水、废弃物综合利用及末端治理等措施，使工业发展对周围环境可能造成的影响降至最低。</w:t>
      </w:r>
    </w:p>
    <w:p>
      <w:pPr>
        <w:pStyle w:val="4"/>
        <w:rPr>
          <w:rFonts w:hint="eastAsia"/>
        </w:rPr>
      </w:pPr>
      <w:bookmarkStart w:id="85" w:name="_Toc14650"/>
      <w:bookmarkStart w:id="86" w:name="_Toc19345"/>
      <w:bookmarkStart w:id="87" w:name="_Toc13534"/>
      <w:bookmarkStart w:id="88" w:name="_Toc26772"/>
      <w:bookmarkStart w:id="89" w:name="_Toc161"/>
      <w:bookmarkStart w:id="90" w:name="_Toc9272"/>
      <w:r>
        <w:rPr>
          <w:rFonts w:hint="eastAsia"/>
        </w:rPr>
        <w:t>拟建项目清洁生产分析</w:t>
      </w:r>
      <w:bookmarkEnd w:id="85"/>
      <w:bookmarkEnd w:id="86"/>
      <w:bookmarkEnd w:id="87"/>
      <w:bookmarkEnd w:id="88"/>
      <w:bookmarkEnd w:id="89"/>
      <w:bookmarkEnd w:id="90"/>
    </w:p>
    <w:p>
      <w:pPr>
        <w:pStyle w:val="5"/>
        <w:ind w:firstLine="562"/>
        <w:rPr>
          <w:rFonts w:hint="eastAsia"/>
          <w:lang w:eastAsia="zh-CN"/>
        </w:rPr>
      </w:pPr>
      <w:r>
        <w:rPr>
          <w:rFonts w:hint="eastAsia"/>
          <w:lang w:eastAsia="zh-CN"/>
        </w:rPr>
        <w:t>清洁生产要素</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本工程考虑清洁生产原则如下：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）高的产品水平、工艺技术装备水平。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）使用低毒的原料。</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）节能、节水。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）控制水、气污染物排放量，做好固体废弃物的处置/处理工作。</w:t>
      </w:r>
    </w:p>
    <w:p>
      <w:pPr>
        <w:pStyle w:val="5"/>
        <w:ind w:firstLine="562"/>
        <w:rPr>
          <w:rFonts w:hint="eastAsia"/>
          <w:lang w:eastAsia="zh-CN"/>
        </w:rPr>
      </w:pPr>
      <w:r>
        <w:rPr>
          <w:rFonts w:hint="eastAsia"/>
          <w:lang w:eastAsia="zh-CN"/>
        </w:rPr>
        <w:t>清洁生产水分析指标</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根据清洁生产分析工作等级划分原则，该建设项目环境影响评价中清洁生产分析工作等级为三级。分别是：</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一级：国际清洁生产先进水平；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二级：国内清洁生产先进水平；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三级：国内清洁生产基本水平。</w:t>
      </w:r>
    </w:p>
    <w:p>
      <w:pPr>
        <w:pStyle w:val="4"/>
        <w:rPr>
          <w:rFonts w:hint="eastAsia"/>
        </w:rPr>
      </w:pPr>
      <w:bookmarkStart w:id="91" w:name="_Toc22104"/>
      <w:bookmarkStart w:id="92" w:name="_Toc9796"/>
      <w:r>
        <w:rPr>
          <w:rFonts w:hint="eastAsia"/>
        </w:rPr>
        <w:t>清洁生产评价与分析</w:t>
      </w:r>
      <w:bookmarkEnd w:id="91"/>
      <w:bookmarkEnd w:id="92"/>
    </w:p>
    <w:p>
      <w:pPr>
        <w:pStyle w:val="5"/>
        <w:ind w:firstLine="562"/>
        <w:rPr>
          <w:rFonts w:hint="eastAsia"/>
          <w:lang w:eastAsia="zh-CN"/>
        </w:rPr>
      </w:pPr>
      <w:r>
        <w:rPr>
          <w:rFonts w:hint="eastAsia"/>
          <w:lang w:eastAsia="zh-CN"/>
        </w:rPr>
        <w:t>猪肉产品质量控制</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项目根据不同阶段生猪的营养要求，按照营养专家提供的配方，提供生猪采食的商品猪饲料供给全价配合饲料，保证了生猪饲料营养均衡，能够满足《猪饲养标准》（NY/T65-2004）的相关要求。</w:t>
      </w:r>
    </w:p>
    <w:p>
      <w:pPr>
        <w:pStyle w:val="5"/>
        <w:ind w:firstLine="562"/>
        <w:rPr>
          <w:rFonts w:hint="eastAsia"/>
          <w:lang w:eastAsia="zh-CN"/>
        </w:rPr>
      </w:pPr>
      <w:r>
        <w:rPr>
          <w:rFonts w:hint="eastAsia"/>
          <w:lang w:eastAsia="zh-CN"/>
        </w:rPr>
        <w:t>原辅材料及能源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原材料的清洁生产指标主要从原材料的毒性、生态影响、可再生性、能源强度以及可回收利用这五个方面建立指标。从清洁生产角度分析，其最终表征为饲料配比(即消耗量的多少、利用率的高低)、生长速度等方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饲料公司配套饲料厂生产供应，饲料供给全价配合饲料，并且工程配套建设有全自动给料系统，采用电脑自动程序控制，利用料塔存料，通过空心绞龙输送机，在规定的时间将饲料输送至每个猪舍，管理上能够实现饲料的充分利用，减少资源浪费和废物的产生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资源利用方面，猪舍设置自动饮水器改变了饮水与饲料喂养合槽的传统方式，饮水与饲料分开，大量节约了水资源和提高了饲料的利用率，有效减少了污染物的排放。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先进的饲养技术和设备，不仅能够有效提高饲料等资源的利用率和报酬率。而且能够有效减轻养殖污染物的产生，减少项目污染物末端治理费用，降低养殖成本。</w:t>
      </w:r>
    </w:p>
    <w:p>
      <w:pPr>
        <w:pStyle w:val="5"/>
        <w:ind w:firstLine="562"/>
        <w:rPr>
          <w:rFonts w:hint="eastAsia"/>
          <w:lang w:eastAsia="zh-CN"/>
        </w:rPr>
      </w:pPr>
      <w:r>
        <w:rPr>
          <w:rFonts w:hint="eastAsia"/>
          <w:lang w:eastAsia="zh-CN"/>
        </w:rPr>
        <w:t>养殖过程与饲养方式</w:t>
      </w:r>
    </w:p>
    <w:p>
      <w:pPr>
        <w:pStyle w:val="296"/>
        <w:ind w:firstLine="482"/>
        <w:rPr>
          <w:rFonts w:hint="eastAsia" w:ascii="Times New Roman" w:hAnsi="Arial" w:cs="Times New Roman"/>
          <w:b/>
          <w:bCs/>
          <w:sz w:val="24"/>
          <w:szCs w:val="24"/>
        </w:rPr>
      </w:pPr>
      <w:r>
        <w:rPr>
          <w:rFonts w:hint="eastAsia" w:ascii="Times New Roman" w:hAnsi="Arial" w:cs="Times New Roman"/>
          <w:b/>
          <w:bCs/>
          <w:sz w:val="24"/>
          <w:szCs w:val="24"/>
        </w:rPr>
        <w:t>（1）清粪工艺</w:t>
      </w:r>
    </w:p>
    <w:p>
      <w:pPr>
        <w:spacing w:line="500" w:lineRule="exact"/>
        <w:ind w:firstLine="480" w:firstLineChars="200"/>
        <w:jc w:val="left"/>
        <w:rPr>
          <w:rFonts w:hint="eastAsia"/>
          <w:bCs/>
          <w:sz w:val="24"/>
        </w:rPr>
      </w:pPr>
      <w:r>
        <w:rPr>
          <w:rFonts w:hint="eastAsia"/>
          <w:bCs/>
          <w:sz w:val="24"/>
        </w:rPr>
        <w:t>猪场清粪和粪污处理是猪场重要工艺，本项目广泛参考国内外经验，采用干清粪工艺，该工艺冲栏废水冬季1.2m</w:t>
      </w:r>
      <w:r>
        <w:rPr>
          <w:rFonts w:hint="eastAsia"/>
          <w:bCs/>
          <w:sz w:val="24"/>
          <w:vertAlign w:val="superscript"/>
        </w:rPr>
        <w:t>3</w:t>
      </w:r>
      <w:r>
        <w:rPr>
          <w:rFonts w:hint="eastAsia"/>
          <w:bCs/>
          <w:sz w:val="24"/>
        </w:rPr>
        <w:t>/百头·d，夏季1.8m</w:t>
      </w:r>
      <w:r>
        <w:rPr>
          <w:rFonts w:hint="eastAsia"/>
          <w:bCs/>
          <w:sz w:val="24"/>
          <w:vertAlign w:val="superscript"/>
        </w:rPr>
        <w:t>3</w:t>
      </w:r>
      <w:r>
        <w:rPr>
          <w:rFonts w:hint="eastAsia"/>
          <w:bCs/>
          <w:sz w:val="24"/>
        </w:rPr>
        <w:t>/百头·d，比水冲粪工艺用水量（平均每天2.5~3.5m</w:t>
      </w:r>
      <w:r>
        <w:rPr>
          <w:rFonts w:hint="eastAsia"/>
          <w:bCs/>
          <w:sz w:val="24"/>
          <w:vertAlign w:val="superscript"/>
        </w:rPr>
        <w:t>3</w:t>
      </w:r>
      <w:r>
        <w:rPr>
          <w:rFonts w:hint="eastAsia"/>
          <w:bCs/>
          <w:sz w:val="24"/>
        </w:rPr>
        <w:t>）减少50%以上，不仅节约了水资源，同时还减少了污水的排放量，从源头上对污染物的产生量进行了控制，充分体现了清洁生产的原则。项目清粪工艺日产日清，满足《畜禽养殖业污染防治技术规范》（HJ/t81-2001）和《畜禽养殖业污染治理工程技术规范》（HJ497-2009）要求，能够及时、有效的清除猪舍内的尿液及粪便。</w:t>
      </w:r>
    </w:p>
    <w:p>
      <w:pPr>
        <w:spacing w:line="500" w:lineRule="exact"/>
        <w:ind w:firstLine="482" w:firstLineChars="200"/>
        <w:jc w:val="left"/>
        <w:rPr>
          <w:rFonts w:hint="eastAsia"/>
          <w:b/>
          <w:sz w:val="24"/>
        </w:rPr>
      </w:pPr>
      <w:r>
        <w:rPr>
          <w:rFonts w:hint="eastAsia"/>
          <w:b/>
          <w:sz w:val="24"/>
        </w:rPr>
        <w:t>（2）恶臭污染物控制</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eastAsia"/>
          <w:bCs/>
          <w:sz w:val="24"/>
        </w:rPr>
        <w:t>养殖过程中，猪舍采取冲洗、饲料中添加抑臭菌、喷洒除臭剂等措施，有效减少恶臭气体对周边环境的影响；对于堆粪场采取喷洒除臭剂来减少恶臭气体对环境的影响；对产生恶臭的猪舍、</w:t>
      </w:r>
      <w:r>
        <w:rPr>
          <w:rFonts w:hint="eastAsia"/>
          <w:bCs/>
          <w:sz w:val="24"/>
          <w:lang w:eastAsia="zh-CN"/>
        </w:rPr>
        <w:t>污水处理设施及异位发酵床</w:t>
      </w:r>
      <w:r>
        <w:rPr>
          <w:rFonts w:hint="eastAsia"/>
          <w:bCs/>
          <w:sz w:val="24"/>
        </w:rPr>
        <w:t>采用</w:t>
      </w:r>
      <w:r>
        <w:rPr>
          <w:rFonts w:hint="eastAsia"/>
          <w:bCs/>
          <w:sz w:val="24"/>
          <w:lang w:eastAsia="zh-CN"/>
        </w:rPr>
        <w:t>生物除臭剂去除</w:t>
      </w:r>
      <w:r>
        <w:rPr>
          <w:rFonts w:hint="eastAsia"/>
          <w:bCs/>
          <w:sz w:val="24"/>
        </w:rPr>
        <w:t>恶臭，另外加强厂区的绿化。</w:t>
      </w:r>
    </w:p>
    <w:p>
      <w:pPr>
        <w:spacing w:line="500" w:lineRule="exact"/>
        <w:ind w:firstLine="482" w:firstLineChars="200"/>
        <w:jc w:val="left"/>
        <w:rPr>
          <w:rFonts w:hint="eastAsia"/>
          <w:b/>
          <w:sz w:val="24"/>
        </w:rPr>
      </w:pPr>
      <w:r>
        <w:rPr>
          <w:rFonts w:hint="eastAsia"/>
          <w:b/>
          <w:sz w:val="24"/>
        </w:rPr>
        <w:t>（3）废水利用</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和附近林地灌溉</w:t>
      </w:r>
      <w:r>
        <w:rPr>
          <w:rFonts w:hint="eastAsia" w:ascii="Times New Roman" w:hAnsi="Times New Roman" w:cs="Times New Roman"/>
          <w:color w:val="auto"/>
          <w:sz w:val="24"/>
          <w:lang w:val="en-US" w:eastAsia="zh-CN"/>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该方法既降低了企业废水处理成本，提高企业的经济效益，在减少污染物排放的同时，又做到了废水资源化利用。</w:t>
      </w:r>
    </w:p>
    <w:p>
      <w:pPr>
        <w:pStyle w:val="5"/>
        <w:ind w:firstLine="562"/>
        <w:rPr>
          <w:rFonts w:hint="eastAsia"/>
          <w:lang w:eastAsia="zh-CN"/>
        </w:rPr>
      </w:pPr>
      <w:r>
        <w:rPr>
          <w:rFonts w:hint="eastAsia"/>
          <w:lang w:eastAsia="zh-CN"/>
        </w:rPr>
        <w:t>饲养管理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运进的猪在验收前，严格进行健康体检，患有严重疾病的猪应该严格入舍，健康猪入舍前，首先要称重，然后按照体重、年龄及营养状况分为若干组，并对每头猪进行编号。饲养人员要细心观察猪的采食、饮水、粪便、精神状态等情况，发现异常及时采取治疗措施。</w:t>
      </w:r>
    </w:p>
    <w:p>
      <w:pPr>
        <w:pStyle w:val="5"/>
        <w:ind w:firstLine="562"/>
        <w:rPr>
          <w:rFonts w:hint="eastAsia"/>
          <w:lang w:eastAsia="zh-CN"/>
        </w:rPr>
      </w:pPr>
      <w:r>
        <w:rPr>
          <w:rFonts w:hint="eastAsia"/>
          <w:lang w:eastAsia="zh-CN"/>
        </w:rPr>
        <w:t>节水节能降耗措施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项目采用干清粪工艺，水消耗量很小，养猪的卫生条件要求很高，清洁度及防疫要求很严，猪舍在干清分离后清洗消毒时利用高压水清洗设施对猪舍、饲料槽及地面等进行清洗，利用高压喷雾器定期对猪舍喷洒生物消毒制剂，主要是为了保证猪舍的卫生防疫，且节约用水，降低能耗。</w:t>
      </w:r>
    </w:p>
    <w:p>
      <w:pPr>
        <w:pStyle w:val="5"/>
        <w:ind w:firstLine="562"/>
        <w:rPr>
          <w:rFonts w:hint="eastAsia"/>
          <w:lang w:eastAsia="zh-CN"/>
        </w:rPr>
      </w:pPr>
      <w:r>
        <w:rPr>
          <w:rFonts w:hint="eastAsia"/>
          <w:lang w:eastAsia="zh-CN"/>
        </w:rPr>
        <w:t>废物产生及回收利用分析</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eastAsia="宋体" w:cs="Times New Roman"/>
          <w:sz w:val="24"/>
          <w:szCs w:val="24"/>
          <w:lang w:eastAsia="zh-CN"/>
        </w:rPr>
        <w:t>项目为了最大限度地防止污染物排放在环境中，猪舍采用干清粪工艺，</w:t>
      </w:r>
      <w:r>
        <w:rPr>
          <w:rFonts w:hint="default" w:ascii="Times New Roman" w:hAnsi="Times New Roman" w:eastAsia="宋体" w:cs="Times New Roman"/>
          <w:sz w:val="24"/>
          <w:szCs w:val="24"/>
          <w:lang w:val="en-US" w:eastAsia="zh-CN"/>
        </w:rPr>
        <w:t>生产废水与猪粪污一起经异位发酵床工艺处理后制成有机肥料外售，</w:t>
      </w:r>
      <w:r>
        <w:rPr>
          <w:rFonts w:hint="default" w:ascii="Times New Roman" w:hAnsi="Times New Roman" w:eastAsia="宋体" w:cs="Times New Roman"/>
          <w:color w:val="auto"/>
          <w:sz w:val="24"/>
          <w:lang w:val="en-US" w:eastAsia="zh-CN"/>
        </w:rPr>
        <w:t>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default" w:ascii="Times New Roman" w:hAnsi="Times New Roman" w:eastAsia="宋体" w:cs="Times New Roman"/>
          <w:sz w:val="24"/>
          <w:szCs w:val="24"/>
          <w:lang w:val="en-US" w:eastAsia="zh-CN"/>
        </w:rPr>
        <w:t>不外排。</w:t>
      </w:r>
      <w:r>
        <w:rPr>
          <w:rFonts w:hint="default" w:ascii="Times New Roman" w:hAnsi="Times New Roman" w:eastAsia="宋体" w:cs="Times New Roman"/>
          <w:sz w:val="24"/>
          <w:szCs w:val="24"/>
          <w:lang w:eastAsia="zh-CN"/>
        </w:rPr>
        <w:t>项目营运期间污染物产生情况及防治措施见表</w:t>
      </w:r>
      <w:r>
        <w:rPr>
          <w:rFonts w:hint="default" w:ascii="Times New Roman" w:hAnsi="Times New Roman" w:eastAsia="宋体" w:cs="Times New Roman"/>
          <w:sz w:val="24"/>
          <w:szCs w:val="24"/>
          <w:lang w:val="en-US" w:eastAsia="zh-CN"/>
        </w:rPr>
        <w:t>8.2</w:t>
      </w:r>
      <w:r>
        <w:rPr>
          <w:rFonts w:hint="default" w:ascii="Times New Roman" w:hAnsi="Times New Roman" w:eastAsia="宋体" w:cs="Times New Roman"/>
          <w:sz w:val="24"/>
          <w:szCs w:val="24"/>
          <w:lang w:eastAsia="zh-CN"/>
        </w:rPr>
        <w:t>-1</w:t>
      </w: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r>
        <w:rPr>
          <w:rFonts w:hint="eastAsia"/>
          <w:b/>
          <w:sz w:val="21"/>
          <w:szCs w:val="21"/>
        </w:rPr>
        <w:t>表</w:t>
      </w:r>
      <w:r>
        <w:rPr>
          <w:rFonts w:hint="eastAsia"/>
          <w:b/>
          <w:sz w:val="21"/>
          <w:szCs w:val="21"/>
          <w:lang w:val="en-US" w:eastAsia="zh-CN"/>
        </w:rPr>
        <w:t>8.2</w:t>
      </w:r>
      <w:r>
        <w:rPr>
          <w:rFonts w:hint="eastAsia"/>
          <w:b/>
          <w:sz w:val="21"/>
          <w:szCs w:val="21"/>
        </w:rPr>
        <w:t>-1  主要污染物产生情况一览表</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170"/>
        <w:gridCol w:w="1860"/>
        <w:gridCol w:w="4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tcBorders>
              <w:top w:val="single" w:color="auto" w:sz="12" w:space="0"/>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工艺</w:t>
            </w:r>
          </w:p>
        </w:tc>
        <w:tc>
          <w:tcPr>
            <w:tcW w:w="117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工段</w:t>
            </w:r>
          </w:p>
        </w:tc>
        <w:tc>
          <w:tcPr>
            <w:tcW w:w="186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主要污染物</w:t>
            </w:r>
          </w:p>
        </w:tc>
        <w:tc>
          <w:tcPr>
            <w:tcW w:w="4426" w:type="dxa"/>
            <w:tcBorders>
              <w:top w:val="single" w:color="auto" w:sz="12" w:space="0"/>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restart"/>
            <w:tcBorders>
              <w:top w:val="single" w:color="auto" w:sz="12" w:space="0"/>
              <w:lef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生猪养殖</w:t>
            </w:r>
          </w:p>
        </w:tc>
        <w:tc>
          <w:tcPr>
            <w:tcW w:w="117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养殖过程</w:t>
            </w:r>
          </w:p>
        </w:tc>
        <w:tc>
          <w:tcPr>
            <w:tcW w:w="186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恶臭（NH</w:t>
            </w:r>
            <w:r>
              <w:rPr>
                <w:rFonts w:hint="eastAsia" w:ascii="Times New Roman" w:hAnsi="Times New Roman"/>
                <w:color w:val="auto"/>
                <w:sz w:val="21"/>
                <w:szCs w:val="21"/>
                <w:vertAlign w:val="subscript"/>
              </w:rPr>
              <w:t>3</w:t>
            </w:r>
            <w:r>
              <w:rPr>
                <w:rFonts w:hint="eastAsia" w:ascii="Times New Roman" w:hAnsi="Times New Roman"/>
                <w:color w:val="auto"/>
                <w:sz w:val="21"/>
                <w:szCs w:val="21"/>
              </w:rPr>
              <w:t>，H</w:t>
            </w:r>
            <w:r>
              <w:rPr>
                <w:rFonts w:hint="eastAsia" w:ascii="Times New Roman" w:hAnsi="Times New Roman"/>
                <w:color w:val="auto"/>
                <w:sz w:val="21"/>
                <w:szCs w:val="21"/>
                <w:vertAlign w:val="subscript"/>
              </w:rPr>
              <w:t>2</w:t>
            </w:r>
            <w:r>
              <w:rPr>
                <w:rFonts w:hint="eastAsia" w:ascii="Times New Roman" w:hAnsi="Times New Roman"/>
                <w:color w:val="auto"/>
                <w:sz w:val="21"/>
                <w:szCs w:val="21"/>
              </w:rPr>
              <w:t>S）</w:t>
            </w:r>
          </w:p>
        </w:tc>
        <w:tc>
          <w:tcPr>
            <w:tcW w:w="4426" w:type="dxa"/>
            <w:tcBorders>
              <w:top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及时清理，生物除臭附等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清理猪舍</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p>
        </w:tc>
        <w:tc>
          <w:tcPr>
            <w:tcW w:w="4426" w:type="dxa"/>
            <w:vMerge w:val="restart"/>
            <w:tcBorders>
              <w:right w:val="nil"/>
            </w:tcBorders>
            <w:noWrap w:val="0"/>
            <w:vAlign w:val="center"/>
          </w:tcPr>
          <w:p>
            <w:pPr>
              <w:jc w:val="cente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r>
              <w:rPr>
                <w:rFonts w:hint="eastAsia"/>
                <w:lang w:val="en-US" w:eastAsia="zh-CN"/>
              </w:rPr>
              <w:t>与猪粪污一起经异位发酵床工艺处理后制成有机肥料外售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猪粪</w:t>
            </w:r>
          </w:p>
        </w:tc>
        <w:tc>
          <w:tcPr>
            <w:tcW w:w="4426" w:type="dxa"/>
            <w:vMerge w:val="continue"/>
            <w:tcBorders>
              <w:right w:val="nil"/>
            </w:tcBorders>
            <w:noWrap w:val="0"/>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猪只饲养</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猪尿</w:t>
            </w:r>
          </w:p>
        </w:tc>
        <w:tc>
          <w:tcPr>
            <w:tcW w:w="4426" w:type="dxa"/>
            <w:vMerge w:val="continue"/>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病死猪</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无害化处理理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医疗废物</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送资质单位处理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设备运行</w:t>
            </w:r>
          </w:p>
        </w:tc>
        <w:tc>
          <w:tcPr>
            <w:tcW w:w="186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噪声</w:t>
            </w:r>
          </w:p>
        </w:tc>
        <w:tc>
          <w:tcPr>
            <w:tcW w:w="4426" w:type="dxa"/>
            <w:tcBorders>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基座减振、厂房隔音、绿化带降噪</w:t>
            </w:r>
          </w:p>
        </w:tc>
      </w:tr>
    </w:tbl>
    <w:p>
      <w:pPr>
        <w:spacing w:line="500" w:lineRule="exact"/>
        <w:ind w:firstLine="480" w:firstLineChars="200"/>
        <w:jc w:val="left"/>
        <w:rPr>
          <w:rFonts w:hint="eastAsia"/>
          <w:bCs/>
          <w:sz w:val="24"/>
        </w:rPr>
      </w:pPr>
      <w:r>
        <w:rPr>
          <w:rFonts w:hint="eastAsia"/>
          <w:bCs/>
          <w:sz w:val="24"/>
        </w:rPr>
        <w:t>根据上述分析，项目营运期间产生的污染物均得以有效处理，资源回收利用指标满足清洁生产要求。</w:t>
      </w:r>
    </w:p>
    <w:p>
      <w:pPr>
        <w:pStyle w:val="4"/>
        <w:rPr>
          <w:rFonts w:hint="eastAsia"/>
        </w:rPr>
      </w:pPr>
      <w:bookmarkStart w:id="93" w:name="_Toc31185"/>
      <w:bookmarkStart w:id="94" w:name="_Toc8461"/>
      <w:r>
        <w:rPr>
          <w:rFonts w:hint="eastAsia"/>
        </w:rPr>
        <w:t>清洁生产管理要求</w:t>
      </w:r>
      <w:bookmarkEnd w:id="93"/>
      <w:bookmarkEnd w:id="94"/>
    </w:p>
    <w:p>
      <w:pPr>
        <w:pStyle w:val="5"/>
        <w:ind w:firstLine="562"/>
        <w:rPr>
          <w:rFonts w:hint="eastAsia"/>
          <w:lang w:eastAsia="zh-CN"/>
        </w:rPr>
      </w:pPr>
      <w:r>
        <w:rPr>
          <w:rFonts w:hint="eastAsia"/>
          <w:lang w:eastAsia="zh-CN"/>
        </w:rPr>
        <w:t>清洁生产、生产管理和环境管理一体</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将清洁生产管理制度和环境管理体系认证纳入生产管理和环境保护管理制度中，在实施清洁生产过程中将制度不断加以完善，其制度的宗旨是保证生产过程中合理利用水资源、电灯能源，减少各种资源的浪费，在源头防治各类污染物的产生，以实现生产和环保的协调发展。</w:t>
      </w:r>
    </w:p>
    <w:p>
      <w:pPr>
        <w:pStyle w:val="5"/>
        <w:ind w:firstLine="562"/>
        <w:rPr>
          <w:rFonts w:hint="eastAsia"/>
          <w:lang w:eastAsia="zh-CN"/>
        </w:rPr>
      </w:pPr>
      <w:r>
        <w:rPr>
          <w:rFonts w:hint="eastAsia"/>
          <w:lang w:eastAsia="zh-CN"/>
        </w:rPr>
        <w:t>清洁生产指标融入制度管理中</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生产管理的各项规章制度中均纳入环保和清洁生产指标，例如各生产环节的废气、废水、噪声和固废的排放，实施浓度和总量双重控制，管理部门必须随时掌握生产过程中污染物的排放情况，把环保列入生产调度内容中，定时对环保情况、清洁生产指标进行检查和考核，对生产过程中产生的污染事故要及时组织、妥善处理。</w:t>
      </w:r>
    </w:p>
    <w:p>
      <w:pPr>
        <w:pStyle w:val="5"/>
        <w:ind w:firstLine="562"/>
        <w:rPr>
          <w:rFonts w:hint="eastAsia"/>
          <w:lang w:eastAsia="zh-CN"/>
        </w:rPr>
      </w:pPr>
      <w:r>
        <w:rPr>
          <w:rFonts w:hint="eastAsia"/>
          <w:lang w:eastAsia="zh-CN"/>
        </w:rPr>
        <w:t>确保环保装置稳定运转</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根据各环保设施的工艺特点，注定定期检查、保养、维修制度，并且落实到人，定期通报环境保护管理情况，包括装置检修及环保工程运行情况，提高装置的稳定性和完好率，确保其正常稳定运转。</w:t>
      </w:r>
    </w:p>
    <w:p>
      <w:pPr>
        <w:pStyle w:val="5"/>
        <w:ind w:firstLine="562"/>
        <w:rPr>
          <w:rFonts w:hint="eastAsia"/>
          <w:lang w:eastAsia="zh-CN"/>
        </w:rPr>
      </w:pPr>
      <w:r>
        <w:rPr>
          <w:rFonts w:hint="eastAsia"/>
          <w:lang w:eastAsia="zh-CN"/>
        </w:rPr>
        <w:t>实行清洁生产宣传教育</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积极向员工进行清洁生产方面的宣传教育，根据清洁生产生产计划定期对各有关管理人员和技术人员进行清洁生产方面的岗位培训，确保厂区环境清洁和尽量使污染物排放量降到最低。</w:t>
      </w:r>
    </w:p>
    <w:p>
      <w:pPr>
        <w:pStyle w:val="4"/>
        <w:rPr>
          <w:rFonts w:hint="eastAsia"/>
        </w:rPr>
      </w:pPr>
      <w:bookmarkStart w:id="95" w:name="_Toc16732"/>
      <w:bookmarkStart w:id="96" w:name="_Toc4001"/>
      <w:r>
        <w:rPr>
          <w:rFonts w:hint="eastAsia"/>
        </w:rPr>
        <w:t>清洁生产分析结论</w:t>
      </w:r>
      <w:bookmarkEnd w:id="95"/>
      <w:bookmarkEnd w:id="96"/>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综合上述分析，本项目营运期间清洁生产分析结论如下：</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cs="Times New Roman"/>
          <w:color w:val="auto"/>
          <w:sz w:val="24"/>
          <w:lang w:val="en-US" w:eastAsia="zh-CN"/>
        </w:rPr>
        <w:t>项目养殖期间使用先进的养殖工艺和设备，污染产生指标较低，废物综合利用率高，依照《中华人民共和国清洁生产促进法》中的相关要求分析，拟建项目的清洁生产水平为二级，处于国内先进水平，符合清洁生产要求。</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ind w:left="0" w:leftChars="0" w:firstLine="0" w:firstLineChars="0"/>
        <w:textAlignment w:val="auto"/>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97" w:name="_Toc14295"/>
      <w:bookmarkStart w:id="98" w:name="_Toc16888"/>
      <w:r>
        <w:rPr>
          <w:rFonts w:hint="eastAsia"/>
        </w:rPr>
        <w:t>环境影响经济损益分析</w:t>
      </w:r>
      <w:bookmarkEnd w:id="97"/>
      <w:bookmarkEnd w:id="98"/>
    </w:p>
    <w:p>
      <w:pPr>
        <w:pStyle w:val="8"/>
        <w:rPr>
          <w:rFonts w:hint="eastAsia"/>
        </w:rPr>
      </w:pPr>
      <w:r>
        <w:rPr>
          <w:rFonts w:hint="eastAsia"/>
        </w:rPr>
        <w:t>关于建设项目的环境经济损益分析，国内目前尚无统一标准。此外，项目所排污染物作用于自然环境而造成的经济损失，其过程和机理是十分复杂的，其中有许多不确定因素；而且，许多因环境污染而造成的经济损失和由于污染防治而带来的环境收益，较难计量或是很难准确以货币形式来表达。为此，本报告在环境损益分析中，对于可计量部分给予定量表达，其它则采用类比分析方法予以估算，或者是给予忽略。因此，本章节分析的结果，只能反映一种趋势，谨供参考。</w:t>
      </w:r>
    </w:p>
    <w:p>
      <w:pPr>
        <w:pStyle w:val="4"/>
      </w:pPr>
      <w:bookmarkStart w:id="99" w:name="_Toc29185"/>
      <w:bookmarkStart w:id="100" w:name="_Toc12848"/>
      <w:r>
        <w:rPr>
          <w:rFonts w:hint="eastAsia"/>
          <w:lang w:eastAsia="zh-CN"/>
        </w:rPr>
        <w:t>经济效益分析</w:t>
      </w:r>
      <w:bookmarkEnd w:id="99"/>
      <w:bookmarkEnd w:id="100"/>
    </w:p>
    <w:p>
      <w:pPr>
        <w:pStyle w:val="8"/>
        <w:rPr>
          <w:rFonts w:hint="eastAsia" w:eastAsia="宋体"/>
          <w:lang w:eastAsia="zh-CN"/>
        </w:rPr>
      </w:pPr>
      <w:r>
        <w:rPr>
          <w:rFonts w:hint="eastAsia"/>
          <w:lang w:eastAsia="zh-CN"/>
        </w:rPr>
        <w:t>（</w:t>
      </w:r>
      <w:r>
        <w:rPr>
          <w:rFonts w:hint="eastAsia"/>
          <w:lang w:val="en-US" w:eastAsia="zh-CN"/>
        </w:rPr>
        <w:t>1</w:t>
      </w:r>
      <w:r>
        <w:rPr>
          <w:rFonts w:hint="eastAsia"/>
          <w:lang w:eastAsia="zh-CN"/>
        </w:rPr>
        <w:t>）直接经济效益</w:t>
      </w:r>
    </w:p>
    <w:p>
      <w:pPr>
        <w:pStyle w:val="8"/>
        <w:rPr>
          <w:rFonts w:hint="default" w:eastAsia="宋体"/>
          <w:lang w:val="en-US" w:eastAsia="zh-CN"/>
        </w:rPr>
      </w:pPr>
      <w:r>
        <w:rPr>
          <w:rFonts w:hint="eastAsia"/>
          <w:lang w:eastAsia="zh-CN"/>
        </w:rPr>
        <w:t>根据建设单位规划，项目建成后可年出栏商品猪</w:t>
      </w:r>
      <w:r>
        <w:rPr>
          <w:rFonts w:hint="eastAsia"/>
          <w:lang w:val="en-US" w:eastAsia="zh-CN"/>
        </w:rPr>
        <w:t>18000头，销售收入4800万元，总生产经营成本2900万元，利润总额可达1900万元。</w:t>
      </w:r>
    </w:p>
    <w:p>
      <w:pPr>
        <w:pStyle w:val="8"/>
        <w:rPr>
          <w:rFonts w:hint="eastAsia" w:eastAsia="宋体"/>
          <w:lang w:eastAsia="zh-CN"/>
        </w:rPr>
      </w:pPr>
      <w:r>
        <w:rPr>
          <w:rFonts w:hint="eastAsia"/>
          <w:lang w:eastAsia="zh-CN"/>
        </w:rPr>
        <w:t>项目产生的粪污经异位发酵床工艺处理后制成有机肥外售。猪粪作为肥料，可以改良土壤质量，改善农作物生长环境，提高农作物产量，做到了资源的综合利用。</w:t>
      </w:r>
    </w:p>
    <w:p>
      <w:pPr>
        <w:pStyle w:val="8"/>
        <w:rPr>
          <w:rFonts w:hint="eastAsia" w:eastAsia="宋体"/>
          <w:lang w:eastAsia="zh-CN"/>
        </w:rPr>
      </w:pPr>
      <w:r>
        <w:rPr>
          <w:rFonts w:hint="eastAsia"/>
          <w:lang w:eastAsia="zh-CN"/>
        </w:rPr>
        <w:t>（</w:t>
      </w:r>
      <w:r>
        <w:rPr>
          <w:rFonts w:hint="eastAsia"/>
          <w:lang w:val="en-US" w:eastAsia="zh-CN"/>
        </w:rPr>
        <w:t>2</w:t>
      </w:r>
      <w:r>
        <w:rPr>
          <w:rFonts w:hint="eastAsia"/>
          <w:lang w:eastAsia="zh-CN"/>
        </w:rPr>
        <w:t>）废水处理和利用的经济效益</w:t>
      </w:r>
    </w:p>
    <w:p>
      <w:pPr>
        <w:pStyle w:val="8"/>
        <w:rPr>
          <w:rFonts w:hint="eastAsia" w:eastAsia="宋体"/>
          <w:lang w:eastAsia="zh-CN"/>
        </w:rPr>
      </w:pPr>
      <w:r>
        <w:rPr>
          <w:rFonts w:hint="eastAsia"/>
          <w:lang w:eastAsia="zh-CN"/>
        </w:rPr>
        <w:t>本项目产生的生产废水与猪舍粪污一起经异位发酵床工艺处理后制成有机肥料外售，不外排。</w:t>
      </w:r>
    </w:p>
    <w:p>
      <w:pPr>
        <w:pStyle w:val="8"/>
        <w:rPr>
          <w:rFonts w:hint="eastAsia"/>
          <w:lang w:eastAsia="zh-CN"/>
        </w:rPr>
      </w:pPr>
      <w:r>
        <w:rPr>
          <w:rFonts w:hint="eastAsia"/>
          <w:lang w:eastAsia="zh-CN"/>
        </w:rPr>
        <w:t>本项目产生的生活污水经地埋式一体化污水处理设施处理达到《畜禽养殖业污染物排放标准》（</w:t>
      </w:r>
      <w:r>
        <w:rPr>
          <w:rFonts w:hint="eastAsia"/>
          <w:lang w:val="en-US" w:eastAsia="zh-CN"/>
        </w:rPr>
        <w:t>DB44-613-2009</w:t>
      </w:r>
      <w:r>
        <w:rPr>
          <w:rFonts w:hint="eastAsia"/>
          <w:lang w:eastAsia="zh-CN"/>
        </w:rPr>
        <w:t>）中集约化畜禽养殖业污染物最高允许日排放浓度和</w:t>
      </w:r>
      <w:r>
        <w:rPr>
          <w:rFonts w:hint="eastAsia" w:cs="Times New Roman"/>
          <w:kern w:val="0"/>
          <w:sz w:val="24"/>
          <w:szCs w:val="24"/>
          <w:lang w:val="en-US" w:eastAsia="zh-CN" w:bidi="ar-SA"/>
        </w:rPr>
        <w:t>《农田灌溉水质标准》（GB5084-2005）中旱作标准的较严值后全部回用附近林场灌溉，不外排。</w:t>
      </w:r>
    </w:p>
    <w:p>
      <w:pPr>
        <w:pStyle w:val="8"/>
        <w:rPr>
          <w:rFonts w:hint="eastAsia"/>
          <w:lang w:eastAsia="zh-CN"/>
        </w:rPr>
      </w:pPr>
      <w:r>
        <w:rPr>
          <w:rFonts w:hint="eastAsia"/>
          <w:lang w:eastAsia="zh-CN"/>
        </w:rPr>
        <w:t>（</w:t>
      </w:r>
      <w:r>
        <w:rPr>
          <w:rFonts w:hint="eastAsia"/>
          <w:lang w:val="en-US" w:eastAsia="zh-CN"/>
        </w:rPr>
        <w:t>3</w:t>
      </w:r>
      <w:r>
        <w:rPr>
          <w:rFonts w:hint="eastAsia"/>
          <w:lang w:eastAsia="zh-CN"/>
        </w:rPr>
        <w:t>）项目投入一定的资金用于环保措施及维持各项环保措施正常运转，实现各污染物达标排放。每年减少了向环境中排放大量的污染物，保护当地的水、气、声等自然环境。同时也保障了工人的健康安全，有有利于企业自身的发展，具有良好的环境经济效益。</w:t>
      </w:r>
    </w:p>
    <w:p>
      <w:pPr>
        <w:pStyle w:val="4"/>
      </w:pPr>
      <w:bookmarkStart w:id="101" w:name="_Toc1926"/>
      <w:bookmarkStart w:id="102" w:name="_Toc7138"/>
      <w:r>
        <w:rPr>
          <w:rFonts w:hint="eastAsia"/>
          <w:lang w:eastAsia="zh-CN"/>
        </w:rPr>
        <w:t>社会效益分析</w:t>
      </w:r>
      <w:bookmarkEnd w:id="101"/>
      <w:bookmarkEnd w:id="102"/>
    </w:p>
    <w:p>
      <w:pPr>
        <w:pStyle w:val="8"/>
        <w:rPr>
          <w:rFonts w:hint="eastAsia"/>
        </w:rPr>
      </w:pPr>
      <w:r>
        <w:rPr>
          <w:rFonts w:hint="eastAsia"/>
        </w:rPr>
        <w:t xml:space="preserve">该项目建成后，将进一步优化区域养殖结构。该项目实施也增加当地就业机会，使社会稳定，在促进该地区的经济发展的同时会带来良好的社会效益，其产生的社会效益主要体现在以下几个方面： </w:t>
      </w:r>
    </w:p>
    <w:p>
      <w:pPr>
        <w:pStyle w:val="8"/>
        <w:numPr>
          <w:ilvl w:val="0"/>
          <w:numId w:val="27"/>
        </w:numPr>
        <w:rPr>
          <w:rFonts w:hint="eastAsia"/>
        </w:rPr>
      </w:pPr>
      <w:r>
        <w:rPr>
          <w:rFonts w:hint="eastAsia"/>
        </w:rPr>
        <w:t xml:space="preserve">本项目的建设可有效利用本地资源，发展规模化养殖业，促进区域养殖产业升级。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firstLine="480" w:firstLineChars="200"/>
        <w:textAlignment w:val="auto"/>
        <w:rPr>
          <w:rFonts w:hint="eastAsia"/>
        </w:rPr>
      </w:pPr>
      <w:r>
        <w:rPr>
          <w:rFonts w:hint="eastAsia"/>
        </w:rPr>
        <w:t xml:space="preserve">（2）项目运营后，将带动本地区经济发展，给财政增加税收，给地方经济带来繁荣。 </w:t>
      </w:r>
    </w:p>
    <w:p>
      <w:pPr>
        <w:pStyle w:val="8"/>
        <w:rPr>
          <w:rFonts w:hint="eastAsia" w:eastAsia="宋体"/>
          <w:lang w:eastAsia="zh-CN"/>
        </w:rPr>
      </w:pPr>
      <w:r>
        <w:rPr>
          <w:rFonts w:hint="eastAsia"/>
        </w:rPr>
        <w:t>（3）项目可以提供就业机会，缓解劳动力就业的矛盾，有利于维护安定团结、社会稳定</w:t>
      </w:r>
      <w:r>
        <w:rPr>
          <w:rFonts w:hint="eastAsia"/>
          <w:lang w:eastAsia="zh-CN"/>
        </w:rPr>
        <w:t>。</w:t>
      </w:r>
    </w:p>
    <w:p>
      <w:pPr>
        <w:pStyle w:val="4"/>
      </w:pPr>
      <w:bookmarkStart w:id="103" w:name="_Toc16783"/>
      <w:bookmarkStart w:id="104" w:name="_Toc8824"/>
      <w:r>
        <w:rPr>
          <w:rFonts w:hint="eastAsia"/>
          <w:lang w:eastAsia="zh-CN"/>
        </w:rPr>
        <w:t>环境效益分析</w:t>
      </w:r>
      <w:bookmarkEnd w:id="103"/>
      <w:bookmarkEnd w:id="104"/>
    </w:p>
    <w:p>
      <w:pPr>
        <w:pStyle w:val="5"/>
        <w:ind w:firstLine="562"/>
      </w:pPr>
      <w:r>
        <w:rPr>
          <w:rFonts w:hint="eastAsia"/>
          <w:lang w:eastAsia="zh-CN"/>
        </w:rPr>
        <w:t xml:space="preserve">环保投资估算 </w:t>
      </w:r>
    </w:p>
    <w:p>
      <w:pPr>
        <w:pStyle w:val="9"/>
        <w:keepNext w:val="0"/>
        <w:keepLines w:val="0"/>
        <w:pageBreakBefore w:val="0"/>
        <w:widowControl w:val="0"/>
        <w:kinsoku/>
        <w:wordWrap/>
        <w:overflowPunct/>
        <w:topLinePunct w:val="0"/>
        <w:autoSpaceDE w:val="0"/>
        <w:autoSpaceDN w:val="0"/>
        <w:bidi w:val="0"/>
        <w:adjustRightInd/>
        <w:snapToGrid/>
        <w:textAlignment w:val="auto"/>
      </w:pPr>
      <w:r>
        <w:rPr>
          <w:rFonts w:hint="eastAsia"/>
          <w:lang w:eastAsia="zh-CN"/>
        </w:rPr>
        <w:t>项目环保投资总额为</w:t>
      </w:r>
      <w:r>
        <w:rPr>
          <w:rFonts w:hint="eastAsia"/>
          <w:lang w:val="en-US" w:eastAsia="zh-CN"/>
        </w:rPr>
        <w:t>106万元，占项目总投资</w:t>
      </w:r>
      <w:r>
        <w:rPr>
          <w:rFonts w:hint="eastAsia"/>
          <w:sz w:val="24"/>
          <w:szCs w:val="24"/>
          <w:lang w:val="en-US" w:eastAsia="zh-CN"/>
        </w:rPr>
        <w:t>1280的8.28</w:t>
      </w:r>
      <w:r>
        <w:rPr>
          <w:rFonts w:hint="eastAsia"/>
          <w:sz w:val="24"/>
          <w:szCs w:val="24"/>
          <w:lang w:eastAsia="zh-CN"/>
        </w:rPr>
        <w:t>%</w:t>
      </w:r>
    </w:p>
    <w:p>
      <w:pPr>
        <w:pStyle w:val="5"/>
        <w:ind w:firstLine="562"/>
      </w:pPr>
      <w:r>
        <w:rPr>
          <w:rFonts w:hint="eastAsia"/>
          <w:lang w:eastAsia="zh-CN"/>
        </w:rPr>
        <w:t xml:space="preserve">环保设施运行成本费用估算  </w:t>
      </w:r>
    </w:p>
    <w:p>
      <w:pPr>
        <w:pStyle w:val="8"/>
        <w:numPr>
          <w:ilvl w:val="0"/>
          <w:numId w:val="28"/>
        </w:numPr>
        <w:rPr>
          <w:rFonts w:hint="eastAsia"/>
        </w:rPr>
      </w:pPr>
      <w:r>
        <w:rPr>
          <w:rFonts w:hint="eastAsia"/>
        </w:rPr>
        <w:t>环保设施折旧费本项目环保措施直接环保投资为</w:t>
      </w:r>
      <w:r>
        <w:rPr>
          <w:rFonts w:hint="eastAsia"/>
          <w:lang w:val="en-US" w:eastAsia="zh-CN"/>
        </w:rPr>
        <w:t>106</w:t>
      </w:r>
      <w:r>
        <w:rPr>
          <w:rFonts w:hint="eastAsia"/>
        </w:rPr>
        <w:t>万元，设备折旧费按投资的5%计，则环保设施折旧费为</w:t>
      </w:r>
      <w:r>
        <w:rPr>
          <w:rFonts w:hint="eastAsia"/>
          <w:lang w:val="en-US" w:eastAsia="zh-CN"/>
        </w:rPr>
        <w:t>5.3</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环保设施运行费环保设施运行费按环保投资的10%计，本项目环保设施运行费为</w:t>
      </w:r>
      <w:r>
        <w:rPr>
          <w:rFonts w:hint="eastAsia"/>
          <w:lang w:val="en-US" w:eastAsia="zh-CN"/>
        </w:rPr>
        <w:t>10.6</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环保设施维修费环保设施维修费取环保投资的2% ，则每年维修约</w:t>
      </w:r>
      <w:r>
        <w:rPr>
          <w:rFonts w:hint="eastAsia"/>
          <w:lang w:val="en-US" w:eastAsia="zh-CN"/>
        </w:rPr>
        <w:t>2.12</w:t>
      </w:r>
      <w:r>
        <w:rPr>
          <w:rFonts w:hint="eastAsia"/>
        </w:rPr>
        <w:t xml:space="preserve">万元。 </w:t>
      </w:r>
    </w:p>
    <w:p>
      <w:pPr>
        <w:pStyle w:val="8"/>
        <w:numPr>
          <w:ilvl w:val="0"/>
          <w:numId w:val="28"/>
        </w:numPr>
        <w:ind w:left="0" w:leftChars="0" w:firstLine="480" w:firstLineChars="200"/>
        <w:rPr>
          <w:rFonts w:hint="eastAsia"/>
        </w:rPr>
      </w:pPr>
      <w:r>
        <w:rPr>
          <w:rFonts w:hint="eastAsia"/>
        </w:rPr>
        <w:t>环保工人工资预计工程环保人员约1人，按生产人员工资及附加费为1.2万元/人•年，则工资费用为1.2万元。</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 xml:space="preserve"> 综上所述，该项目的环保设施运行总费用为</w:t>
      </w:r>
      <w:r>
        <w:rPr>
          <w:rFonts w:hint="eastAsia"/>
          <w:lang w:val="en-US" w:eastAsia="zh-CN"/>
        </w:rPr>
        <w:t>19.22</w:t>
      </w:r>
      <w:r>
        <w:rPr>
          <w:rFonts w:hint="eastAsia"/>
        </w:rPr>
        <w:t>万元。</w:t>
      </w:r>
    </w:p>
    <w:p>
      <w:pPr>
        <w:pStyle w:val="5"/>
        <w:ind w:firstLine="562"/>
      </w:pPr>
      <w:r>
        <w:rPr>
          <w:rFonts w:hint="eastAsia"/>
          <w:lang w:eastAsia="zh-CN"/>
        </w:rPr>
        <w:t xml:space="preserve"> 环保投资经济效益  </w:t>
      </w:r>
    </w:p>
    <w:p>
      <w:pPr>
        <w:pStyle w:val="8"/>
        <w:numPr>
          <w:ilvl w:val="0"/>
          <w:numId w:val="29"/>
        </w:numP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废水治理设施效益</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default" w:ascii="Times New Roman" w:hAnsi="Times New Roman" w:eastAsia="宋体" w:cs="Times New Roman"/>
          <w:color w:val="000000"/>
          <w:sz w:val="24"/>
          <w:szCs w:val="24"/>
        </w:rPr>
        <w:t>项目产生的</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经场区</w:t>
      </w:r>
      <w:r>
        <w:rPr>
          <w:rFonts w:hint="eastAsia" w:ascii="Times New Roman" w:hAnsi="Times New Roman" w:eastAsia="宋体" w:cs="Times New Roman"/>
          <w:color w:val="000000"/>
          <w:sz w:val="24"/>
          <w:szCs w:val="24"/>
          <w:lang w:eastAsia="zh-CN"/>
        </w:rPr>
        <w:t>异位发酵床</w:t>
      </w:r>
      <w:r>
        <w:rPr>
          <w:rFonts w:hint="default" w:ascii="Times New Roman" w:hAnsi="Times New Roman" w:eastAsia="宋体" w:cs="Times New Roman"/>
          <w:color w:val="000000"/>
          <w:sz w:val="24"/>
          <w:szCs w:val="24"/>
        </w:rPr>
        <w:t>处理</w:t>
      </w:r>
      <w:r>
        <w:rPr>
          <w:rFonts w:hint="eastAsia" w:ascii="Times New Roman" w:hAnsi="Times New Roman" w:eastAsia="宋体" w:cs="Times New Roman"/>
          <w:color w:val="000000"/>
          <w:sz w:val="24"/>
          <w:szCs w:val="24"/>
          <w:lang w:eastAsia="zh-CN"/>
        </w:rPr>
        <w:t>后制成有机肥</w:t>
      </w:r>
      <w:r>
        <w:rPr>
          <w:rFonts w:hint="default" w:ascii="Times New Roman" w:hAnsi="Times New Roman" w:eastAsia="宋体" w:cs="Times New Roman"/>
          <w:color w:val="000000"/>
          <w:sz w:val="24"/>
          <w:szCs w:val="24"/>
        </w:rPr>
        <w:t>，本项目</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产生量</w:t>
      </w:r>
      <w:r>
        <w:rPr>
          <w:rFonts w:hint="default" w:ascii="Times New Roman" w:hAnsi="Times New Roman" w:eastAsia="宋体" w:cs="Times New Roman"/>
          <w:color w:val="000000"/>
          <w:sz w:val="24"/>
          <w:szCs w:val="24"/>
          <w:lang w:val="en-US" w:eastAsia="zh-CN"/>
        </w:rPr>
        <w:t>9159.47</w:t>
      </w:r>
      <w:r>
        <w:rPr>
          <w:rFonts w:hint="default" w:ascii="Times New Roman" w:hAnsi="Times New Roman" w:eastAsia="宋体" w:cs="Times New Roman"/>
          <w:color w:val="000000"/>
          <w:sz w:val="24"/>
          <w:szCs w:val="24"/>
        </w:rPr>
        <w:t>t/a，废水综合利用收益按60元/t计，则废水综合利用收益为</w:t>
      </w:r>
      <w:r>
        <w:rPr>
          <w:rFonts w:hint="eastAsia" w:cs="Times New Roman"/>
          <w:color w:val="000000"/>
          <w:sz w:val="24"/>
          <w:szCs w:val="24"/>
          <w:lang w:val="en-US" w:eastAsia="zh-CN"/>
        </w:rPr>
        <w:t>54.96</w:t>
      </w:r>
      <w:r>
        <w:rPr>
          <w:rFonts w:hint="default" w:ascii="Times New Roman" w:hAnsi="Times New Roman" w:eastAsia="宋体" w:cs="Times New Roman"/>
          <w:color w:val="000000"/>
          <w:sz w:val="24"/>
          <w:szCs w:val="24"/>
        </w:rPr>
        <w:t xml:space="preserve">万元/年。 </w:t>
      </w:r>
    </w:p>
    <w:p>
      <w:pPr>
        <w:pStyle w:val="8"/>
        <w:numPr>
          <w:ilvl w:val="0"/>
          <w:numId w:val="29"/>
        </w:numPr>
        <w:ind w:left="0" w:leftChars="0" w:firstLine="480" w:firstLineChars="200"/>
        <w:rPr>
          <w:rFonts w:hint="eastAsia"/>
        </w:rPr>
      </w:pPr>
      <w:r>
        <w:rPr>
          <w:rFonts w:hint="eastAsia"/>
        </w:rPr>
        <w:t xml:space="preserve">固体废物治理设施效益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项目产生的猪粪经发酵处理后，外售给有机肥生产厂家，经处理后猪粪便为</w:t>
      </w:r>
      <w:r>
        <w:rPr>
          <w:rFonts w:hint="eastAsia"/>
          <w:lang w:val="en-US" w:eastAsia="zh-CN"/>
        </w:rPr>
        <w:t>4319.775</w:t>
      </w:r>
      <w:r>
        <w:rPr>
          <w:rFonts w:hint="eastAsia"/>
        </w:rPr>
        <w:t>t/a，销售价格按600元/t，则猪粪便处理可增加收益为</w:t>
      </w:r>
      <w:r>
        <w:rPr>
          <w:rFonts w:hint="eastAsia"/>
          <w:lang w:val="en-US" w:eastAsia="zh-CN"/>
        </w:rPr>
        <w:t>257.18</w:t>
      </w:r>
      <w:r>
        <w:rPr>
          <w:rFonts w:hint="eastAsia"/>
        </w:rPr>
        <w:t xml:space="preserve">万元/年。 </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综上所述，项目投资建设的废水、废气、固体废物等治理设施，废水污染物达标排放，废水和固体废物综合利用，可增加</w:t>
      </w:r>
      <w:r>
        <w:rPr>
          <w:rFonts w:hint="eastAsia"/>
          <w:lang w:val="en-US" w:eastAsia="zh-CN"/>
        </w:rPr>
        <w:t>312.14</w:t>
      </w:r>
      <w:r>
        <w:rPr>
          <w:rFonts w:hint="eastAsia"/>
        </w:rPr>
        <w:t>万元/年。</w:t>
      </w:r>
    </w:p>
    <w:bookmarkEnd w:id="57"/>
    <w:p>
      <w:pPr>
        <w:pStyle w:val="4"/>
      </w:pPr>
      <w:bookmarkStart w:id="105" w:name="_Toc8524"/>
      <w:bookmarkStart w:id="106" w:name="_Toc6645"/>
      <w:r>
        <w:rPr>
          <w:rFonts w:hint="eastAsia"/>
          <w:lang w:eastAsia="zh-CN"/>
        </w:rPr>
        <w:t>小结</w:t>
      </w:r>
      <w:bookmarkEnd w:id="105"/>
      <w:bookmarkEnd w:id="106"/>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rPr>
      </w:pPr>
      <w:r>
        <w:rPr>
          <w:rFonts w:hint="eastAsia"/>
        </w:rPr>
        <w:t>项目预计环保投资共</w:t>
      </w:r>
      <w:r>
        <w:rPr>
          <w:rFonts w:hint="eastAsia"/>
          <w:lang w:val="en-US" w:eastAsia="zh-CN"/>
        </w:rPr>
        <w:t>106</w:t>
      </w:r>
      <w:r>
        <w:rPr>
          <w:rFonts w:hint="eastAsia"/>
        </w:rPr>
        <w:t>万元，占总投资</w:t>
      </w:r>
      <w:r>
        <w:rPr>
          <w:rFonts w:hint="eastAsia"/>
          <w:lang w:val="en-US" w:eastAsia="zh-CN"/>
        </w:rPr>
        <w:t>1280</w:t>
      </w:r>
      <w:r>
        <w:rPr>
          <w:rFonts w:hint="eastAsia"/>
        </w:rPr>
        <w:t>万元的</w:t>
      </w:r>
      <w:r>
        <w:rPr>
          <w:rFonts w:hint="eastAsia"/>
          <w:lang w:val="en-US" w:eastAsia="zh-CN"/>
        </w:rPr>
        <w:t>8.28</w:t>
      </w:r>
      <w:r>
        <w:rPr>
          <w:rFonts w:hint="eastAsia"/>
        </w:rPr>
        <w:t>%，环保资金到位、各项环保措施落实后，本项目投产后产生良好的经济、环境、社会效益，虽然对当地环境产生一定影响，但影响不大，效益远远大于项目的环境成本，因此本项目具有一定的环境经济可行性。</w:t>
      </w:r>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107" w:name="_Toc8121"/>
      <w:bookmarkStart w:id="108" w:name="_Toc20215"/>
      <w:r>
        <w:rPr>
          <w:rFonts w:hint="eastAsia"/>
        </w:rPr>
        <w:t>环境管理与监测计划</w:t>
      </w:r>
      <w:bookmarkEnd w:id="107"/>
      <w:bookmarkEnd w:id="108"/>
    </w:p>
    <w:p>
      <w:pPr>
        <w:pStyle w:val="8"/>
      </w:pPr>
      <w:r>
        <w:rPr>
          <w:rFonts w:hint="eastAsia"/>
          <w:sz w:val="24"/>
          <w:szCs w:val="24"/>
        </w:rPr>
        <w:t>由于建设项目在运行过程中会产出一定数量的污染物，对当地水、空气环境质量可能造成一定的影响。因此，为保证建设项目的所有环保措施都能正常运行，本评价报告根据建设单位拟采取的环境管理和监测的措施，对照有关的标准和规范进行评述，提出合理化建议供建设单位参考，并利于环境保护管理部门的监督和管理。</w:t>
      </w:r>
    </w:p>
    <w:p>
      <w:pPr>
        <w:pStyle w:val="4"/>
        <w:rPr>
          <w:rFonts w:hint="eastAsia"/>
        </w:rPr>
      </w:pPr>
      <w:bookmarkStart w:id="109" w:name="_Toc16437"/>
      <w:bookmarkStart w:id="110" w:name="_Toc23471"/>
      <w:r>
        <w:rPr>
          <w:rFonts w:hint="eastAsia"/>
          <w:lang w:eastAsia="zh-CN"/>
        </w:rPr>
        <w:t>环境管理要求</w:t>
      </w:r>
      <w:bookmarkEnd w:id="109"/>
      <w:bookmarkEnd w:id="110"/>
    </w:p>
    <w:p>
      <w:pPr>
        <w:pStyle w:val="5"/>
        <w:ind w:firstLine="562"/>
        <w:rPr>
          <w:rFonts w:hint="eastAsia"/>
        </w:rPr>
      </w:pPr>
      <w:r>
        <w:rPr>
          <w:rFonts w:hint="eastAsia"/>
          <w:lang w:eastAsia="zh-CN"/>
        </w:rPr>
        <w:t>施工期环境管理要求</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建设单位应与本项目施工单位协商，将施工期环境保护措施列入合同文本，要求施工单位严格执行，并实行奖惩制度。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施工单位应按照工程合同的要求，并遵照国家和地方政府制度的各项环保法规组织施工，并切实落实本报告建议的各项环境保护措施和对策，真正做到科学文明施工。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委托具有相应资质的监理部门，监督施工单位落实施工期应采取的各项环境保护措施。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（4）施工单位应在各施工场地配环境管理人员，负责各类污染源现场控制与管理，尤其对高噪声、高振动施工设备应严格控制其施工时间，并采取一定防治措施。 </w:t>
      </w:r>
    </w:p>
    <w:p>
      <w:pPr>
        <w:pStyle w:val="8"/>
        <w:rPr>
          <w:rFonts w:hint="eastAsia"/>
        </w:rPr>
      </w:pPr>
      <w:r>
        <w:rPr>
          <w:rFonts w:hint="eastAsia"/>
        </w:rPr>
        <w:t xml:space="preserve">（5）做好宣传工作。由于技术条件和施工环境的限制，即使采取了污染控制措施，施工时带来的环境污染仍是无法避免的，因此要向施工场地周围受影响对象做好宣传工作，以提高周边群众对不利环境影响的心理承受力，取得理解，克服暂时困难，配合施工单位顺利完成施工任务。 </w:t>
      </w:r>
    </w:p>
    <w:p>
      <w:pPr>
        <w:pStyle w:val="8"/>
        <w:ind w:firstLine="482"/>
        <w:rPr>
          <w:rFonts w:hint="eastAsia" w:eastAsia="宋体"/>
          <w:b/>
          <w:lang w:eastAsia="zh-CN"/>
        </w:rPr>
      </w:pPr>
      <w:r>
        <w:rPr>
          <w:rFonts w:hint="eastAsia"/>
        </w:rPr>
        <w:t>（6）施工单位必须主动接受环境保护主管部门的监督指导，主动配合环境保护专业部门共同做好本项目施工期环境保护工作</w:t>
      </w:r>
      <w:r>
        <w:rPr>
          <w:rFonts w:hint="eastAsia"/>
          <w:lang w:eastAsia="zh-CN"/>
        </w:rPr>
        <w:t>。</w:t>
      </w:r>
    </w:p>
    <w:p>
      <w:pPr>
        <w:pStyle w:val="5"/>
        <w:ind w:firstLine="562"/>
        <w:rPr>
          <w:rFonts w:hint="eastAsia"/>
        </w:rPr>
      </w:pPr>
      <w:r>
        <w:rPr>
          <w:rFonts w:hint="eastAsia"/>
          <w:lang w:eastAsia="zh-CN"/>
        </w:rPr>
        <w:t>营运期环境管理要求</w:t>
      </w:r>
    </w:p>
    <w:p>
      <w:pPr>
        <w:pStyle w:val="8"/>
        <w:rPr>
          <w:rFonts w:hint="eastAsia"/>
        </w:rPr>
      </w:pPr>
      <w:r>
        <w:rPr>
          <w:rFonts w:hint="eastAsia"/>
        </w:rPr>
        <w:t xml:space="preserve">营运期环境管理重点是各项环境保护措施的落实，环保设施运行的管理和维护，日常监测及污染事故的防范和应急处理。 </w:t>
      </w:r>
    </w:p>
    <w:p>
      <w:pPr>
        <w:pStyle w:val="8"/>
        <w:rPr>
          <w:rFonts w:hint="eastAsia"/>
        </w:rPr>
      </w:pPr>
      <w:r>
        <w:rPr>
          <w:rFonts w:hint="eastAsia"/>
        </w:rPr>
        <w:t xml:space="preserve">（1）建设单位应当按期及时申报污染物排放情况，及时办理排污许可证；超标排放，应及时处理。 </w:t>
      </w:r>
    </w:p>
    <w:p>
      <w:pPr>
        <w:pStyle w:val="8"/>
        <w:rPr>
          <w:rFonts w:hint="eastAsia"/>
        </w:rPr>
      </w:pPr>
      <w:r>
        <w:rPr>
          <w:rFonts w:hint="eastAsia"/>
        </w:rPr>
        <w:t xml:space="preserve">（2）根据环保部门、安全部门对环保设施验收报告的批复意见进行补充完善。 </w:t>
      </w:r>
    </w:p>
    <w:p>
      <w:pPr>
        <w:pStyle w:val="8"/>
        <w:rPr>
          <w:rFonts w:hint="eastAsia"/>
        </w:rPr>
      </w:pPr>
      <w:r>
        <w:rPr>
          <w:rFonts w:hint="eastAsia"/>
        </w:rPr>
        <w:t xml:space="preserve">（3）根据企业的环境保护目标考核计划，结合生产过程各环节的不同环境要求，把资源和能源消耗、资源回收利用、污染物排放量的反映环保工作水平的生产环境质量等环保指标，纳入各级生产作业计划，同其它生产指标一同组织实施和考核。 </w:t>
      </w:r>
    </w:p>
    <w:p>
      <w:pPr>
        <w:pStyle w:val="8"/>
        <w:rPr>
          <w:rFonts w:hint="eastAsia"/>
        </w:rPr>
      </w:pPr>
      <w:r>
        <w:rPr>
          <w:rFonts w:hint="eastAsia"/>
        </w:rPr>
        <w:t xml:space="preserve">（4）按环保设施的操作规程，定期对环保设施进行保养和检修，保证环保设施的正常运行和污染物的达标排放。一旦环保设施出现故障，应立即停产检修，并上报环保法定责任人，严禁环保设施带病运行和事故性排放。建立运行记录并制定考核指标。 </w:t>
      </w:r>
    </w:p>
    <w:p>
      <w:pPr>
        <w:pStyle w:val="8"/>
        <w:rPr>
          <w:rFonts w:hint="eastAsia"/>
        </w:rPr>
      </w:pPr>
      <w:r>
        <w:rPr>
          <w:rFonts w:hint="eastAsia"/>
        </w:rPr>
        <w:t xml:space="preserve">（5）要加强设备、管道、阀门、仪器、仪表的检查、维护、检修，保证设备完好运行，防止跑、冒、滴、漏对环境的污染。 </w:t>
      </w:r>
    </w:p>
    <w:p>
      <w:pPr>
        <w:pStyle w:val="8"/>
        <w:rPr>
          <w:rFonts w:hint="eastAsia"/>
        </w:rPr>
      </w:pPr>
      <w:r>
        <w:rPr>
          <w:rFonts w:hint="eastAsia"/>
        </w:rPr>
        <w:t xml:space="preserve">（6）加强各猪舍环境卫生管理：保持猪舍的通风、整洁。 </w:t>
      </w:r>
    </w:p>
    <w:p>
      <w:pPr>
        <w:pStyle w:val="8"/>
        <w:rPr>
          <w:rFonts w:hint="eastAsia"/>
        </w:rPr>
      </w:pPr>
      <w:r>
        <w:rPr>
          <w:rFonts w:hint="eastAsia"/>
        </w:rPr>
        <w:t xml:space="preserve">（7）做好绿化的建设和维护工作。绿色植物不仅能涵养水份，保持水土，而且能挡尘降噪，调节小气候，有利于改善生态环境。 </w:t>
      </w:r>
    </w:p>
    <w:p>
      <w:pPr>
        <w:pStyle w:val="8"/>
        <w:ind w:firstLine="482"/>
        <w:rPr>
          <w:b/>
        </w:rPr>
      </w:pPr>
      <w:r>
        <w:rPr>
          <w:rFonts w:hint="eastAsia"/>
        </w:rPr>
        <w:t xml:space="preserve">（8）接受环保主管部门的监督检查。主要内容有：污染物排放情况、环保设施运行管理情况、环境监测及污染物监测情况、环境事故的调查和有关记录、污染源建档记录等。 </w:t>
      </w:r>
    </w:p>
    <w:p>
      <w:pPr>
        <w:pStyle w:val="4"/>
        <w:rPr>
          <w:rFonts w:hint="eastAsia"/>
        </w:rPr>
      </w:pPr>
      <w:bookmarkStart w:id="111" w:name="_Toc4486"/>
      <w:bookmarkStart w:id="112" w:name="_Toc21404"/>
      <w:r>
        <w:rPr>
          <w:rFonts w:hint="eastAsia"/>
          <w:lang w:eastAsia="zh-CN"/>
        </w:rPr>
        <w:t>污染源排放清单</w:t>
      </w:r>
      <w:bookmarkEnd w:id="111"/>
      <w:bookmarkEnd w:id="112"/>
    </w:p>
    <w:p>
      <w:pPr>
        <w:pStyle w:val="8"/>
        <w:rPr>
          <w:color w:val="auto"/>
        </w:rPr>
      </w:pPr>
      <w:r>
        <w:rPr>
          <w:rFonts w:hint="eastAsia"/>
        </w:rPr>
        <w:t>项目营运期大气污染物主要来源于猪舍及污水处理</w:t>
      </w:r>
      <w:r>
        <w:rPr>
          <w:rFonts w:hint="eastAsia"/>
          <w:lang w:eastAsia="zh-CN"/>
        </w:rPr>
        <w:t>设施</w:t>
      </w:r>
      <w:r>
        <w:rPr>
          <w:rFonts w:hint="eastAsia"/>
        </w:rPr>
        <w:t>产生的恶臭气体，员工食堂产生的油烟废气以及柴油发电机产生的尾气等；废水包括生产废水、职工办公生活污水；固体废物主要有猪粪便、病死猪、废疫苗瓶、医疗废物、员工生活垃圾等。</w:t>
      </w:r>
      <w:r>
        <w:rPr>
          <w:rFonts w:hint="eastAsia"/>
          <w:lang w:eastAsia="zh-CN"/>
        </w:rPr>
        <w:t>生活污水经地埋式一体化处理设施处理后回用周边林地灌溉；生产废水及猪粪尿一起经异位发酵床处理制成有机肥料外售。猪舍、污水处理设施等产生恶臭为无组织排放，</w:t>
      </w:r>
      <w:r>
        <w:rPr>
          <w:rFonts w:hint="eastAsia"/>
          <w:color w:val="auto"/>
        </w:rPr>
        <w:t xml:space="preserve">可不需要申请大气污染物总量控制指标。 </w:t>
      </w:r>
    </w:p>
    <w:p>
      <w:pPr>
        <w:pStyle w:val="8"/>
        <w:ind w:firstLine="482"/>
        <w:rPr>
          <w:rFonts w:hint="eastAsia" w:eastAsia="宋体"/>
          <w:b/>
          <w:lang w:eastAsia="zh-CN"/>
        </w:rPr>
      </w:pPr>
      <w:r>
        <w:rPr>
          <w:rFonts w:hint="eastAsia"/>
        </w:rPr>
        <w:t>项目采取的环保措施及主要污染物排放的管理要求见下表</w:t>
      </w:r>
      <w:r>
        <w:rPr>
          <w:rFonts w:hint="eastAsia"/>
          <w:lang w:val="en-US" w:eastAsia="zh-CN"/>
        </w:rPr>
        <w:t>10</w:t>
      </w:r>
      <w:r>
        <w:rPr>
          <w:rFonts w:hint="eastAsia"/>
        </w:rPr>
        <w:t>.2-1</w:t>
      </w:r>
      <w:r>
        <w:rPr>
          <w:rFonts w:hint="eastAsia"/>
          <w:lang w:eastAsia="zh-CN"/>
        </w:rPr>
        <w:t>。</w:t>
      </w:r>
    </w:p>
    <w:p>
      <w:pPr>
        <w:pStyle w:val="8"/>
        <w:ind w:firstLine="482"/>
        <w:rPr>
          <w:b/>
        </w:rPr>
      </w:pPr>
    </w:p>
    <w:p>
      <w:pPr>
        <w:pStyle w:val="8"/>
        <w:ind w:firstLine="482"/>
        <w:rPr>
          <w:b/>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eastAsia" w:cs="Times New Roman"/>
          <w:b/>
          <w:bCs/>
          <w:sz w:val="21"/>
          <w:szCs w:val="21"/>
          <w:lang w:val="en-US" w:eastAsia="zh-CN"/>
        </w:rPr>
        <w:t>10</w:t>
      </w:r>
      <w:r>
        <w:rPr>
          <w:rFonts w:hint="default" w:ascii="Times New Roman" w:hAnsi="Times New Roman" w:eastAsia="宋体" w:cs="Times New Roman"/>
          <w:b/>
          <w:bCs/>
          <w:sz w:val="21"/>
          <w:szCs w:val="21"/>
        </w:rPr>
        <w:t>.2-1 项目主要污染物排放清单</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065"/>
        <w:gridCol w:w="4035"/>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污染物</w:t>
            </w:r>
          </w:p>
        </w:tc>
        <w:tc>
          <w:tcPr>
            <w:tcW w:w="106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403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排放情况</w:t>
            </w:r>
          </w:p>
        </w:tc>
        <w:tc>
          <w:tcPr>
            <w:tcW w:w="255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管理要求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w:t>
            </w:r>
          </w:p>
        </w:tc>
        <w:tc>
          <w:tcPr>
            <w:tcW w:w="106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403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w:t>
            </w:r>
            <w:r>
              <w:rPr>
                <w:rFonts w:hint="default" w:ascii="Times New Roman" w:hAnsi="Times New Roman" w:eastAsia="宋体" w:cs="Times New Roman"/>
                <w:color w:val="auto"/>
                <w:kern w:val="0"/>
                <w:sz w:val="21"/>
                <w:szCs w:val="21"/>
                <w:lang w:val="en-US" w:eastAsia="zh-CN" w:bidi="ar-SA"/>
              </w:rPr>
              <w:t>0.044</w:t>
            </w:r>
            <w:r>
              <w:rPr>
                <w:rFonts w:hint="default" w:ascii="Times New Roman" w:hAnsi="Times New Roman" w:eastAsia="宋体" w:cs="Times New Roman"/>
                <w:b w:val="0"/>
                <w:bCs/>
                <w:color w:val="auto"/>
                <w:sz w:val="21"/>
                <w:szCs w:val="21"/>
                <w:vertAlign w:val="baseline"/>
                <w:lang w:val="en-US" w:eastAsia="zh-CN"/>
              </w:rPr>
              <w:t>t/a、0.003t/a</w:t>
            </w:r>
          </w:p>
        </w:tc>
        <w:tc>
          <w:tcPr>
            <w:tcW w:w="2551"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排放浓度达到《恶臭污染物排放标准》GB14554-93）表1中的二级新扩改建标准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污水处理设施恶臭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S排放量分别为0.012t/a、0.0006t/a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异位发酵床恶臭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w:t>
            </w:r>
            <w:r>
              <w:rPr>
                <w:rFonts w:hint="eastAsia" w:cs="Times New Roman"/>
                <w:b w:val="0"/>
                <w:bCs/>
                <w:color w:val="auto"/>
                <w:sz w:val="21"/>
                <w:szCs w:val="21"/>
                <w:vertAlign w:val="baseline"/>
                <w:lang w:val="en-US" w:eastAsia="zh-CN"/>
              </w:rPr>
              <w:t>24</w:t>
            </w:r>
            <w:r>
              <w:rPr>
                <w:rFonts w:hint="default" w:ascii="Times New Roman" w:hAnsi="Times New Roman" w:eastAsia="宋体" w:cs="Times New Roman"/>
                <w:b w:val="0"/>
                <w:bCs/>
                <w:color w:val="auto"/>
                <w:sz w:val="21"/>
                <w:szCs w:val="21"/>
                <w:vertAlign w:val="baseline"/>
                <w:lang w:val="en-US" w:eastAsia="zh-CN"/>
              </w:rPr>
              <w:t>t/a、0.00</w:t>
            </w:r>
            <w:r>
              <w:rPr>
                <w:rFonts w:hint="eastAsia" w:cs="Times New Roman"/>
                <w:b w:val="0"/>
                <w:bCs/>
                <w:color w:val="auto"/>
                <w:sz w:val="21"/>
                <w:szCs w:val="21"/>
                <w:vertAlign w:val="baseline"/>
                <w:lang w:val="en-US" w:eastAsia="zh-CN"/>
              </w:rPr>
              <w:t>12</w:t>
            </w:r>
            <w:r>
              <w:rPr>
                <w:rFonts w:hint="default" w:ascii="Times New Roman" w:hAnsi="Times New Roman" w:eastAsia="宋体" w:cs="Times New Roman"/>
                <w:b w:val="0"/>
                <w:bCs/>
                <w:color w:val="auto"/>
                <w:sz w:val="21"/>
                <w:szCs w:val="21"/>
                <w:vertAlign w:val="baseline"/>
                <w:lang w:val="en-US" w:eastAsia="zh-CN"/>
              </w:rPr>
              <w:t>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食堂厨房</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eastAsia="zh-CN"/>
              </w:rPr>
            </w:pPr>
            <w:r>
              <w:rPr>
                <w:rFonts w:hint="default" w:ascii="Times New Roman" w:hAnsi="Times New Roman" w:eastAsia="宋体" w:cs="Times New Roman"/>
                <w:color w:val="auto"/>
                <w:sz w:val="21"/>
                <w:szCs w:val="21"/>
                <w:vertAlign w:val="baseline"/>
                <w:lang w:eastAsia="zh-CN"/>
              </w:rPr>
              <w:t>排放量为</w:t>
            </w:r>
            <w:r>
              <w:rPr>
                <w:rFonts w:hint="default" w:ascii="Times New Roman" w:hAnsi="Times New Roman" w:eastAsia="宋体" w:cs="Times New Roman"/>
                <w:b w:val="0"/>
                <w:bCs/>
                <w:color w:val="auto"/>
                <w:sz w:val="21"/>
                <w:szCs w:val="21"/>
                <w:vertAlign w:val="baseline"/>
                <w:lang w:val="en-US" w:eastAsia="zh-CN"/>
              </w:rPr>
              <w:t>0.00</w:t>
            </w:r>
            <w:r>
              <w:rPr>
                <w:rFonts w:hint="eastAsia" w:cs="Times New Roman"/>
                <w:b w:val="0"/>
                <w:bCs/>
                <w:color w:val="auto"/>
                <w:sz w:val="21"/>
                <w:szCs w:val="21"/>
                <w:vertAlign w:val="baseline"/>
                <w:lang w:val="en-US" w:eastAsia="zh-CN"/>
              </w:rPr>
              <w:t>8</w:t>
            </w:r>
            <w:r>
              <w:rPr>
                <w:rFonts w:hint="default" w:ascii="Times New Roman" w:hAnsi="Times New Roman" w:eastAsia="宋体" w:cs="Times New Roman"/>
                <w:b w:val="0"/>
                <w:bCs/>
                <w:color w:val="auto"/>
                <w:sz w:val="21"/>
                <w:szCs w:val="21"/>
                <w:vertAlign w:val="baseline"/>
                <w:lang w:val="en-US" w:eastAsia="zh-CN"/>
              </w:rPr>
              <w:t>t/a</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排放浓度达到《饮食业油烟排放标准（试行）》（GB18483-2001）表2中的中型规模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养殖废水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eastAsia="zh-CN"/>
              </w:rPr>
              <w:t>产生量为</w:t>
            </w:r>
            <w:r>
              <w:rPr>
                <w:rFonts w:hint="eastAsia" w:cs="Times New Roman"/>
                <w:b w:val="0"/>
                <w:bCs w:val="0"/>
                <w:color w:val="auto"/>
                <w:kern w:val="0"/>
                <w:sz w:val="21"/>
                <w:szCs w:val="21"/>
                <w:vertAlign w:val="baseline"/>
                <w:lang w:val="en-US" w:eastAsia="zh-CN" w:bidi="ar-SA"/>
              </w:rPr>
              <w:t>9159.47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经异位发酵床处理，得到有机肥料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生活污水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1752</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default" w:ascii="Times New Roman" w:hAnsi="Times New Roman" w:eastAsia="宋体" w:cs="Times New Roman"/>
                <w:kern w:val="0"/>
                <w:sz w:val="21"/>
                <w:szCs w:val="21"/>
                <w:vertAlign w:val="baseline"/>
                <w:lang w:val="en-US" w:eastAsia="zh-CN" w:bidi="ar-SA"/>
              </w:rPr>
              <w:t>经地埋式一体化生化处理后全部回用于场内绿化</w:t>
            </w:r>
            <w:r>
              <w:rPr>
                <w:rFonts w:hint="eastAsia" w:cs="Times New Roman"/>
                <w:kern w:val="0"/>
                <w:sz w:val="21"/>
                <w:szCs w:val="21"/>
                <w:vertAlign w:val="baseline"/>
                <w:lang w:val="en-US" w:eastAsia="zh-CN" w:bidi="ar-SA"/>
              </w:rPr>
              <w:t>和附近林场灌溉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rPr>
              <w:t>干清猪粪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4319.775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restar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医疗废物</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0.7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病死猪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6.43</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生活垃圾</w:t>
            </w:r>
          </w:p>
        </w:tc>
        <w:tc>
          <w:tcPr>
            <w:tcW w:w="403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10.95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bl>
    <w:p>
      <w:pPr>
        <w:pStyle w:val="4"/>
        <w:rPr>
          <w:rFonts w:hint="eastAsia"/>
        </w:rPr>
      </w:pPr>
      <w:bookmarkStart w:id="113" w:name="_Toc17543"/>
      <w:bookmarkStart w:id="114" w:name="_Toc23606"/>
      <w:r>
        <w:rPr>
          <w:rFonts w:hint="eastAsia"/>
          <w:lang w:eastAsia="zh-CN"/>
        </w:rPr>
        <w:t>环境管理制度</w:t>
      </w:r>
      <w:bookmarkEnd w:id="113"/>
      <w:bookmarkEnd w:id="114"/>
    </w:p>
    <w:p>
      <w:pPr>
        <w:pStyle w:val="5"/>
        <w:ind w:firstLine="562"/>
        <w:rPr>
          <w:rFonts w:hint="eastAsia"/>
        </w:rPr>
      </w:pPr>
      <w:r>
        <w:rPr>
          <w:rFonts w:hint="eastAsia"/>
          <w:lang w:eastAsia="zh-CN"/>
        </w:rPr>
        <w:t>环境管理机构</w:t>
      </w:r>
    </w:p>
    <w:p>
      <w:pPr>
        <w:pStyle w:val="8"/>
        <w:keepNext w:val="0"/>
        <w:keepLines w:val="0"/>
        <w:pageBreakBefore w:val="0"/>
        <w:widowControl w:val="0"/>
        <w:kinsoku/>
        <w:wordWrap/>
        <w:overflowPunct/>
        <w:topLinePunct w:val="0"/>
        <w:autoSpaceDE w:val="0"/>
        <w:autoSpaceDN w:val="0"/>
        <w:bidi w:val="0"/>
        <w:adjustRightInd/>
        <w:snapToGrid/>
        <w:ind w:left="0" w:leftChars="0" w:firstLine="482" w:firstLineChars="200"/>
        <w:textAlignment w:val="auto"/>
        <w:rPr>
          <w:rFonts w:hint="eastAsia" w:eastAsia="宋体"/>
          <w:b/>
          <w:bCs/>
          <w:lang w:val="en-US" w:eastAsia="zh-CN"/>
        </w:rPr>
      </w:pPr>
      <w:r>
        <w:rPr>
          <w:rFonts w:hint="eastAsia"/>
          <w:b/>
          <w:bCs/>
          <w:lang w:val="en-US" w:eastAsia="zh-CN"/>
        </w:rPr>
        <w:t>1、监督管理部门</w:t>
      </w:r>
    </w:p>
    <w:p>
      <w:pPr>
        <w:pStyle w:val="8"/>
        <w:ind w:firstLine="482"/>
        <w:rPr>
          <w:b/>
        </w:rPr>
      </w:pPr>
      <w:r>
        <w:rPr>
          <w:rFonts w:hint="eastAsia"/>
        </w:rPr>
        <w:t>当地生态环境部门负责本项目营运期环境管理监督工作，以保证环保管理制度的落实，包括负责对项目环境保护工作实施管理；组织和协调有关机构为项目环境保护工作服务；根据有关法规及项目环境影响报告书的要求，监测项目环境保护措施的实施；负责项目环境设施的竣工验收；确认项目应执行的环境管理法规和标准；指导监督部门对项目营运期的环境监测管理。</w:t>
      </w:r>
    </w:p>
    <w:p>
      <w:pPr>
        <w:pStyle w:val="8"/>
        <w:keepNext w:val="0"/>
        <w:keepLines w:val="0"/>
        <w:pageBreakBefore w:val="0"/>
        <w:widowControl w:val="0"/>
        <w:kinsoku/>
        <w:wordWrap/>
        <w:overflowPunct/>
        <w:topLinePunct w:val="0"/>
        <w:autoSpaceDE w:val="0"/>
        <w:autoSpaceDN w:val="0"/>
        <w:bidi w:val="0"/>
        <w:adjustRightInd/>
        <w:snapToGrid/>
        <w:ind w:firstLine="482" w:firstLineChars="200"/>
        <w:textAlignment w:val="auto"/>
        <w:rPr>
          <w:rFonts w:hint="eastAsia" w:eastAsia="宋体"/>
          <w:lang w:val="en-US" w:eastAsia="zh-CN"/>
        </w:rPr>
      </w:pPr>
      <w:r>
        <w:rPr>
          <w:rFonts w:hint="eastAsia"/>
          <w:b/>
          <w:bCs/>
          <w:lang w:val="en-US" w:eastAsia="zh-CN"/>
        </w:rPr>
        <w:t>2、建设单位</w:t>
      </w:r>
    </w:p>
    <w:p>
      <w:pPr>
        <w:pStyle w:val="8"/>
        <w:keepNext w:val="0"/>
        <w:keepLines w:val="0"/>
        <w:pageBreakBefore w:val="0"/>
        <w:widowControl w:val="0"/>
        <w:kinsoku/>
        <w:wordWrap/>
        <w:overflowPunct/>
        <w:topLinePunct w:val="0"/>
        <w:autoSpaceDE w:val="0"/>
        <w:autoSpaceDN w:val="0"/>
        <w:bidi w:val="0"/>
        <w:adjustRightInd/>
        <w:snapToGrid/>
        <w:ind w:firstLine="480" w:firstLineChars="200"/>
        <w:textAlignment w:val="auto"/>
      </w:pPr>
      <w:r>
        <w:rPr>
          <w:rFonts w:hint="eastAsia"/>
        </w:rPr>
        <w:t>本项目属于对区域环境有一定影响的建设项目，为实现</w:t>
      </w:r>
      <w:r>
        <w:rPr>
          <w:rFonts w:hint="eastAsia" w:ascii="宋体" w:hAnsi="宋体" w:eastAsia="宋体" w:cs="宋体"/>
        </w:rPr>
        <w:t>“三废”</w:t>
      </w:r>
      <w:r>
        <w:rPr>
          <w:rFonts w:hint="eastAsia"/>
        </w:rPr>
        <w:t xml:space="preserve">的达标排放及保护区域生态景观环境，企业应设置专门的环保机构及相应的管理体系，负责组织、落实、监督本企业的环境保护工作，具体做法是： </w:t>
      </w:r>
    </w:p>
    <w:p>
      <w:pPr>
        <w:pStyle w:val="8"/>
        <w:rPr>
          <w:rFonts w:hint="eastAsia" w:eastAsia="宋体"/>
          <w:b/>
          <w:bCs/>
          <w:snapToGrid w:val="0"/>
          <w:lang w:eastAsia="zh-CN"/>
        </w:rPr>
      </w:pPr>
      <w:r>
        <w:rPr>
          <w:rFonts w:hint="eastAsia"/>
          <w:b/>
          <w:bCs/>
          <w:snapToGrid w:val="0"/>
          <w:lang w:eastAsia="zh-CN"/>
        </w:rPr>
        <w:t>（</w:t>
      </w:r>
      <w:r>
        <w:rPr>
          <w:rFonts w:hint="eastAsia"/>
          <w:b/>
          <w:bCs/>
          <w:snapToGrid w:val="0"/>
          <w:lang w:val="en-US" w:eastAsia="zh-CN"/>
        </w:rPr>
        <w:t>1</w:t>
      </w:r>
      <w:r>
        <w:rPr>
          <w:rFonts w:hint="eastAsia"/>
          <w:b/>
          <w:bCs/>
          <w:snapToGrid w:val="0"/>
          <w:lang w:eastAsia="zh-CN"/>
        </w:rPr>
        <w:t>）由一名公司领导直接分管环保工作</w:t>
      </w:r>
    </w:p>
    <w:p>
      <w:pPr>
        <w:pStyle w:val="8"/>
        <w:ind w:firstLine="482"/>
        <w:rPr>
          <w:b/>
        </w:rPr>
      </w:pPr>
      <w:r>
        <w:rPr>
          <w:rFonts w:hint="eastAsia"/>
          <w:snapToGrid w:val="0"/>
        </w:rPr>
        <w:t>主管分管领导的职责是：掌握企业生产和环保工作的全面动态情况；负责审批企业的环保岗位制度、工作和年度计划；指挥环保工作的实施，协调企业内外各有关部门和组织间的关系。</w:t>
      </w:r>
    </w:p>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）设专门的环保科</w:t>
      </w:r>
    </w:p>
    <w:p>
      <w:pPr>
        <w:pStyle w:val="8"/>
        <w:rPr>
          <w:rFonts w:hint="eastAsia" w:eastAsia="宋体"/>
          <w:lang w:eastAsia="zh-CN"/>
        </w:rPr>
      </w:pPr>
      <w:r>
        <w:rPr>
          <w:rFonts w:hint="eastAsia"/>
          <w:snapToGrid w:val="0"/>
        </w:rPr>
        <w:t>环保科由公司领导直接分管，其主要职责是：贯彻执行环境保护法律法规和标准；根据上级环保行政主管部门的意见制定出严格的环境管理和环境监测制度，督察企业的环境管理，检查制度落实情况；负责</w:t>
      </w:r>
      <w:r>
        <w:rPr>
          <w:rFonts w:hint="eastAsia" w:ascii="宋体" w:hAnsi="宋体" w:eastAsia="宋体" w:cs="宋体"/>
          <w:snapToGrid w:val="0"/>
        </w:rPr>
        <w:t>“三废”</w:t>
      </w:r>
      <w:r>
        <w:rPr>
          <w:rFonts w:hint="eastAsia"/>
          <w:snapToGrid w:val="0"/>
        </w:rPr>
        <w:t>处理工作，检查监督企业环保设施的运行；实施企业的环境监测管理工作，汇总各产污环节排污、环保设施运行状态及环境质量情况；组织委托进行例行的环境监测，协助上级环境管理和监测部门对企业进行环保设施检查；调查、处理企业内外污染事故与污染纠纷；负责组织突发性事故的应急处理及善后事宜，如发生事故应及时报告主管环境部门；建立污染源档案，做好环境统计工作，填报上级环境管理部门的有关环境报表，定期向上级环保行政主管部门报告监测结果，定期进行排污申报；组织开展企业的环保专业技术培训，提高全体职员素质；建立联系网络，及时了解当前污染防治的先进技术，以利于及时对企业进行技术改造，减少污染；提出环保设施运行管理计划及改进建议，推广应用环保先进技术和经验</w:t>
      </w:r>
      <w:r>
        <w:rPr>
          <w:rFonts w:hint="eastAsia"/>
          <w:snapToGrid w:val="0"/>
          <w:lang w:eastAsia="zh-CN"/>
        </w:rPr>
        <w:t>。</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）环保设施的日常运行要求</w:t>
      </w:r>
    </w:p>
    <w:p>
      <w:pPr>
        <w:pStyle w:val="8"/>
        <w:rPr>
          <w:snapToGrid w:val="0"/>
        </w:rPr>
      </w:pPr>
      <w:r>
        <w:rPr>
          <w:rFonts w:hint="eastAsia"/>
          <w:snapToGrid w:val="0"/>
        </w:rPr>
        <w:t xml:space="preserve">环保设施日常维修保养是在专门环保科的组织下对环保设施进行全面检修，确保环保设施正常运行；环保管理人员须经过岗位培训，遵守操作规程；实行岗位与经济效益挂钩制度，严格控制生产用水量，避免浪费水资源；对污染物的综合利用进行研究，为今后进行的技术改造提出意见。 </w:t>
      </w:r>
    </w:p>
    <w:p>
      <w:pPr>
        <w:pStyle w:val="8"/>
        <w:rPr>
          <w:b/>
          <w:bCs/>
          <w:snapToGrid w:val="0"/>
        </w:rPr>
      </w:pPr>
      <w:r>
        <w:rPr>
          <w:rFonts w:hint="eastAsia"/>
          <w:b/>
          <w:bCs/>
          <w:snapToGrid w:val="0"/>
          <w:lang w:eastAsia="zh-CN"/>
        </w:rPr>
        <w:t>（</w:t>
      </w:r>
      <w:r>
        <w:rPr>
          <w:rFonts w:hint="eastAsia"/>
          <w:b/>
          <w:bCs/>
          <w:snapToGrid w:val="0"/>
          <w:lang w:val="en-US" w:eastAsia="zh-CN"/>
        </w:rPr>
        <w:t>4</w:t>
      </w:r>
      <w:r>
        <w:rPr>
          <w:rFonts w:hint="eastAsia"/>
          <w:b/>
          <w:bCs/>
          <w:snapToGrid w:val="0"/>
          <w:lang w:eastAsia="zh-CN"/>
        </w:rPr>
        <w:t>）环保制度的制定</w:t>
      </w:r>
    </w:p>
    <w:p>
      <w:pPr>
        <w:pStyle w:val="8"/>
        <w:rPr>
          <w:rFonts w:hint="eastAsia" w:eastAsia="宋体"/>
          <w:lang w:eastAsia="zh-CN"/>
        </w:rPr>
      </w:pPr>
      <w:r>
        <w:rPr>
          <w:rFonts w:hint="eastAsia"/>
          <w:snapToGrid w:val="0"/>
        </w:rPr>
        <w:t>为了落实各项污染防治措施，加强环境保护管理工作，应根据实际特点，制定各项环境保护制度，并以文件形式规定，形成一套环境管理制度体系。制订的管理制度体系主要为：制订环境保护职责管理规定，明确各岗位的环境保护职责；制订建设项目</w:t>
      </w:r>
      <w:r>
        <w:rPr>
          <w:rFonts w:hint="eastAsia" w:ascii="宋体" w:hAnsi="宋体" w:eastAsia="宋体" w:cs="宋体"/>
          <w:snapToGrid w:val="0"/>
        </w:rPr>
        <w:t>“三同时”</w:t>
      </w:r>
      <w:r>
        <w:rPr>
          <w:rFonts w:hint="eastAsia"/>
          <w:snapToGrid w:val="0"/>
        </w:rPr>
        <w:t>管理制度，保证环保设施与主体工程的同步、正常运行；制订环境保护工作实施计划；制订环境保护定期培训计划，以提高职工环境意识</w:t>
      </w:r>
      <w:r>
        <w:rPr>
          <w:rFonts w:hint="eastAsia"/>
          <w:snapToGrid w:val="0"/>
          <w:lang w:eastAsia="zh-CN"/>
        </w:rPr>
        <w:t>。</w:t>
      </w:r>
    </w:p>
    <w:p>
      <w:pPr>
        <w:pStyle w:val="5"/>
        <w:ind w:firstLine="562"/>
        <w:rPr>
          <w:rFonts w:hint="eastAsia"/>
        </w:rPr>
      </w:pPr>
      <w:r>
        <w:rPr>
          <w:rFonts w:hint="eastAsia"/>
          <w:lang w:eastAsia="zh-CN"/>
        </w:rPr>
        <w:t xml:space="preserve">环境管理台账相关要求 </w:t>
      </w:r>
    </w:p>
    <w:p>
      <w:pPr>
        <w:pStyle w:val="8"/>
      </w:pPr>
      <w:r>
        <w:rPr>
          <w:rFonts w:hint="eastAsia"/>
          <w:snapToGrid w:val="0"/>
        </w:rPr>
        <w:t xml:space="preserve">必须建立生产运行台帐，按日记录污染物产生量与处置情况、主要设备运行状况等，按月记录用电量、运行成本等，运行台帐必须妥善保管，随时接受各级环保部门核查，确保废水和废气处理工艺设备的正常运行和废水、废气达标。建立危险废物的相关台账，产生的危险废物都有转移四联单：产生单位、运输单位、接收单位、环保部门各一份。 </w:t>
      </w:r>
    </w:p>
    <w:p>
      <w:pPr>
        <w:pStyle w:val="4"/>
        <w:rPr>
          <w:rFonts w:hint="eastAsia"/>
        </w:rPr>
      </w:pPr>
      <w:bookmarkStart w:id="115" w:name="_Toc20841"/>
      <w:bookmarkStart w:id="116" w:name="_Toc14563"/>
      <w:r>
        <w:rPr>
          <w:rFonts w:hint="eastAsia"/>
          <w:lang w:eastAsia="zh-CN"/>
        </w:rPr>
        <w:t>环境监测计划</w:t>
      </w:r>
      <w:bookmarkEnd w:id="115"/>
      <w:bookmarkEnd w:id="116"/>
    </w:p>
    <w:p>
      <w:pPr>
        <w:pStyle w:val="5"/>
        <w:ind w:firstLine="562"/>
        <w:rPr>
          <w:rFonts w:hint="eastAsia"/>
        </w:rPr>
      </w:pPr>
      <w:r>
        <w:rPr>
          <w:rFonts w:hint="eastAsia"/>
          <w:lang w:eastAsia="zh-CN"/>
        </w:rPr>
        <w:t xml:space="preserve">营运期环境监测计划 </w:t>
      </w:r>
    </w:p>
    <w:p>
      <w:pPr>
        <w:pStyle w:val="8"/>
        <w:rPr>
          <w:rFonts w:hint="eastAsia"/>
          <w:snapToGrid w:val="0"/>
        </w:rPr>
      </w:pPr>
      <w:r>
        <w:rPr>
          <w:rFonts w:hint="eastAsia"/>
          <w:snapToGrid w:val="0"/>
        </w:rPr>
        <w:t>项目建成后，必须贯彻执行国家有关方针、政策、法律和法规，必须配备专管环保的工作人员，特别注意对废气、污水和工业固废的监督管理，保证达标排放和符合环保要求。统一安排，积极贯彻</w:t>
      </w:r>
      <w:r>
        <w:rPr>
          <w:rFonts w:hint="eastAsia" w:ascii="宋体" w:hAnsi="宋体" w:eastAsia="宋体" w:cs="宋体"/>
          <w:snapToGrid w:val="0"/>
        </w:rPr>
        <w:t>“预防为主、防治结合”</w:t>
      </w:r>
      <w:r>
        <w:rPr>
          <w:rFonts w:hint="eastAsia"/>
          <w:snapToGrid w:val="0"/>
        </w:rPr>
        <w:t xml:space="preserve">的方针，形成环境管理经常化、制度化；对运行中产生的问题需即时制定相应对策，加强与环境保护部门的联系与配合，结合环境监测的结果，及时掌握环境质量的变化状况，采取有效措施把污染控制在国家标准允许的范围内。一旦发生环保污染事故、人身健康危害，要速与当地环保、环卫等部门密切结合，及时消除影响，防治环境污染，保证人员的安全。环境污染要及时做出应急处理。以下几项具体工作应特别注意抓好。 </w:t>
      </w:r>
    </w:p>
    <w:p>
      <w:pPr>
        <w:pStyle w:val="8"/>
        <w:rPr>
          <w:rFonts w:hint="eastAsia" w:eastAsia="宋体"/>
          <w:b/>
          <w:bCs/>
          <w:snapToGrid w:val="0"/>
          <w:lang w:val="en-US" w:eastAsia="zh-CN"/>
        </w:rPr>
      </w:pPr>
      <w:r>
        <w:rPr>
          <w:rFonts w:hint="eastAsia"/>
          <w:b/>
          <w:bCs/>
          <w:snapToGrid w:val="0"/>
          <w:lang w:val="en-US" w:eastAsia="zh-CN"/>
        </w:rPr>
        <w:t>（1）监测方案</w:t>
      </w:r>
    </w:p>
    <w:p>
      <w:pPr>
        <w:pStyle w:val="8"/>
        <w:rPr>
          <w:snapToGrid w:val="0"/>
        </w:rPr>
      </w:pPr>
      <w:r>
        <w:rPr>
          <w:rFonts w:hint="eastAsia"/>
          <w:snapToGrid w:val="0"/>
        </w:rPr>
        <w:t>根据项目特点，营运期污染源监测包括废气、废水和噪声监测，正常营运情况的监测计划见表</w:t>
      </w:r>
      <w:r>
        <w:rPr>
          <w:rFonts w:hint="eastAsia"/>
          <w:snapToGrid w:val="0"/>
          <w:lang w:val="en-US" w:eastAsia="zh-CN"/>
        </w:rPr>
        <w:t>10</w:t>
      </w:r>
      <w:r>
        <w:rPr>
          <w:rFonts w:hint="eastAsia"/>
          <w:snapToGrid w:val="0"/>
        </w:rPr>
        <w:t xml:space="preserve">.4-1。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napToGrid w:val="0"/>
          <w:sz w:val="21"/>
          <w:szCs w:val="21"/>
          <w:lang w:val="en-US" w:eastAsia="zh-CN"/>
        </w:rPr>
      </w:pPr>
      <w:r>
        <w:rPr>
          <w:rFonts w:hint="default" w:ascii="Times New Roman" w:hAnsi="Times New Roman" w:eastAsia="宋体" w:cs="Times New Roman"/>
          <w:b/>
          <w:bCs/>
          <w:snapToGrid w:val="0"/>
          <w:sz w:val="21"/>
          <w:szCs w:val="21"/>
          <w:lang w:eastAsia="zh-CN"/>
        </w:rPr>
        <w:t>表</w:t>
      </w:r>
      <w:r>
        <w:rPr>
          <w:rFonts w:hint="eastAsia" w:cs="Times New Roman"/>
          <w:b/>
          <w:bCs/>
          <w:snapToGrid w:val="0"/>
          <w:sz w:val="21"/>
          <w:szCs w:val="21"/>
          <w:lang w:val="en-US" w:eastAsia="zh-CN"/>
        </w:rPr>
        <w:t>10</w:t>
      </w:r>
      <w:r>
        <w:rPr>
          <w:rFonts w:hint="default" w:ascii="Times New Roman" w:hAnsi="Times New Roman" w:eastAsia="宋体" w:cs="Times New Roman"/>
          <w:b/>
          <w:bCs/>
          <w:snapToGrid w:val="0"/>
          <w:sz w:val="21"/>
          <w:szCs w:val="21"/>
          <w:lang w:val="en-US" w:eastAsia="zh-CN"/>
        </w:rPr>
        <w:t>4-1   营运期项目日常监测方案</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3405"/>
        <w:gridCol w:w="2463"/>
        <w:gridCol w:w="1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要素</w:t>
            </w:r>
          </w:p>
        </w:tc>
        <w:tc>
          <w:tcPr>
            <w:tcW w:w="340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监测点位</w:t>
            </w:r>
          </w:p>
        </w:tc>
        <w:tc>
          <w:tcPr>
            <w:tcW w:w="2463"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监测项目</w:t>
            </w:r>
          </w:p>
        </w:tc>
        <w:tc>
          <w:tcPr>
            <w:tcW w:w="1993"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66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废气</w:t>
            </w:r>
          </w:p>
        </w:tc>
        <w:tc>
          <w:tcPr>
            <w:tcW w:w="340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color w:val="auto"/>
                <w:sz w:val="21"/>
                <w:szCs w:val="21"/>
                <w:lang w:eastAsia="zh-CN"/>
              </w:rPr>
              <w:t>场界</w:t>
            </w:r>
            <w:r>
              <w:rPr>
                <w:rFonts w:hint="eastAsia" w:ascii="宋体" w:hAnsi="宋体" w:eastAsia="宋体"/>
                <w:color w:val="auto"/>
                <w:sz w:val="21"/>
                <w:szCs w:val="21"/>
              </w:rPr>
              <w:t>上风向设</w:t>
            </w:r>
            <w:r>
              <w:rPr>
                <w:rFonts w:hint="eastAsia" w:ascii="Times New Roman" w:hAnsi="Times New Roman" w:eastAsia="Times New Roman"/>
                <w:color w:val="auto"/>
                <w:sz w:val="21"/>
                <w:szCs w:val="21"/>
              </w:rPr>
              <w:t>1</w:t>
            </w:r>
            <w:r>
              <w:rPr>
                <w:rFonts w:hint="eastAsia" w:ascii="宋体" w:hAnsi="宋体" w:eastAsia="宋体"/>
                <w:color w:val="auto"/>
                <w:sz w:val="21"/>
                <w:szCs w:val="21"/>
              </w:rPr>
              <w:t>个测点，下风向场界外</w:t>
            </w:r>
            <w:r>
              <w:rPr>
                <w:rFonts w:hint="eastAsia" w:ascii="Times New Roman" w:hAnsi="Times New Roman" w:eastAsia="Times New Roman"/>
                <w:color w:val="auto"/>
                <w:sz w:val="21"/>
                <w:szCs w:val="21"/>
              </w:rPr>
              <w:t>20m</w:t>
            </w:r>
            <w:r>
              <w:rPr>
                <w:rFonts w:hint="eastAsia" w:ascii="宋体" w:hAnsi="宋体" w:eastAsia="宋体"/>
                <w:color w:val="auto"/>
                <w:sz w:val="21"/>
                <w:szCs w:val="21"/>
              </w:rPr>
              <w:t>范围内设</w:t>
            </w:r>
            <w:r>
              <w:rPr>
                <w:rFonts w:hint="eastAsia" w:eastAsia="宋体"/>
                <w:color w:val="auto"/>
                <w:sz w:val="21"/>
                <w:szCs w:val="21"/>
                <w:lang w:val="en-US" w:eastAsia="zh-CN"/>
              </w:rPr>
              <w:t>2</w:t>
            </w:r>
            <w:r>
              <w:rPr>
                <w:rFonts w:hint="eastAsia" w:ascii="宋体" w:hAnsi="宋体" w:eastAsia="宋体"/>
                <w:color w:val="auto"/>
                <w:sz w:val="21"/>
                <w:szCs w:val="21"/>
              </w:rPr>
              <w:t>个测点</w:t>
            </w:r>
          </w:p>
        </w:tc>
        <w:tc>
          <w:tcPr>
            <w:tcW w:w="2463"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硫化氢、氨、臭气强度</w:t>
            </w:r>
          </w:p>
        </w:tc>
        <w:tc>
          <w:tcPr>
            <w:tcW w:w="1993"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sz w:val="21"/>
                <w:szCs w:val="21"/>
                <w:vertAlign w:val="baseline"/>
              </w:rPr>
            </w:pP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食堂油烟排放口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油烟</w:t>
            </w:r>
          </w:p>
        </w:tc>
        <w:tc>
          <w:tcPr>
            <w:tcW w:w="1993"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污水处理站进口、出口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w:t>
            </w:r>
            <w:r>
              <w:rPr>
                <w:rFonts w:hint="default" w:ascii="Times New Roman" w:hAnsi="Times New Roman" w:eastAsia="Times New Roman" w:cs="Times New Roman"/>
                <w:color w:val="auto"/>
                <w:sz w:val="21"/>
                <w:szCs w:val="21"/>
              </w:rPr>
              <w:t>H</w:t>
            </w:r>
            <w:r>
              <w:rPr>
                <w:rFonts w:hint="default" w:ascii="Times New Roman" w:hAnsi="Times New Roman" w:eastAsia="宋体" w:cs="Times New Roman"/>
                <w:color w:val="auto"/>
                <w:sz w:val="21"/>
                <w:szCs w:val="21"/>
              </w:rPr>
              <w:t>值、</w:t>
            </w:r>
            <w:r>
              <w:rPr>
                <w:rFonts w:hint="default" w:ascii="Times New Roman" w:hAnsi="Times New Roman" w:eastAsia="Times New Roman" w:cs="Times New Roman"/>
                <w:color w:val="auto"/>
                <w:sz w:val="21"/>
                <w:szCs w:val="21"/>
              </w:rPr>
              <w:t>COD</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BOD</w:t>
            </w:r>
            <w:r>
              <w:rPr>
                <w:rFonts w:hint="default" w:ascii="Times New Roman" w:hAnsi="Times New Roman" w:eastAsia="Times New Roman" w:cs="Times New Roman"/>
                <w:color w:val="auto"/>
                <w:sz w:val="21"/>
                <w:szCs w:val="21"/>
                <w:vertAlign w:val="subscript"/>
              </w:rPr>
              <w:t>5</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SS</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TP</w:t>
            </w:r>
            <w:r>
              <w:rPr>
                <w:rFonts w:hint="default" w:ascii="Times New Roman" w:hAnsi="Times New Roman" w:eastAsia="宋体" w:cs="Times New Roman"/>
                <w:color w:val="auto"/>
                <w:sz w:val="21"/>
                <w:szCs w:val="21"/>
              </w:rPr>
              <w:t>、粪大肠菌群、蛔虫卵、流量</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天，每天采样</w:t>
            </w:r>
            <w:r>
              <w:rPr>
                <w:rFonts w:hint="eastAsia" w:ascii="Times New Roman" w:hAnsi="Times New Roman" w:eastAsia="Times New Roman"/>
                <w:color w:val="auto"/>
                <w:sz w:val="21"/>
                <w:szCs w:val="21"/>
              </w:rPr>
              <w:t>4</w:t>
            </w:r>
            <w:r>
              <w:rPr>
                <w:rFonts w:hint="eastAsia" w:ascii="宋体" w:hAnsi="宋体" w:eastAsia="宋体"/>
                <w:color w:val="auto"/>
                <w:sz w:val="21"/>
                <w:szCs w:val="21"/>
              </w:rPr>
              <w:t xml:space="preserve">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ascii="宋体" w:hAnsi="宋体" w:eastAsia="宋体"/>
                <w:color w:val="auto"/>
                <w:sz w:val="21"/>
                <w:szCs w:val="21"/>
              </w:rPr>
              <w:t>厂界外</w:t>
            </w:r>
            <w:r>
              <w:rPr>
                <w:rFonts w:hint="eastAsia" w:ascii="Times New Roman" w:hAnsi="Times New Roman" w:eastAsia="Times New Roman"/>
                <w:color w:val="auto"/>
                <w:sz w:val="21"/>
                <w:szCs w:val="21"/>
              </w:rPr>
              <w:t>1m</w:t>
            </w:r>
            <w:r>
              <w:rPr>
                <w:rFonts w:hint="eastAsia" w:ascii="宋体" w:hAnsi="宋体" w:eastAsia="宋体"/>
                <w:color w:val="auto"/>
                <w:sz w:val="21"/>
                <w:szCs w:val="21"/>
              </w:rPr>
              <w:t>处于主要源声（猪舍、粪污处理区、病死猪无害化处理设备）附近布设适当监测点（</w:t>
            </w:r>
            <w:r>
              <w:rPr>
                <w:rFonts w:hint="eastAsia" w:ascii="Times New Roman" w:hAnsi="Times New Roman" w:eastAsia="Times New Roman"/>
                <w:color w:val="auto"/>
                <w:sz w:val="21"/>
                <w:szCs w:val="21"/>
              </w:rPr>
              <w:t>4</w:t>
            </w:r>
            <w:r>
              <w:rPr>
                <w:rFonts w:hint="eastAsia" w:ascii="宋体" w:hAnsi="宋体" w:eastAsia="宋体"/>
                <w:color w:val="auto"/>
                <w:sz w:val="21"/>
                <w:szCs w:val="21"/>
              </w:rPr>
              <w:t>个以上</w:t>
            </w:r>
            <w:r>
              <w:rPr>
                <w:rFonts w:hint="eastAsia" w:ascii="宋体" w:hAnsi="宋体"/>
                <w:color w:val="auto"/>
                <w:sz w:val="21"/>
                <w:szCs w:val="21"/>
                <w:lang w:eastAsia="zh-CN"/>
              </w:rPr>
              <w:t>）</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连续等效A声级</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每年2次，每次连续监测2天，每天昼、夜间各1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地下水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场区水井</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、总硬度、溶解性总固体、高锰酸盐指数、氨氮、硝酸盐、亚酸盐、硫酸盐、总大肠菌群</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每年2次，每次连续监测3天，每天采样1次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土壤</w:t>
            </w:r>
          </w:p>
        </w:tc>
        <w:tc>
          <w:tcPr>
            <w:tcW w:w="340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w:t>
            </w:r>
          </w:p>
        </w:tc>
        <w:tc>
          <w:tcPr>
            <w:tcW w:w="2463"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值、镉、汞、铜、砷、锌等重金属及氮、磷、钾等土壤养分的跟踪监测</w:t>
            </w:r>
          </w:p>
        </w:tc>
        <w:tc>
          <w:tcPr>
            <w:tcW w:w="1993"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每个季度监测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 xml:space="preserve">天 </w:t>
            </w:r>
          </w:p>
        </w:tc>
      </w:tr>
    </w:tbl>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）分析方法</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采用国家规定的监测采样和分析化验方法，评价标准执行本次评价经批复的国家标准。废气监测按国家环保局发布的《空气和废气监测分析方法》等技术规范进行；废水监测按国家环保总局发布的</w:t>
      </w:r>
      <w:r>
        <w:rPr>
          <w:rFonts w:hint="eastAsia"/>
        </w:rPr>
        <w:t>《地表水和污水监测技术规范》</w:t>
      </w:r>
      <w:r>
        <w:rPr>
          <w:rFonts w:hint="eastAsia"/>
          <w:lang w:eastAsia="zh-CN"/>
        </w:rPr>
        <w:t>、《污水监测技术规范》</w:t>
      </w:r>
      <w:r>
        <w:rPr>
          <w:rFonts w:hint="eastAsia"/>
          <w:snapToGrid w:val="0"/>
        </w:rPr>
        <w:t>等技术规范进行；噪声监测按《声环境质量标准》（GB3096-2008）等技术规范进行；土壤监测按《土壤环境质量农用地土壤污染风险管控标准》（GB15618-2018）等技术规范进行。</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w:t>
      </w:r>
      <w:r>
        <w:rPr>
          <w:rFonts w:hint="eastAsia"/>
          <w:b/>
          <w:bCs/>
          <w:snapToGrid w:val="0"/>
        </w:rPr>
        <w:t xml:space="preserve">监测工作保障措施 </w:t>
      </w:r>
    </w:p>
    <w:p>
      <w:pPr>
        <w:pStyle w:val="8"/>
        <w:rPr>
          <w:rFonts w:hint="eastAsia"/>
          <w:snapToGrid w:val="0"/>
        </w:rPr>
      </w:pPr>
      <w:r>
        <w:rPr>
          <w:rFonts w:hint="eastAsia"/>
          <w:snapToGrid w:val="0"/>
        </w:rPr>
        <w:t>1）组织领导实施</w:t>
      </w:r>
    </w:p>
    <w:p>
      <w:pPr>
        <w:pStyle w:val="8"/>
        <w:rPr>
          <w:rFonts w:hint="eastAsia"/>
          <w:snapToGrid w:val="0"/>
        </w:rPr>
      </w:pPr>
      <w:r>
        <w:rPr>
          <w:rFonts w:hint="eastAsia"/>
          <w:snapToGrid w:val="0"/>
        </w:rPr>
        <w:t xml:space="preserve">建设单位可根据监测计划委托有资质的环境监测单位进行环境监测工作，监测单位负责完成建设单位委托的监测任务，确保环境监测工作能按监测计划顺利完成。 </w:t>
      </w:r>
    </w:p>
    <w:p>
      <w:pPr>
        <w:pStyle w:val="8"/>
        <w:numPr>
          <w:ilvl w:val="0"/>
          <w:numId w:val="0"/>
        </w:numPr>
        <w:ind w:leftChars="200"/>
        <w:rPr>
          <w:rFonts w:hint="eastAsia"/>
          <w:snapToGrid w:val="0"/>
        </w:rPr>
      </w:pPr>
      <w:r>
        <w:rPr>
          <w:rFonts w:hint="eastAsia"/>
          <w:snapToGrid w:val="0"/>
          <w:lang w:val="en-US" w:eastAsia="zh-CN"/>
        </w:rPr>
        <w:t>2</w:t>
      </w:r>
      <w:r>
        <w:rPr>
          <w:rFonts w:hint="eastAsia"/>
          <w:snapToGrid w:val="0"/>
          <w:lang w:eastAsia="zh-CN"/>
        </w:rPr>
        <w:t>）</w:t>
      </w:r>
      <w:r>
        <w:rPr>
          <w:rFonts w:hint="eastAsia"/>
          <w:snapToGrid w:val="0"/>
        </w:rPr>
        <w:t>技术保证措施</w:t>
      </w:r>
    </w:p>
    <w:p>
      <w:pPr>
        <w:pStyle w:val="8"/>
        <w:numPr>
          <w:ilvl w:val="0"/>
          <w:numId w:val="0"/>
        </w:numPr>
        <w:ind w:leftChars="200"/>
        <w:rPr>
          <w:rFonts w:hint="eastAsia"/>
          <w:snapToGrid w:val="0"/>
        </w:rPr>
      </w:pPr>
      <w:r>
        <w:rPr>
          <w:rFonts w:hint="eastAsia"/>
          <w:snapToGrid w:val="0"/>
        </w:rPr>
        <w:t xml:space="preserve">为了确保监测质量，监测人员必须有相应的资格证书或上岗证书。 </w:t>
      </w:r>
    </w:p>
    <w:p>
      <w:pPr>
        <w:pStyle w:val="8"/>
        <w:numPr>
          <w:ilvl w:val="0"/>
          <w:numId w:val="0"/>
        </w:numPr>
        <w:ind w:leftChars="200"/>
        <w:rPr>
          <w:rFonts w:hint="eastAsia"/>
          <w:snapToGrid w:val="0"/>
        </w:rPr>
      </w:pPr>
      <w:r>
        <w:rPr>
          <w:rFonts w:hint="eastAsia"/>
          <w:snapToGrid w:val="0"/>
          <w:lang w:val="en-US" w:eastAsia="zh-CN"/>
        </w:rPr>
        <w:t>3</w:t>
      </w:r>
      <w:r>
        <w:rPr>
          <w:rFonts w:hint="eastAsia"/>
          <w:snapToGrid w:val="0"/>
          <w:lang w:eastAsia="zh-CN"/>
        </w:rPr>
        <w:t>）</w:t>
      </w:r>
      <w:r>
        <w:rPr>
          <w:rFonts w:hint="eastAsia"/>
          <w:snapToGrid w:val="0"/>
        </w:rPr>
        <w:t xml:space="preserve">资金保证措施 </w:t>
      </w:r>
    </w:p>
    <w:p>
      <w:pPr>
        <w:pStyle w:val="8"/>
        <w:numPr>
          <w:ilvl w:val="0"/>
          <w:numId w:val="0"/>
        </w:numPr>
        <w:ind w:leftChars="200"/>
        <w:rPr>
          <w:snapToGrid w:val="0"/>
        </w:rPr>
      </w:pPr>
      <w:r>
        <w:rPr>
          <w:rFonts w:hint="eastAsia"/>
          <w:snapToGrid w:val="0"/>
        </w:rPr>
        <w:t>监测费用由建设单位支付，该费用专款专用，保证监测工作的顺利进行。</w:t>
      </w:r>
    </w:p>
    <w:p>
      <w:pPr>
        <w:pStyle w:val="5"/>
        <w:ind w:firstLine="562"/>
        <w:rPr>
          <w:rFonts w:hint="eastAsia"/>
        </w:rPr>
      </w:pPr>
      <w:r>
        <w:rPr>
          <w:rFonts w:hint="eastAsia"/>
          <w:lang w:eastAsia="zh-CN"/>
        </w:rPr>
        <w:t xml:space="preserve">项目排污许可证申请 </w:t>
      </w:r>
    </w:p>
    <w:p>
      <w:pPr>
        <w:pStyle w:val="8"/>
        <w:rPr>
          <w:snapToGrid w:val="0"/>
        </w:rPr>
      </w:pPr>
      <w:r>
        <w:rPr>
          <w:rFonts w:hint="eastAsia"/>
          <w:snapToGrid w:val="0"/>
        </w:rPr>
        <w:t>根据《排污许可管理办法（试行）》、《排污许可证申请与核发技术规范 畜禽养殖行业》（HJ1029-2019），建设单位应当在投入生产或使用并产生实际排污行为之前，依法按照排污许可证申请与核发技术规范提交排污许可证申请，申报排放污染物种类、排放浓度等，计算并申报污染物排放量，申请领取排污许可证。根据《排污许可证申请与核发技术规范 畜禽养殖行业》（HJ1029-2019）中附录A环境管理台账记录、附录B排污许可证执行报告表格进行项目日常环境管理及排污许可证申报。</w:t>
      </w:r>
    </w:p>
    <w:p>
      <w:pPr>
        <w:pStyle w:val="5"/>
        <w:ind w:firstLine="562"/>
        <w:rPr>
          <w:rFonts w:hint="eastAsia"/>
        </w:rPr>
      </w:pPr>
      <w:r>
        <w:rPr>
          <w:rFonts w:hint="eastAsia"/>
          <w:lang w:eastAsia="zh-CN"/>
        </w:rPr>
        <w:t xml:space="preserve">项目竣工验收监测  </w:t>
      </w:r>
    </w:p>
    <w:p>
      <w:pPr>
        <w:pStyle w:val="8"/>
        <w:rPr>
          <w:rFonts w:hint="eastAsia" w:ascii="宋体" w:hAnsi="宋体" w:eastAsia="宋体" w:cs="宋体"/>
          <w:snapToGrid w:val="0"/>
        </w:rPr>
      </w:pPr>
      <w:r>
        <w:rPr>
          <w:rFonts w:hint="eastAsia" w:ascii="宋体" w:hAnsi="宋体" w:eastAsia="宋体" w:cs="宋体"/>
          <w:snapToGrid w:val="0"/>
        </w:rPr>
        <w:t>根据《建设项目环境保护管理条例》（2017年7月16日修订）第十七条“编制环境影响报告书、环境影响报告表的建设项目竣工后，建设单位应当按照国务院环境保护行政主管部门规定的标准和程序，对配套建设的环境保护设施进行验收，编制验收报告”。因此，本项目竣工后，建设单位按照相关规定开展本项目验收工作，项目“三同时”环保设施验收项目见表</w:t>
      </w:r>
      <w:r>
        <w:rPr>
          <w:rFonts w:hint="eastAsia" w:cs="Times New Roman"/>
          <w:snapToGrid w:val="0"/>
          <w:lang w:val="en-US" w:eastAsia="zh-CN"/>
        </w:rPr>
        <w:t>10</w:t>
      </w:r>
      <w:r>
        <w:rPr>
          <w:rFonts w:hint="default" w:ascii="Times New Roman" w:hAnsi="Times New Roman" w:eastAsia="宋体" w:cs="Times New Roman"/>
          <w:snapToGrid w:val="0"/>
        </w:rPr>
        <w:t>.4-2。</w:t>
      </w:r>
      <w:r>
        <w:rPr>
          <w:rFonts w:hint="eastAsia" w:ascii="宋体" w:hAnsi="宋体" w:eastAsia="宋体" w:cs="宋体"/>
          <w:snapToGrid w:val="0"/>
        </w:rPr>
        <w:t xml:space="preserve">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10.4-2  项目“三同时”环保设施验收一览表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1"/>
        <w:gridCol w:w="3300"/>
        <w:gridCol w:w="3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环保设施建设</w:t>
            </w:r>
          </w:p>
        </w:tc>
        <w:tc>
          <w:tcPr>
            <w:tcW w:w="3300"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验收内容</w:t>
            </w:r>
          </w:p>
        </w:tc>
        <w:tc>
          <w:tcPr>
            <w:tcW w:w="330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napToGrid w:val="0"/>
                <w:sz w:val="21"/>
                <w:szCs w:val="21"/>
                <w:vertAlign w:val="baseline"/>
                <w:lang w:val="en-US" w:eastAsia="zh-CN"/>
              </w:rPr>
            </w:pPr>
            <w:r>
              <w:rPr>
                <w:rFonts w:hint="eastAsia"/>
                <w:snapToGrid w:val="0"/>
                <w:sz w:val="21"/>
                <w:szCs w:val="21"/>
                <w:vertAlign w:val="baseline"/>
                <w:lang w:val="en-US" w:eastAsia="zh-CN"/>
              </w:rPr>
              <w:t>治理效率及效果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大气污染防治措施</w:t>
            </w:r>
          </w:p>
        </w:tc>
        <w:tc>
          <w:tcPr>
            <w:tcW w:w="3300"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color w:val="000000"/>
                <w:sz w:val="21"/>
                <w:lang w:eastAsia="zh-CN"/>
              </w:rPr>
            </w:pPr>
            <w:r>
              <w:rPr>
                <w:rFonts w:hint="eastAsia" w:ascii="宋体" w:hAnsi="宋体"/>
                <w:color w:val="000000"/>
                <w:sz w:val="21"/>
                <w:lang w:eastAsia="zh-CN"/>
              </w:rPr>
              <w:t>（</w:t>
            </w:r>
            <w:r>
              <w:rPr>
                <w:rFonts w:hint="eastAsia" w:ascii="宋体" w:hAnsi="宋体"/>
                <w:color w:val="000000"/>
                <w:sz w:val="21"/>
                <w:lang w:val="en-US" w:eastAsia="zh-CN"/>
              </w:rPr>
              <w:t>1</w:t>
            </w:r>
            <w:r>
              <w:rPr>
                <w:rFonts w:hint="eastAsia" w:ascii="宋体" w:hAnsi="宋体"/>
                <w:color w:val="000000"/>
                <w:sz w:val="21"/>
                <w:lang w:eastAsia="zh-CN"/>
              </w:rPr>
              <w:t>）喷洒除臭剂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2</w:t>
            </w:r>
            <w:r>
              <w:rPr>
                <w:rFonts w:hint="eastAsia" w:ascii="宋体" w:hAnsi="宋体"/>
                <w:color w:val="000000"/>
                <w:sz w:val="21"/>
                <w:lang w:eastAsia="zh-CN"/>
              </w:rPr>
              <w:t>）</w:t>
            </w:r>
            <w:r>
              <w:rPr>
                <w:rFonts w:hint="eastAsia" w:ascii="宋体" w:hAnsi="宋体" w:eastAsia="宋体"/>
                <w:color w:val="000000"/>
                <w:sz w:val="21"/>
              </w:rPr>
              <w:t>污水处理站各处理池采用密封方式。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3</w:t>
            </w:r>
            <w:r>
              <w:rPr>
                <w:rFonts w:hint="eastAsia" w:ascii="宋体" w:hAnsi="宋体"/>
                <w:color w:val="000000"/>
                <w:sz w:val="21"/>
                <w:lang w:eastAsia="zh-CN"/>
              </w:rPr>
              <w:t>）</w:t>
            </w:r>
            <w:r>
              <w:rPr>
                <w:rFonts w:hint="eastAsia" w:ascii="宋体" w:hAnsi="宋体" w:eastAsia="宋体"/>
                <w:color w:val="000000"/>
                <w:sz w:val="21"/>
              </w:rPr>
              <w:t>防护绿化带建设。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default" w:ascii="宋体" w:hAnsi="宋体" w:eastAsia="宋体"/>
                <w:color w:val="000000"/>
                <w:sz w:val="21"/>
                <w:lang w:val="en-US" w:eastAsia="zh-CN"/>
              </w:rPr>
            </w:pPr>
            <w:r>
              <w:rPr>
                <w:rFonts w:hint="eastAsia" w:ascii="宋体" w:hAnsi="宋体"/>
                <w:color w:val="000000"/>
                <w:sz w:val="21"/>
                <w:lang w:eastAsia="zh-CN"/>
              </w:rPr>
              <w:t>（</w:t>
            </w:r>
            <w:r>
              <w:rPr>
                <w:rFonts w:hint="eastAsia" w:ascii="宋体" w:hAnsi="宋体"/>
                <w:color w:val="000000"/>
                <w:sz w:val="21"/>
                <w:lang w:val="en-US" w:eastAsia="zh-CN"/>
              </w:rPr>
              <w:t>4</w:t>
            </w:r>
            <w:r>
              <w:rPr>
                <w:rFonts w:hint="eastAsia" w:ascii="宋体" w:hAnsi="宋体"/>
                <w:color w:val="000000"/>
                <w:sz w:val="21"/>
                <w:lang w:eastAsia="zh-CN"/>
              </w:rPr>
              <w:t>）</w:t>
            </w:r>
            <w:r>
              <w:rPr>
                <w:rFonts w:hint="eastAsia" w:ascii="宋体" w:hAnsi="宋体"/>
                <w:color w:val="000000"/>
                <w:sz w:val="21"/>
                <w:lang w:val="en-US" w:eastAsia="zh-CN"/>
              </w:rPr>
              <w:t>异位发酵床</w:t>
            </w:r>
          </w:p>
        </w:tc>
        <w:tc>
          <w:tcPr>
            <w:tcW w:w="3301" w:type="dxa"/>
            <w:tcBorders>
              <w:top w:val="single" w:color="auto" w:sz="12" w:space="0"/>
              <w:right w:val="nil"/>
            </w:tcBorders>
            <w:vAlign w:val="center"/>
          </w:tcPr>
          <w:p>
            <w:pPr>
              <w:rPr>
                <w:rFonts w:hint="default" w:ascii="宋体" w:hAnsi="宋体"/>
                <w:color w:val="000000"/>
                <w:sz w:val="21"/>
                <w:lang w:val="en-US"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水污染防治措施</w:t>
            </w:r>
          </w:p>
        </w:tc>
        <w:tc>
          <w:tcPr>
            <w:tcW w:w="3300" w:type="dxa"/>
            <w:tcBorders>
              <w:right w:val="nil"/>
            </w:tcBorders>
            <w:vAlign w:val="center"/>
          </w:tcPr>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 xml:space="preserve">采用干清粪工艺，设置完善的雨水、污水收集管网。 </w:t>
            </w:r>
          </w:p>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污水处理</w:t>
            </w:r>
            <w:r>
              <w:rPr>
                <w:rFonts w:hint="eastAsia" w:ascii="宋体" w:hAnsi="宋体"/>
                <w:color w:val="000000"/>
                <w:sz w:val="21"/>
                <w:lang w:eastAsia="zh-CN"/>
              </w:rPr>
              <w:t>设施</w:t>
            </w:r>
            <w:r>
              <w:rPr>
                <w:rFonts w:hint="eastAsia" w:ascii="宋体" w:hAnsi="宋体" w:eastAsia="宋体"/>
                <w:color w:val="000000"/>
                <w:sz w:val="21"/>
              </w:rPr>
              <w:t xml:space="preserve">规模能满足项目污水处理需要。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snapToGrid w:val="0"/>
                <w:sz w:val="21"/>
                <w:szCs w:val="21"/>
                <w:vertAlign w:val="baseline"/>
              </w:rPr>
            </w:pPr>
            <w:r>
              <w:rPr>
                <w:rFonts w:hint="eastAsia" w:ascii="宋体" w:hAnsi="宋体" w:eastAsia="宋体"/>
                <w:color w:val="000000"/>
                <w:sz w:val="21"/>
              </w:rPr>
              <w:t>（</w:t>
            </w:r>
            <w:r>
              <w:rPr>
                <w:rFonts w:hint="eastAsia" w:ascii="Times New Roman" w:hAnsi="Times New Roman" w:eastAsia="Times New Roman"/>
                <w:color w:val="000000"/>
                <w:sz w:val="21"/>
              </w:rPr>
              <w:t>3</w:t>
            </w:r>
            <w:r>
              <w:rPr>
                <w:rFonts w:hint="eastAsia" w:ascii="宋体" w:hAnsi="宋体" w:eastAsia="宋体"/>
                <w:color w:val="000000"/>
                <w:sz w:val="21"/>
              </w:rPr>
              <w:t>）猪舍区、粪污处理区、污水管网布设区、生活区厕所、备用柴油库房等区域采用防渗措施。</w:t>
            </w:r>
          </w:p>
        </w:tc>
        <w:tc>
          <w:tcPr>
            <w:tcW w:w="3301"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rFonts w:hint="default" w:ascii="宋体" w:hAnsi="宋体" w:eastAsia="宋体"/>
                <w:color w:val="000000"/>
                <w:sz w:val="21"/>
                <w:lang w:val="en-US"/>
              </w:rPr>
            </w:pPr>
            <w:r>
              <w:rPr>
                <w:rFonts w:hint="eastAsia" w:ascii="宋体" w:hAnsi="宋体" w:eastAsia="宋体"/>
                <w:color w:val="000000"/>
                <w:sz w:val="21"/>
                <w:lang w:val="en-US" w:eastAsia="zh-CN"/>
              </w:rPr>
              <w:t>生活污水执行《畜禽养殖业污染物排放标准》（DB44/613-2009）中集约化畜禽养殖业水污染物最高允许日排放浓度和《农田灌溉水质标准》（GB5084-2005）中旱作标准后用于附近林业和农田的灌溉，不外排</w:t>
            </w:r>
            <w:r>
              <w:rPr>
                <w:rFonts w:hint="eastAsia" w:ascii="宋体" w:hAnsi="宋体"/>
                <w:color w:val="000000"/>
                <w:sz w:val="21"/>
                <w:lang w:val="en-US" w:eastAsia="zh-CN"/>
              </w:rPr>
              <w:t>；猪尿急生产废水经异位发酵床处理后制得有机肥外售，不外排。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噪声污染防治措施</w:t>
            </w:r>
          </w:p>
        </w:tc>
        <w:tc>
          <w:tcPr>
            <w:tcW w:w="3300"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选用低噪声设备，高噪声设备加装减振、消音</w:t>
            </w:r>
            <w:r>
              <w:rPr>
                <w:rFonts w:hint="eastAsia" w:ascii="宋体" w:hAnsi="宋体"/>
                <w:color w:val="000000"/>
                <w:sz w:val="21"/>
                <w:lang w:eastAsia="zh-CN"/>
              </w:rPr>
              <w:t>措施</w:t>
            </w:r>
          </w:p>
        </w:tc>
        <w:tc>
          <w:tcPr>
            <w:tcW w:w="330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营运期厂界噪声执行《工业企业厂界环境噪声排放标准》</w:t>
            </w:r>
            <w:r>
              <w:rPr>
                <w:rFonts w:hint="eastAsia" w:ascii="宋体" w:hAnsi="宋体" w:eastAsia="宋体"/>
                <w:color w:val="000000"/>
                <w:sz w:val="21"/>
                <w:lang w:eastAsia="zh-CN"/>
              </w:rPr>
              <w:t>（</w:t>
            </w:r>
            <w:r>
              <w:rPr>
                <w:rFonts w:hint="eastAsia" w:ascii="宋体" w:hAnsi="宋体" w:eastAsia="宋体"/>
                <w:color w:val="000000"/>
                <w:sz w:val="21"/>
              </w:rPr>
              <w:t>GB12348-2008</w:t>
            </w:r>
            <w:r>
              <w:rPr>
                <w:rFonts w:hint="eastAsia" w:ascii="宋体" w:hAnsi="宋体" w:eastAsia="宋体"/>
                <w:color w:val="000000"/>
                <w:sz w:val="21"/>
                <w:lang w:eastAsia="zh-CN"/>
              </w:rPr>
              <w:t>）</w:t>
            </w:r>
            <w:r>
              <w:rPr>
                <w:rFonts w:hint="eastAsia" w:ascii="宋体" w:hAnsi="宋体" w:eastAsia="宋体"/>
                <w:color w:val="000000"/>
                <w:sz w:val="21"/>
              </w:rPr>
              <w:t>1类标准：昼间≤55dB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r>
              <w:rPr>
                <w:rFonts w:hint="eastAsia" w:ascii="宋体" w:hAnsi="宋体" w:eastAsia="宋体"/>
                <w:color w:val="000000"/>
                <w:sz w:val="21"/>
              </w:rPr>
              <w:t>，夜间≤45dB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固体废物防治措施</w:t>
            </w:r>
          </w:p>
        </w:tc>
        <w:tc>
          <w:tcPr>
            <w:tcW w:w="3300"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设置粪便处理与暂存场所、无害化处理间、生活垃圾收集点等设施</w:t>
            </w:r>
            <w:r>
              <w:rPr>
                <w:rFonts w:hint="eastAsia" w:ascii="宋体" w:hAnsi="宋体"/>
                <w:color w:val="000000"/>
                <w:sz w:val="21"/>
                <w:lang w:eastAsia="zh-CN"/>
              </w:rPr>
              <w:t>。</w:t>
            </w:r>
          </w:p>
        </w:tc>
        <w:tc>
          <w:tcPr>
            <w:tcW w:w="3301"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lang w:val="en-US" w:eastAsia="zh-CN"/>
              </w:rPr>
            </w:pPr>
            <w:r>
              <w:rPr>
                <w:rFonts w:hint="eastAsia" w:ascii="宋体" w:hAnsi="宋体"/>
                <w:color w:val="000000"/>
                <w:sz w:val="21"/>
                <w:lang w:val="en-US" w:eastAsia="zh-CN"/>
              </w:rPr>
              <w:t>不外排</w:t>
            </w:r>
          </w:p>
        </w:tc>
      </w:tr>
    </w:tbl>
    <w:p>
      <w:pPr>
        <w:pStyle w:val="5"/>
        <w:ind w:firstLine="562"/>
        <w:rPr>
          <w:rFonts w:hint="eastAsia"/>
        </w:rPr>
      </w:pPr>
      <w:r>
        <w:rPr>
          <w:rFonts w:hint="eastAsia"/>
          <w:lang w:eastAsia="zh-CN"/>
        </w:rPr>
        <w:t xml:space="preserve">排污口规范化管理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ascii="Times New Roman" w:hAnsi="Times New Roman" w:eastAsia="宋体" w:cs="Times New Roman"/>
          <w:snapToGrid w:val="0"/>
        </w:rPr>
      </w:pPr>
      <w:r>
        <w:rPr>
          <w:rFonts w:hint="default" w:ascii="Times New Roman" w:hAnsi="Times New Roman" w:eastAsia="宋体" w:cs="Times New Roman"/>
          <w:snapToGrid w:val="0"/>
        </w:rPr>
        <w:t>根据国家标准《环境保护图形标志—排放口（源）》（GB15562.1-1995）、国家环境保护总局《水污染物排放总量监测技术规范》(HJ/T 92-2002)、《排污口规范化整治技术要求(试行)》（环监〔1996〕470号文），项目建设应进行排污口规范化建设工作。排污口规范化应遵循便于采集样品，便于计量监测，便于日常现场监督检查的原则。 项目区所有排放口（源）（含废水、废气、固体废弃物、噪声），在排污单位申报登记的基础上，由环境监察部门会同环境监测部门共同确定，各级环境保护行政主管部门认定的原则。</w:t>
      </w:r>
    </w:p>
    <w:p>
      <w:pPr>
        <w:pStyle w:val="6"/>
      </w:pPr>
      <w:r>
        <w:rPr>
          <w:rFonts w:hint="eastAsia"/>
          <w:lang w:eastAsia="zh-CN"/>
        </w:rPr>
        <w:t>废气排污口规范化</w:t>
      </w:r>
    </w:p>
    <w:p>
      <w:pPr>
        <w:pStyle w:val="8"/>
        <w:rPr>
          <w:snapToGrid w:val="0"/>
        </w:rPr>
      </w:pPr>
      <w:r>
        <w:rPr>
          <w:rFonts w:hint="eastAsia"/>
          <w:snapToGrid w:val="0"/>
        </w:rPr>
        <w:t xml:space="preserve">本项目恶臭为面源无组织排放，不设置专门的排气口。 </w:t>
      </w:r>
    </w:p>
    <w:p>
      <w:pPr>
        <w:pStyle w:val="6"/>
      </w:pPr>
      <w:r>
        <w:rPr>
          <w:rFonts w:hint="eastAsia"/>
          <w:lang w:eastAsia="zh-CN"/>
        </w:rPr>
        <w:t>废水排污口规范化</w:t>
      </w:r>
    </w:p>
    <w:p>
      <w:pPr>
        <w:pStyle w:val="8"/>
        <w:rPr>
          <w:snapToGrid w:val="0"/>
        </w:rPr>
      </w:pPr>
      <w:r>
        <w:rPr>
          <w:rFonts w:hint="eastAsia"/>
          <w:snapToGrid w:val="0"/>
        </w:rPr>
        <w:t>项目实行雨污分流，其</w:t>
      </w:r>
      <w:r>
        <w:rPr>
          <w:rFonts w:hint="eastAsia"/>
          <w:snapToGrid w:val="0"/>
          <w:lang w:eastAsia="zh-CN"/>
        </w:rPr>
        <w:t>生活污水</w:t>
      </w:r>
      <w:r>
        <w:rPr>
          <w:rFonts w:hint="eastAsia"/>
          <w:snapToGrid w:val="0"/>
        </w:rPr>
        <w:t>经场区污水处理</w:t>
      </w:r>
      <w:r>
        <w:rPr>
          <w:rFonts w:hint="eastAsia"/>
          <w:snapToGrid w:val="0"/>
          <w:lang w:eastAsia="zh-CN"/>
        </w:rPr>
        <w:t>设施</w:t>
      </w:r>
      <w:r>
        <w:rPr>
          <w:rFonts w:hint="eastAsia"/>
          <w:snapToGrid w:val="0"/>
        </w:rPr>
        <w:t xml:space="preserve">处理达标后综合利用，不外排。因此，在废水进入沉淀池前应设置便于废水测速的平直堰槽（可采用暗槽并预留测流孔）：堰槽平直段长至少3m，堰槽截面底部硬质平滑、截面形状为长方形，设计水深不小于0.1m，流速不小于0.05m/s，符合流速仪法测流要求。 </w:t>
      </w:r>
    </w:p>
    <w:p>
      <w:pPr>
        <w:pStyle w:val="6"/>
      </w:pPr>
      <w:r>
        <w:rPr>
          <w:rFonts w:hint="eastAsia"/>
          <w:lang w:eastAsia="zh-CN"/>
        </w:rPr>
        <w:t>固废贮存规范化</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本项目危险固体废物由有资质单位统一处理；一般固体废物和生活垃圾按《一般工业固体废物贮存、处置场污染控制标准》设置专用贮存、堆放场，分类管理。暂存堆场需设置防雨、防渗设施和渗滤液回收装置。</w:t>
      </w:r>
    </w:p>
    <w:p>
      <w:pPr>
        <w:pStyle w:val="6"/>
      </w:pPr>
      <w:r>
        <w:rPr>
          <w:rFonts w:hint="eastAsia"/>
          <w:lang w:eastAsia="zh-CN"/>
        </w:rPr>
        <w:t xml:space="preserve">噪声源规范化管理要求 </w:t>
      </w:r>
    </w:p>
    <w:p>
      <w:pPr>
        <w:pStyle w:val="8"/>
        <w:rPr>
          <w:rFonts w:hint="eastAsia"/>
          <w:snapToGrid w:val="0"/>
        </w:rPr>
      </w:pPr>
      <w:r>
        <w:rPr>
          <w:rFonts w:hint="eastAsia"/>
          <w:snapToGrid w:val="0"/>
        </w:rPr>
        <w:t xml:space="preserve">在固定噪声排放源场界噪声敏感、且对外界影响最大处设置噪声源的测监点，并设立标志。 </w:t>
      </w:r>
    </w:p>
    <w:p>
      <w:pPr>
        <w:pStyle w:val="6"/>
      </w:pPr>
      <w:r>
        <w:rPr>
          <w:rFonts w:hint="eastAsia"/>
          <w:lang w:eastAsia="zh-CN"/>
        </w:rPr>
        <w:t xml:space="preserve">排污口设置标志牌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snapToGrid w:val="0"/>
          <w:sz w:val="24"/>
          <w:szCs w:val="24"/>
        </w:rPr>
      </w:pPr>
      <w:r>
        <w:rPr>
          <w:rFonts w:hint="eastAsia"/>
          <w:snapToGrid w:val="0"/>
          <w:sz w:val="24"/>
          <w:szCs w:val="24"/>
        </w:rPr>
        <w:t xml:space="preserve">（1）项目的污染物排放口（源）和固体废物暂存场所，必须按国家标准《环境保护图形标志》（GB15562.1-1995、GB15562.2-1995）的规定，设置与之相适应的环境保护图形标志牌。环境保护图形标志牌由国家环保部统一定点制作，由当地环境监理部门根据企业排污情况统一向国家环保部订购。建设单位排污口分布图由当地环境监理部门统一绘制。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ascii="宋体" w:hAnsi="宋体" w:eastAsia="宋体"/>
          <w:color w:val="000000"/>
          <w:sz w:val="24"/>
          <w:szCs w:val="24"/>
        </w:rPr>
      </w:pPr>
      <w:r>
        <w:rPr>
          <w:rFonts w:hint="eastAsia" w:ascii="宋体" w:hAnsi="宋体" w:eastAsia="宋体"/>
          <w:color w:val="000000"/>
          <w:sz w:val="24"/>
          <w:szCs w:val="24"/>
        </w:rPr>
        <w:t xml:space="preserve"> （2）环境保护标志牌设置位置应在排污口（采样点）附近且醒目处，并能长久保留，其中，在噪声排放源标志牌应设置在距选定的监测点较近且醒目处。设置高度为：标志牌上缘离地面</w:t>
      </w:r>
      <w:r>
        <w:rPr>
          <w:rFonts w:hint="default" w:ascii="Times New Roman" w:hAnsi="Times New Roman" w:eastAsia="宋体" w:cs="Times New Roman"/>
          <w:color w:val="000000"/>
          <w:sz w:val="24"/>
          <w:szCs w:val="24"/>
        </w:rPr>
        <w:t>2m。排污口附近1m范围内</w:t>
      </w:r>
      <w:r>
        <w:rPr>
          <w:rFonts w:hint="eastAsia" w:ascii="宋体" w:hAnsi="宋体" w:eastAsia="宋体"/>
          <w:color w:val="000000"/>
          <w:sz w:val="24"/>
          <w:szCs w:val="24"/>
        </w:rPr>
        <w:t xml:space="preserve">有建筑物的，设置平面式标志牌，无建筑物的设立式标志牌。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rPr>
          <w:rFonts w:hint="eastAsia" w:eastAsia="宋体"/>
          <w:lang w:eastAsia="zh-CN"/>
        </w:rPr>
      </w:pPr>
      <w:r>
        <w:rPr>
          <w:rFonts w:hint="eastAsia" w:ascii="宋体" w:hAnsi="宋体" w:eastAsia="宋体"/>
          <w:color w:val="000000"/>
          <w:sz w:val="24"/>
          <w:szCs w:val="24"/>
        </w:rPr>
        <w:t>（3）一般污染物排污口（源）设置提示式标志牌，排放有毒有害等污染物的排污口设置警告式标志牌，图形符号设置按执</w:t>
      </w:r>
      <w:r>
        <w:rPr>
          <w:rFonts w:hint="default" w:ascii="Times New Roman" w:hAnsi="Times New Roman" w:eastAsia="宋体" w:cs="Times New Roman"/>
          <w:color w:val="000000"/>
          <w:sz w:val="24"/>
          <w:szCs w:val="24"/>
        </w:rPr>
        <w:t>行GB15562.1-1995，具体见表</w:t>
      </w:r>
      <w:r>
        <w:rPr>
          <w:rFonts w:hint="eastAsia" w:cs="Times New Roman"/>
          <w:color w:val="000000"/>
          <w:sz w:val="24"/>
          <w:szCs w:val="24"/>
          <w:lang w:val="en-US" w:eastAsia="zh-CN"/>
        </w:rPr>
        <w:t>10</w:t>
      </w:r>
      <w:r>
        <w:rPr>
          <w:rFonts w:hint="default" w:ascii="Times New Roman" w:hAnsi="Times New Roman" w:eastAsia="宋体" w:cs="Times New Roman"/>
          <w:color w:val="000000"/>
          <w:sz w:val="24"/>
          <w:szCs w:val="24"/>
        </w:rPr>
        <w:t>.4-3</w:t>
      </w:r>
      <w:r>
        <w:rPr>
          <w:rFonts w:hint="eastAsia" w:cs="Times New Roman"/>
          <w:color w:val="000000"/>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10.4-3   排放口规范化图形标志</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
        <w:gridCol w:w="2507"/>
        <w:gridCol w:w="2497"/>
        <w:gridCol w:w="1274"/>
        <w:gridCol w:w="1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序号</w:t>
            </w:r>
          </w:p>
        </w:tc>
        <w:tc>
          <w:tcPr>
            <w:tcW w:w="148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提示图像符号背景颜色：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绿色图形颜色：白色</w:t>
            </w:r>
          </w:p>
        </w:tc>
        <w:tc>
          <w:tcPr>
            <w:tcW w:w="1426"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警告图像符号背景颜色：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绿色图形颜色：黑色</w:t>
            </w:r>
          </w:p>
        </w:tc>
        <w:tc>
          <w:tcPr>
            <w:tcW w:w="757"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名称</w:t>
            </w:r>
          </w:p>
        </w:tc>
        <w:tc>
          <w:tcPr>
            <w:tcW w:w="967"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1</w:t>
            </w:r>
          </w:p>
        </w:tc>
        <w:tc>
          <w:tcPr>
            <w:tcW w:w="148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076325" cy="895350"/>
                  <wp:effectExtent l="0" t="0" r="9525" b="0"/>
                  <wp:docPr id="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1"/>
                          <pic:cNvPicPr>
                            <a:picLocks noChangeAspect="1"/>
                          </pic:cNvPicPr>
                        </pic:nvPicPr>
                        <pic:blipFill>
                          <a:blip r:embed="rId106"/>
                          <a:stretch>
                            <a:fillRect/>
                          </a:stretch>
                        </pic:blipFill>
                        <pic:spPr>
                          <a:xfrm>
                            <a:off x="0" y="0"/>
                            <a:ext cx="1076325" cy="895350"/>
                          </a:xfrm>
                          <a:prstGeom prst="rect">
                            <a:avLst/>
                          </a:prstGeom>
                          <a:noFill/>
                          <a:ln>
                            <a:noFill/>
                          </a:ln>
                        </pic:spPr>
                      </pic:pic>
                    </a:graphicData>
                  </a:graphic>
                </wp:inline>
              </w:drawing>
            </w:r>
          </w:p>
        </w:tc>
        <w:tc>
          <w:tcPr>
            <w:tcW w:w="1426"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66825" cy="914400"/>
                  <wp:effectExtent l="0" t="0" r="9525" b="0"/>
                  <wp:docPr id="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2"/>
                          <pic:cNvPicPr>
                            <a:picLocks noChangeAspect="1"/>
                          </pic:cNvPicPr>
                        </pic:nvPicPr>
                        <pic:blipFill>
                          <a:blip r:embed="rId107"/>
                          <a:stretch>
                            <a:fillRect/>
                          </a:stretch>
                        </pic:blipFill>
                        <pic:spPr>
                          <a:xfrm>
                            <a:off x="0" y="0"/>
                            <a:ext cx="1266825" cy="914400"/>
                          </a:xfrm>
                          <a:prstGeom prst="rect">
                            <a:avLst/>
                          </a:prstGeom>
                          <a:noFill/>
                          <a:ln>
                            <a:noFill/>
                          </a:ln>
                        </pic:spPr>
                      </pic:pic>
                    </a:graphicData>
                  </a:graphic>
                </wp:inline>
              </w:drawing>
            </w:r>
          </w:p>
        </w:tc>
        <w:tc>
          <w:tcPr>
            <w:tcW w:w="757"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污水排放口</w:t>
            </w:r>
          </w:p>
        </w:tc>
        <w:tc>
          <w:tcPr>
            <w:tcW w:w="967"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表示污水向水体排放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2</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71575" cy="895350"/>
                  <wp:effectExtent l="0" t="0" r="9525" b="0"/>
                  <wp:docPr id="1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3"/>
                          <pic:cNvPicPr>
                            <a:picLocks noChangeAspect="1"/>
                          </pic:cNvPicPr>
                        </pic:nvPicPr>
                        <pic:blipFill>
                          <a:blip r:embed="rId108"/>
                          <a:stretch>
                            <a:fillRect/>
                          </a:stretch>
                        </pic:blipFill>
                        <pic:spPr>
                          <a:xfrm>
                            <a:off x="0" y="0"/>
                            <a:ext cx="1171575" cy="895350"/>
                          </a:xfrm>
                          <a:prstGeom prst="rect">
                            <a:avLst/>
                          </a:prstGeom>
                          <a:noFill/>
                          <a:ln>
                            <a:noFill/>
                          </a:ln>
                        </pic:spPr>
                      </pic:pic>
                    </a:graphicData>
                  </a:graphic>
                </wp:inline>
              </w:drawing>
            </w: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90650" cy="1009650"/>
                  <wp:effectExtent l="0" t="0" r="0" b="0"/>
                  <wp:docPr id="1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4"/>
                          <pic:cNvPicPr>
                            <a:picLocks noChangeAspect="1"/>
                          </pic:cNvPicPr>
                        </pic:nvPicPr>
                        <pic:blipFill>
                          <a:blip r:embed="rId109"/>
                          <a:stretch>
                            <a:fillRect/>
                          </a:stretch>
                        </pic:blipFill>
                        <pic:spPr>
                          <a:xfrm>
                            <a:off x="0" y="0"/>
                            <a:ext cx="1390650" cy="1009650"/>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废气排放口</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表示废气向大气排放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vMerge w:val="restar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3</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440180" cy="777875"/>
                  <wp:effectExtent l="0" t="0" r="7620" b="3175"/>
                  <wp:docPr id="1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5"/>
                          <pic:cNvPicPr>
                            <a:picLocks noChangeAspect="1"/>
                          </pic:cNvPicPr>
                        </pic:nvPicPr>
                        <pic:blipFill>
                          <a:blip r:embed="rId110"/>
                          <a:stretch>
                            <a:fillRect/>
                          </a:stretch>
                        </pic:blipFill>
                        <pic:spPr>
                          <a:xfrm>
                            <a:off x="0" y="0"/>
                            <a:ext cx="1440180" cy="77787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一般固体废物储存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vMerge w:val="continue"/>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81125" cy="1076325"/>
                  <wp:effectExtent l="0" t="0" r="9525" b="9525"/>
                  <wp:docPr id="2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6"/>
                          <pic:cNvPicPr>
                            <a:picLocks noChangeAspect="1"/>
                          </pic:cNvPicPr>
                        </pic:nvPicPr>
                        <pic:blipFill>
                          <a:blip r:embed="rId111"/>
                          <a:stretch>
                            <a:fillRect/>
                          </a:stretch>
                        </pic:blipFill>
                        <pic:spPr>
                          <a:xfrm>
                            <a:off x="0" y="0"/>
                            <a:ext cx="1381125" cy="107632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危险固体废物储存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4</w:t>
            </w:r>
          </w:p>
        </w:tc>
        <w:tc>
          <w:tcPr>
            <w:tcW w:w="148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90625" cy="933450"/>
                  <wp:effectExtent l="0" t="0" r="9525" b="0"/>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112"/>
                          <a:stretch>
                            <a:fillRect/>
                          </a:stretch>
                        </pic:blipFill>
                        <pic:spPr>
                          <a:xfrm>
                            <a:off x="0" y="0"/>
                            <a:ext cx="1190625" cy="933450"/>
                          </a:xfrm>
                          <a:prstGeom prst="rect">
                            <a:avLst/>
                          </a:prstGeom>
                          <a:noFill/>
                          <a:ln>
                            <a:noFill/>
                          </a:ln>
                        </pic:spPr>
                      </pic:pic>
                    </a:graphicData>
                  </a:graphic>
                </wp:inline>
              </w:drawing>
            </w:r>
          </w:p>
        </w:tc>
        <w:tc>
          <w:tcPr>
            <w:tcW w:w="1426"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00150" cy="971550"/>
                  <wp:effectExtent l="0" t="0" r="0" b="0"/>
                  <wp:docPr id="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8"/>
                          <pic:cNvPicPr>
                            <a:picLocks noChangeAspect="1"/>
                          </pic:cNvPicPr>
                        </pic:nvPicPr>
                        <pic:blipFill>
                          <a:blip r:embed="rId113"/>
                          <a:stretch>
                            <a:fillRect/>
                          </a:stretch>
                        </pic:blipFill>
                        <pic:spPr>
                          <a:xfrm>
                            <a:off x="0" y="0"/>
                            <a:ext cx="1200150" cy="971550"/>
                          </a:xfrm>
                          <a:prstGeom prst="rect">
                            <a:avLst/>
                          </a:prstGeom>
                          <a:noFill/>
                          <a:ln>
                            <a:noFill/>
                          </a:ln>
                        </pic:spPr>
                      </pic:pic>
                    </a:graphicData>
                  </a:graphic>
                </wp:inline>
              </w:drawing>
            </w:r>
          </w:p>
        </w:tc>
        <w:tc>
          <w:tcPr>
            <w:tcW w:w="757"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噪声源</w:t>
            </w:r>
          </w:p>
        </w:tc>
        <w:tc>
          <w:tcPr>
            <w:tcW w:w="967"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表示噪声向外环境排放</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z w:val="24"/>
          <w:szCs w:val="24"/>
          <w:lang w:eastAsia="zh-CN"/>
        </w:rPr>
        <w:t>（4）规范化排污口的有关设置（如图形标志牌、计量装置、监控装置等）属环保设施，排污单位必须负责日常的维护保养，任何单位和个人不得擅自拆除，如需要变更的需报环境监理部门同意并办理变更手续。</w:t>
      </w:r>
    </w:p>
    <w:p>
      <w:pPr>
        <w:pStyle w:val="3"/>
      </w:pPr>
      <w:bookmarkStart w:id="117" w:name="_Toc21222"/>
      <w:r>
        <w:t>评价结论</w:t>
      </w:r>
      <w:bookmarkEnd w:id="117"/>
    </w:p>
    <w:p>
      <w:pPr>
        <w:pStyle w:val="4"/>
      </w:pPr>
      <w:bookmarkStart w:id="118" w:name="_Toc524"/>
      <w:r>
        <w:rPr>
          <w:rFonts w:hint="eastAsia"/>
          <w:lang w:val="en-US" w:eastAsia="zh-CN"/>
        </w:rPr>
        <w:t>项目概况</w:t>
      </w:r>
      <w:bookmarkEnd w:id="118"/>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lang w:val="en-US" w:eastAsia="zh-CN"/>
        </w:rPr>
        <w:t>韶关市仁化县三佳畜牧有限公司高联村寨下组现代高效化养猪场建设项目</w:t>
      </w:r>
      <w:r>
        <w:rPr>
          <w:rFonts w:hint="eastAsia"/>
          <w:b w:val="0"/>
          <w:bCs w:val="0"/>
          <w:sz w:val="24"/>
          <w:szCs w:val="24"/>
        </w:rPr>
        <w:t>位于广东省韶关市</w:t>
      </w:r>
      <w:r>
        <w:rPr>
          <w:rFonts w:hint="eastAsia"/>
          <w:b w:val="0"/>
          <w:bCs w:val="0"/>
          <w:sz w:val="24"/>
          <w:szCs w:val="24"/>
          <w:lang w:val="en-US" w:eastAsia="zh-CN"/>
        </w:rPr>
        <w:t>仁化县丹霞街道高联村寨下组</w:t>
      </w:r>
      <w:r>
        <w:rPr>
          <w:rFonts w:hint="eastAsia"/>
          <w:b w:val="0"/>
          <w:bCs w:val="0"/>
          <w:sz w:val="24"/>
          <w:szCs w:val="24"/>
        </w:rPr>
        <w:t>。项目总占地</w:t>
      </w:r>
      <w:r>
        <w:rPr>
          <w:rFonts w:hint="eastAsia"/>
          <w:b w:val="0"/>
          <w:bCs w:val="0"/>
          <w:sz w:val="24"/>
          <w:szCs w:val="24"/>
          <w:lang w:val="en-US" w:eastAsia="zh-CN"/>
        </w:rPr>
        <w:t>107</w:t>
      </w:r>
      <w:r>
        <w:rPr>
          <w:rFonts w:hint="eastAsia"/>
          <w:b w:val="0"/>
          <w:bCs w:val="0"/>
          <w:sz w:val="24"/>
          <w:szCs w:val="24"/>
        </w:rPr>
        <w:t>亩，项目建设保育舍、育肥舍、连廊、入场用房及入舍用房等，配套建设职工宿舍、道路、猪场室外给排水及电、围墙、料塔基础、机井和水塔等设施。项目建成后，年出栏商品猪</w:t>
      </w:r>
      <w:r>
        <w:rPr>
          <w:rFonts w:hint="eastAsia"/>
          <w:b w:val="0"/>
          <w:bCs w:val="0"/>
          <w:sz w:val="24"/>
          <w:szCs w:val="24"/>
          <w:lang w:val="en-US" w:eastAsia="zh-CN"/>
        </w:rPr>
        <w:t>18000</w:t>
      </w:r>
      <w:r>
        <w:rPr>
          <w:rFonts w:hint="eastAsia"/>
          <w:b w:val="0"/>
          <w:bCs w:val="0"/>
          <w:sz w:val="24"/>
          <w:szCs w:val="24"/>
        </w:rPr>
        <w:t xml:space="preserve">头。 </w:t>
      </w:r>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rPr>
        <w:t>项目</w:t>
      </w:r>
      <w:r>
        <w:rPr>
          <w:rFonts w:hint="eastAsia"/>
          <w:b w:val="0"/>
          <w:bCs w:val="0"/>
          <w:sz w:val="24"/>
          <w:szCs w:val="24"/>
          <w:lang w:eastAsia="zh-CN"/>
        </w:rPr>
        <w:t>施工期</w:t>
      </w:r>
      <w:r>
        <w:rPr>
          <w:rFonts w:hint="eastAsia"/>
          <w:b w:val="0"/>
          <w:bCs w:val="0"/>
          <w:sz w:val="24"/>
          <w:szCs w:val="24"/>
          <w:lang w:val="en-US" w:eastAsia="zh-CN"/>
        </w:rPr>
        <w:t>8个月，</w:t>
      </w:r>
      <w:r>
        <w:rPr>
          <w:rFonts w:hint="eastAsia"/>
          <w:b w:val="0"/>
          <w:bCs w:val="0"/>
          <w:sz w:val="24"/>
          <w:szCs w:val="24"/>
        </w:rPr>
        <w:t>总投资</w:t>
      </w:r>
      <w:r>
        <w:rPr>
          <w:rFonts w:hint="eastAsia"/>
          <w:b w:val="0"/>
          <w:bCs w:val="0"/>
          <w:sz w:val="24"/>
          <w:szCs w:val="24"/>
          <w:lang w:val="en-US" w:eastAsia="zh-CN"/>
        </w:rPr>
        <w:t>1280</w:t>
      </w:r>
      <w:r>
        <w:rPr>
          <w:rFonts w:hint="eastAsia"/>
          <w:b w:val="0"/>
          <w:bCs w:val="0"/>
          <w:sz w:val="24"/>
          <w:szCs w:val="24"/>
        </w:rPr>
        <w:t>万元，其中环保投资</w:t>
      </w:r>
      <w:r>
        <w:rPr>
          <w:rFonts w:hint="eastAsia"/>
          <w:b w:val="0"/>
          <w:bCs w:val="0"/>
          <w:sz w:val="24"/>
          <w:szCs w:val="24"/>
          <w:lang w:val="en-US" w:eastAsia="zh-CN"/>
        </w:rPr>
        <w:t>106</w:t>
      </w:r>
      <w:r>
        <w:rPr>
          <w:rFonts w:hint="eastAsia"/>
          <w:b w:val="0"/>
          <w:bCs w:val="0"/>
          <w:sz w:val="24"/>
          <w:szCs w:val="24"/>
        </w:rPr>
        <w:t>万元，环保投资占总投资的</w:t>
      </w:r>
      <w:r>
        <w:rPr>
          <w:rFonts w:hint="eastAsia"/>
          <w:b w:val="0"/>
          <w:bCs w:val="0"/>
          <w:sz w:val="24"/>
          <w:szCs w:val="24"/>
          <w:lang w:val="en-US" w:eastAsia="zh-CN"/>
        </w:rPr>
        <w:t>8.28</w:t>
      </w:r>
      <w:r>
        <w:rPr>
          <w:rFonts w:hint="eastAsia"/>
          <w:b w:val="0"/>
          <w:bCs w:val="0"/>
          <w:sz w:val="24"/>
          <w:szCs w:val="24"/>
        </w:rPr>
        <w:t xml:space="preserve">%。 </w:t>
      </w:r>
    </w:p>
    <w:p>
      <w:pPr>
        <w:pStyle w:val="4"/>
      </w:pPr>
      <w:bookmarkStart w:id="119" w:name="_Toc5566"/>
      <w:r>
        <w:rPr>
          <w:rFonts w:hint="eastAsia"/>
          <w:lang w:eastAsia="zh-CN"/>
        </w:rPr>
        <w:t>区域环境质量</w:t>
      </w:r>
      <w:r>
        <w:rPr>
          <w:rFonts w:hint="eastAsia"/>
        </w:rPr>
        <w:t>境现状</w:t>
      </w:r>
      <w:bookmarkEnd w:id="119"/>
    </w:p>
    <w:p>
      <w:pPr>
        <w:pStyle w:val="6"/>
        <w:rPr>
          <w:color w:val="auto"/>
        </w:rPr>
      </w:pPr>
      <w:r>
        <w:rPr>
          <w:rFonts w:hint="eastAsia"/>
          <w:color w:val="auto"/>
        </w:rPr>
        <w:t>环境空气</w:t>
      </w:r>
    </w:p>
    <w:p>
      <w:pPr>
        <w:pStyle w:val="8"/>
        <w:rPr>
          <w:rFonts w:hint="eastAsia"/>
          <w:color w:val="auto"/>
          <w:highlight w:val="none"/>
          <w:lang w:val="en-US" w:eastAsia="zh-CN"/>
        </w:rPr>
      </w:pPr>
      <w:r>
        <w:rPr>
          <w:rFonts w:hint="eastAsia"/>
          <w:color w:val="auto"/>
          <w:highlight w:val="none"/>
          <w:lang w:eastAsia="zh-CN"/>
        </w:rPr>
        <w:t>根据韶关市生态环境局（http://epb.sg.gov.cn</w:t>
      </w:r>
      <w:r>
        <w:rPr>
          <w:rFonts w:hint="eastAsia"/>
          <w:color w:val="auto"/>
          <w:highlight w:val="none"/>
          <w:lang w:val="en-US" w:eastAsia="zh-CN"/>
        </w:rPr>
        <w:t>/</w:t>
      </w:r>
      <w:r>
        <w:rPr>
          <w:rFonts w:hint="eastAsia"/>
          <w:color w:val="auto"/>
          <w:highlight w:val="none"/>
          <w:lang w:eastAsia="zh-CN"/>
        </w:rPr>
        <w:t>）</w:t>
      </w:r>
      <w:r>
        <w:rPr>
          <w:rFonts w:hint="eastAsia"/>
          <w:color w:val="auto"/>
          <w:highlight w:val="none"/>
          <w:lang w:val="en-US" w:eastAsia="zh-CN"/>
        </w:rPr>
        <w:t>2019年5月发布的《2018年韶关市环境状况公报》，项目区SO</w:t>
      </w:r>
      <w:r>
        <w:rPr>
          <w:rFonts w:hint="eastAsia"/>
          <w:color w:val="auto"/>
          <w:highlight w:val="none"/>
          <w:vertAlign w:val="subscript"/>
          <w:lang w:val="en-US" w:eastAsia="zh-CN"/>
        </w:rPr>
        <w:t>2</w:t>
      </w:r>
      <w:r>
        <w:rPr>
          <w:rFonts w:hint="eastAsia"/>
          <w:color w:val="auto"/>
          <w:highlight w:val="none"/>
          <w:lang w:val="en-US" w:eastAsia="zh-CN"/>
        </w:rPr>
        <w:t>、NO</w:t>
      </w:r>
      <w:r>
        <w:rPr>
          <w:rFonts w:hint="eastAsia"/>
          <w:color w:val="auto"/>
          <w:highlight w:val="none"/>
          <w:vertAlign w:val="subscript"/>
          <w:lang w:val="en-US" w:eastAsia="zh-CN"/>
        </w:rPr>
        <w:t>2</w:t>
      </w:r>
      <w:r>
        <w:rPr>
          <w:rFonts w:hint="eastAsia"/>
          <w:color w:val="auto"/>
          <w:highlight w:val="none"/>
          <w:lang w:val="en-US" w:eastAsia="zh-CN"/>
        </w:rPr>
        <w:t>、PM</w:t>
      </w:r>
      <w:r>
        <w:rPr>
          <w:rFonts w:hint="eastAsia"/>
          <w:color w:val="auto"/>
          <w:highlight w:val="none"/>
          <w:vertAlign w:val="subscript"/>
          <w:lang w:val="en-US" w:eastAsia="zh-CN"/>
        </w:rPr>
        <w:t>10</w:t>
      </w:r>
      <w:r>
        <w:rPr>
          <w:rFonts w:hint="eastAsia"/>
          <w:color w:val="auto"/>
          <w:highlight w:val="none"/>
          <w:lang w:val="en-US" w:eastAsia="zh-CN"/>
        </w:rPr>
        <w:t>、PM</w:t>
      </w:r>
      <w:r>
        <w:rPr>
          <w:rFonts w:hint="eastAsia"/>
          <w:color w:val="auto"/>
          <w:highlight w:val="none"/>
          <w:vertAlign w:val="subscript"/>
          <w:lang w:val="en-US" w:eastAsia="zh-CN"/>
        </w:rPr>
        <w:t>2.5</w:t>
      </w:r>
      <w:r>
        <w:rPr>
          <w:rFonts w:hint="eastAsia"/>
          <w:color w:val="auto"/>
          <w:highlight w:val="none"/>
          <w:lang w:val="en-US" w:eastAsia="zh-CN"/>
        </w:rPr>
        <w:t>、O</w:t>
      </w:r>
      <w:r>
        <w:rPr>
          <w:rFonts w:hint="eastAsia"/>
          <w:color w:val="auto"/>
          <w:highlight w:val="none"/>
          <w:vertAlign w:val="subscript"/>
          <w:lang w:val="en-US" w:eastAsia="zh-CN"/>
        </w:rPr>
        <w:t>3</w:t>
      </w:r>
      <w:r>
        <w:rPr>
          <w:rFonts w:hint="eastAsia"/>
          <w:color w:val="auto"/>
          <w:highlight w:val="none"/>
          <w:lang w:val="en-US" w:eastAsia="zh-CN"/>
        </w:rPr>
        <w:t>、CO均达到《环境空气质量标准》（GB3095-2012）及2018年修改单中的二级标准要求，说明项目区域环境空气质量较好，属于环境空气质量达标区。</w:t>
      </w:r>
    </w:p>
    <w:p>
      <w:pPr>
        <w:pStyle w:val="8"/>
        <w:rPr>
          <w:rFonts w:hint="eastAsia"/>
          <w:color w:val="auto"/>
          <w:highlight w:val="none"/>
          <w:lang w:val="en-US" w:eastAsia="zh-CN"/>
        </w:rPr>
      </w:pPr>
      <w:r>
        <w:rPr>
          <w:rFonts w:hint="eastAsia"/>
          <w:color w:val="auto"/>
          <w:highlight w:val="none"/>
          <w:lang w:val="en-US" w:eastAsia="zh-CN"/>
        </w:rPr>
        <w:t>根据补充监测结果可知，NH</w:t>
      </w:r>
      <w:r>
        <w:rPr>
          <w:rFonts w:hint="eastAsia"/>
          <w:color w:val="auto"/>
          <w:highlight w:val="none"/>
          <w:vertAlign w:val="subscript"/>
          <w:lang w:val="en-US" w:eastAsia="zh-CN"/>
        </w:rPr>
        <w:t>3</w:t>
      </w:r>
      <w:r>
        <w:rPr>
          <w:rFonts w:hint="eastAsia"/>
          <w:color w:val="auto"/>
          <w:highlight w:val="none"/>
          <w:lang w:val="en-US" w:eastAsia="zh-CN"/>
        </w:rPr>
        <w:t>、H</w:t>
      </w:r>
      <w:r>
        <w:rPr>
          <w:rFonts w:hint="eastAsia"/>
          <w:color w:val="auto"/>
          <w:highlight w:val="none"/>
          <w:vertAlign w:val="subscript"/>
          <w:lang w:val="en-US" w:eastAsia="zh-CN"/>
        </w:rPr>
        <w:t>2</w:t>
      </w:r>
      <w:r>
        <w:rPr>
          <w:rFonts w:hint="eastAsia"/>
          <w:color w:val="auto"/>
          <w:highlight w:val="none"/>
          <w:lang w:val="en-US" w:eastAsia="zh-CN"/>
        </w:rPr>
        <w:t xml:space="preserve">S符合《环境影响评价技术导则 大气环境》（HJ2.2-2018）附录D标准限值要求、臭气浓度符合《恶臭污染物排放标准》（GB14554-93）标准要求。各环境空气监测因子能够符合环境功能区要求，本项目所在区域环境空气质量较好。 </w:t>
      </w:r>
    </w:p>
    <w:p>
      <w:pPr>
        <w:pStyle w:val="6"/>
        <w:rPr>
          <w:color w:val="auto"/>
        </w:rPr>
      </w:pPr>
      <w:r>
        <w:rPr>
          <w:rFonts w:hint="eastAsia"/>
          <w:color w:val="auto"/>
        </w:rPr>
        <w:t>地表水环境</w:t>
      </w:r>
    </w:p>
    <w:p>
      <w:pPr>
        <w:pStyle w:val="9"/>
        <w:rPr>
          <w:rFonts w:hint="default"/>
          <w:lang w:val="en-US" w:eastAsia="zh-CN"/>
        </w:rPr>
      </w:pPr>
      <w:r>
        <w:rPr>
          <w:rFonts w:hint="eastAsia"/>
          <w:lang w:val="en-US" w:eastAsia="zh-CN"/>
        </w:rPr>
        <w:t>根据《2018年韶关市环境状况公报》，本项目附近地表水锦江</w:t>
      </w:r>
      <w:r>
        <w:rPr>
          <w:rFonts w:hint="eastAsia"/>
          <w:color w:val="auto"/>
        </w:rPr>
        <w:t>监测因子均可满足《地表水环境质量标准》（GB3838-2002）</w:t>
      </w:r>
      <w:r>
        <w:rPr>
          <w:rFonts w:hint="eastAsia"/>
          <w:color w:val="auto"/>
          <w:lang w:eastAsia="zh-CN"/>
        </w:rPr>
        <w:t>Ⅲ</w:t>
      </w:r>
      <w:r>
        <w:rPr>
          <w:rFonts w:hint="eastAsia"/>
          <w:color w:val="auto"/>
        </w:rPr>
        <w:t>类水标准</w:t>
      </w:r>
      <w:r>
        <w:rPr>
          <w:rFonts w:hint="eastAsia"/>
          <w:color w:val="auto"/>
          <w:lang w:eastAsia="zh-CN"/>
        </w:rPr>
        <w:t>，</w:t>
      </w:r>
      <w:r>
        <w:rPr>
          <w:rFonts w:hint="eastAsia"/>
          <w:color w:val="auto"/>
          <w:lang w:val="en-US" w:eastAsia="zh-CN"/>
        </w:rPr>
        <w:t>附近地表水</w:t>
      </w:r>
      <w:r>
        <w:rPr>
          <w:rFonts w:hint="eastAsia"/>
          <w:lang w:val="en-US" w:eastAsia="zh-CN"/>
        </w:rPr>
        <w:t>环境质量现状良好。</w:t>
      </w:r>
    </w:p>
    <w:p>
      <w:pPr>
        <w:pStyle w:val="6"/>
        <w:rPr>
          <w:color w:val="auto"/>
        </w:rPr>
      </w:pPr>
      <w:r>
        <w:rPr>
          <w:rFonts w:hint="eastAsia"/>
          <w:color w:val="auto"/>
        </w:rPr>
        <w:t>地下水环境</w:t>
      </w:r>
    </w:p>
    <w:p>
      <w:pPr>
        <w:pStyle w:val="9"/>
      </w:pPr>
      <w:r>
        <w:rPr>
          <w:rFonts w:hint="eastAsia"/>
          <w:color w:val="auto"/>
        </w:rPr>
        <w:t>从监测结果可以看出，地下水水质各监测因子均能满足《地下水质量标准》（GB/T14848-2017）Ⅲ类标准。监测结果表明，项目所在地及附近敏感点地下水水质良好。</w:t>
      </w:r>
    </w:p>
    <w:p>
      <w:pPr>
        <w:pStyle w:val="6"/>
        <w:rPr>
          <w:color w:val="auto"/>
        </w:rPr>
      </w:pPr>
      <w:r>
        <w:rPr>
          <w:rFonts w:hint="eastAsia"/>
          <w:color w:val="auto"/>
        </w:rPr>
        <w:t>声环境</w:t>
      </w:r>
    </w:p>
    <w:p>
      <w:pPr>
        <w:pStyle w:val="9"/>
        <w:rPr>
          <w:rFonts w:hint="eastAsia"/>
        </w:rPr>
      </w:pPr>
      <w:r>
        <w:rPr>
          <w:rFonts w:hint="eastAsia"/>
        </w:rPr>
        <w:t>本项目四周边界执行《声环境质量标准》（GB3096-2008）1类标准。从监测结果可知，本项目所在地的声环境质量现状均能满足《声环境质量标准》（GB3096-2008）1类标准的要求，即噪声昼间≤55dB(A)、夜间≤45dB(A)。可见，本项目所在地的声环境现状良好。</w:t>
      </w:r>
    </w:p>
    <w:p>
      <w:pPr>
        <w:pStyle w:val="6"/>
        <w:rPr>
          <w:color w:val="auto"/>
        </w:rPr>
      </w:pPr>
      <w:r>
        <w:rPr>
          <w:rFonts w:hint="eastAsia"/>
          <w:color w:val="auto"/>
        </w:rPr>
        <w:t>土壤环境</w:t>
      </w:r>
    </w:p>
    <w:p>
      <w:pPr>
        <w:pStyle w:val="8"/>
        <w:rPr>
          <w:color w:val="auto"/>
          <w:shd w:val="pct10" w:color="auto" w:fill="FFFFFF"/>
        </w:rPr>
      </w:pPr>
      <w:r>
        <w:rPr>
          <w:rFonts w:hint="eastAsia"/>
          <w:color w:val="auto"/>
        </w:rPr>
        <w:t xml:space="preserve">从监测结果可知，本次监测的所有土壤样点中，所有监测因子均满足《土壤环境质量 农用地土壤污染风险管控标准（试行）》（GB15618-2018）筛选值标准，说明本项目所在地土壤环境质量满足相关标准要求。 </w:t>
      </w:r>
    </w:p>
    <w:p>
      <w:pPr>
        <w:pStyle w:val="6"/>
        <w:rPr>
          <w:color w:val="auto"/>
        </w:rPr>
      </w:pPr>
      <w:r>
        <w:rPr>
          <w:rFonts w:hint="eastAsia"/>
          <w:color w:val="auto"/>
        </w:rPr>
        <w:t>生态环境</w:t>
      </w:r>
    </w:p>
    <w:p>
      <w:pPr>
        <w:pStyle w:val="9"/>
        <w:rPr>
          <w:rFonts w:hint="eastAsia"/>
        </w:rPr>
      </w:pPr>
      <w:r>
        <w:rPr>
          <w:rFonts w:hint="eastAsia"/>
          <w:color w:val="auto"/>
        </w:rPr>
        <w:t>项目生态环境评价范围主要为林地、耕地等，经调查不存在野生动植物的栖息地，评价范围内无国家保护的珍稀濒危动、植物种类和自然保护区等特殊生态敏感区，因此项目建设对区域生态系统及生物多样性的影响较小。</w:t>
      </w:r>
    </w:p>
    <w:p>
      <w:pPr>
        <w:pStyle w:val="4"/>
        <w:rPr>
          <w:color w:val="auto"/>
        </w:rPr>
      </w:pPr>
      <w:bookmarkStart w:id="120" w:name="_Toc12284"/>
      <w:bookmarkStart w:id="121" w:name="_Toc27945"/>
      <w:r>
        <w:rPr>
          <w:rFonts w:hint="eastAsia"/>
          <w:color w:val="auto"/>
        </w:rPr>
        <w:t>环境影响</w:t>
      </w:r>
      <w:r>
        <w:rPr>
          <w:rFonts w:hint="eastAsia"/>
          <w:color w:val="auto"/>
          <w:lang w:eastAsia="zh-CN"/>
        </w:rPr>
        <w:t>分析结论</w:t>
      </w:r>
      <w:bookmarkEnd w:id="120"/>
      <w:bookmarkEnd w:id="121"/>
    </w:p>
    <w:p>
      <w:pPr>
        <w:pStyle w:val="5"/>
        <w:ind w:firstLine="562"/>
        <w:rPr>
          <w:color w:val="auto"/>
        </w:rPr>
      </w:pPr>
      <w:r>
        <w:rPr>
          <w:rFonts w:hint="eastAsia"/>
          <w:color w:val="auto"/>
        </w:rPr>
        <w:t>大气环境影响评价</w:t>
      </w:r>
    </w:p>
    <w:p>
      <w:pPr>
        <w:pStyle w:val="8"/>
        <w:rPr>
          <w:rFonts w:hint="eastAsia"/>
          <w:color w:val="auto"/>
        </w:rPr>
      </w:pPr>
      <w:r>
        <w:rPr>
          <w:rFonts w:hint="eastAsia"/>
          <w:color w:val="auto"/>
        </w:rPr>
        <w:t>根据《环境影响评价技术导则 大气环境》（HJ2.2-2018）“8.1.2 二级评价项目不进行进一步预测与评价，只对污染物排放量较小核算”。因此，本项目的大气环境影响分析不进行进一步预测与评价，只对污染物排放量进行核算。 项目组成生产情况下，项目排放的污染物量较少，不需进一步计算项目的大气环境防护距离。</w:t>
      </w:r>
    </w:p>
    <w:p>
      <w:pPr>
        <w:pStyle w:val="8"/>
        <w:rPr>
          <w:rFonts w:hint="eastAsia"/>
          <w:color w:val="auto"/>
        </w:rPr>
      </w:pPr>
      <w:r>
        <w:rPr>
          <w:rFonts w:hint="eastAsia"/>
          <w:color w:val="auto"/>
        </w:rPr>
        <w:t xml:space="preserve">综上所述，项目营运期废气排放对周围大气环境质量影响不大，对周边敏感保护目标影响不大。 </w:t>
      </w:r>
    </w:p>
    <w:p>
      <w:pPr>
        <w:pStyle w:val="5"/>
        <w:ind w:firstLine="562"/>
        <w:rPr>
          <w:color w:val="auto"/>
        </w:rPr>
      </w:pPr>
      <w:r>
        <w:rPr>
          <w:rFonts w:hint="eastAsia"/>
          <w:color w:val="auto"/>
        </w:rPr>
        <w:t>水环境影响评价</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和附近林场灌溉</w:t>
      </w:r>
      <w:r>
        <w:rPr>
          <w:rFonts w:hint="eastAsia" w:ascii="Times New Roman" w:hAnsi="Times New Roman" w:cs="Times New Roman"/>
          <w:color w:val="auto"/>
          <w:sz w:val="24"/>
          <w:lang w:val="en-US" w:eastAsia="zh-CN"/>
        </w:rPr>
        <w:t>，不外排。</w:t>
      </w:r>
    </w:p>
    <w:p>
      <w:pPr>
        <w:pStyle w:val="9"/>
        <w:rPr>
          <w:rFonts w:hint="eastAsia"/>
        </w:rPr>
      </w:pPr>
      <w:r>
        <w:rPr>
          <w:rFonts w:hint="eastAsia" w:ascii="宋体" w:hAnsi="宋体"/>
          <w:color w:val="auto"/>
          <w:sz w:val="24"/>
          <w:lang w:val="en-US" w:eastAsia="zh-CN"/>
        </w:rPr>
        <w:t>综上所述</w:t>
      </w:r>
      <w:r>
        <w:rPr>
          <w:rFonts w:hint="eastAsia" w:ascii="Times New Roman" w:hAnsi="Times New Roman" w:cs="Times New Roman"/>
          <w:color w:val="auto"/>
          <w:sz w:val="24"/>
          <w:lang w:val="en-US" w:eastAsia="zh-CN"/>
        </w:rPr>
        <w:t>，本项目无生产及生活污水外排，对地表水环境影响较小。</w:t>
      </w:r>
    </w:p>
    <w:p>
      <w:pPr>
        <w:pStyle w:val="5"/>
        <w:ind w:firstLine="562"/>
        <w:rPr>
          <w:color w:val="auto"/>
        </w:rPr>
      </w:pPr>
      <w:r>
        <w:rPr>
          <w:rFonts w:hint="eastAsia"/>
          <w:color w:val="auto"/>
        </w:rPr>
        <w:t>地下水环境影响</w:t>
      </w:r>
    </w:p>
    <w:p>
      <w:pPr>
        <w:pStyle w:val="8"/>
        <w:rPr>
          <w:rFonts w:hint="eastAsia" w:eastAsia="宋体"/>
          <w:color w:val="auto"/>
          <w:lang w:eastAsia="zh-CN"/>
        </w:rPr>
      </w:pPr>
      <w:r>
        <w:rPr>
          <w:rFonts w:hint="eastAsia"/>
          <w:color w:val="auto"/>
          <w:lang w:eastAsia="zh-CN"/>
        </w:rPr>
        <w:t>本项目所在区域为不敏感区，影响范围主要为项目场界内，由污染途径及对应措施分析可知，项目生活区及生产区对可能产生地下水影响的各项途径均进行有效预防，在确保各项防渗措施得以落实，并加强维护和场内环境管理的前提下，可有效控制项目产生的污染物下渗现象，故本项目不存在无组织排放面源，不会产生地表径流，对地下水环境影响较小。</w:t>
      </w:r>
    </w:p>
    <w:p>
      <w:pPr>
        <w:pStyle w:val="5"/>
        <w:ind w:firstLine="562"/>
        <w:rPr>
          <w:color w:val="auto"/>
        </w:rPr>
      </w:pPr>
      <w:r>
        <w:rPr>
          <w:rFonts w:hint="eastAsia"/>
          <w:color w:val="auto"/>
          <w:lang w:eastAsia="zh-CN"/>
        </w:rPr>
        <w:t>声</w:t>
      </w:r>
      <w:r>
        <w:rPr>
          <w:rFonts w:hint="eastAsia"/>
          <w:color w:val="auto"/>
        </w:rPr>
        <w:t>环境影响</w:t>
      </w:r>
    </w:p>
    <w:p>
      <w:pPr>
        <w:pStyle w:val="8"/>
        <w:rPr>
          <w:rFonts w:hint="eastAsia"/>
          <w:color w:val="auto"/>
        </w:rPr>
      </w:pPr>
      <w:r>
        <w:rPr>
          <w:rFonts w:hint="eastAsia"/>
          <w:color w:val="auto"/>
        </w:rPr>
        <w:t xml:space="preserve">由预测结果可以看出，项目运营后，厂界昼间、夜间均达到《声质量标准》（GB3096-2008）、《工业企业厂界环境噪声排放标准》（GB12348-2008）中的1类标准。根据噪声预测结果，在正常工况下，本项目采取降噪措施后，对敏感点的影响不大，预测值可满足《声环境质量标准》（GB3096－2008）中的1类标准。 项目噪声对区域声环境质量影响不大。 </w:t>
      </w:r>
    </w:p>
    <w:p>
      <w:pPr>
        <w:pStyle w:val="5"/>
        <w:ind w:firstLine="562"/>
        <w:rPr>
          <w:color w:val="auto"/>
        </w:rPr>
      </w:pPr>
      <w:r>
        <w:rPr>
          <w:rFonts w:hint="eastAsia"/>
          <w:color w:val="auto"/>
        </w:rPr>
        <w:t>固废环境影响</w:t>
      </w:r>
    </w:p>
    <w:p>
      <w:pPr>
        <w:pStyle w:val="8"/>
        <w:rPr>
          <w:rFonts w:hint="eastAsia"/>
          <w:color w:val="auto"/>
          <w:lang w:eastAsia="zh-CN"/>
        </w:rPr>
      </w:pPr>
      <w:r>
        <w:rPr>
          <w:rFonts w:hint="eastAsia"/>
          <w:color w:val="auto"/>
          <w:lang w:eastAsia="zh-CN"/>
        </w:rPr>
        <w:t>养殖场的粪污经异位发酵床工艺处理制成有机肥料外售，病死猪采用无害化方式处理，得到的产物经异位发酵床工艺处理后制成有机肥料外售。生活垃圾由环卫部门运走统一进行处理。疫苗针头等医疗废物应设置专用储存容器，并存放于隔离间，收集后交由资质的单位进行安全处理。综上处理后，本项目产生的固体废物不会对周围环境产生明显影响。</w:t>
      </w:r>
    </w:p>
    <w:p>
      <w:pPr>
        <w:pStyle w:val="8"/>
        <w:rPr>
          <w:rFonts w:hint="default"/>
          <w:color w:val="auto"/>
          <w:lang w:val="en-US" w:eastAsia="zh-CN"/>
        </w:rPr>
      </w:pPr>
      <w:r>
        <w:rPr>
          <w:rFonts w:hint="eastAsia"/>
          <w:color w:val="auto"/>
          <w:lang w:eastAsia="zh-CN"/>
        </w:rPr>
        <w:t>猪粪废渣的处理处置执行《畜禽养殖业污染物排放标准》（</w:t>
      </w:r>
      <w:r>
        <w:rPr>
          <w:rFonts w:hint="eastAsia"/>
          <w:color w:val="auto"/>
          <w:lang w:val="en-US" w:eastAsia="zh-CN"/>
        </w:rPr>
        <w:t>DB44/613-2009</w:t>
      </w:r>
      <w:r>
        <w:rPr>
          <w:rFonts w:hint="eastAsia"/>
          <w:color w:val="auto"/>
          <w:lang w:eastAsia="zh-CN"/>
        </w:rPr>
        <w:t>）和《猪粪无害化卫生标准》。固废暂存间按照《一般工业固体废物贮存、处置现场污染控制标准》（</w:t>
      </w:r>
      <w:r>
        <w:rPr>
          <w:rFonts w:hint="eastAsia"/>
          <w:color w:val="auto"/>
          <w:lang w:val="en-US" w:eastAsia="zh-CN"/>
        </w:rPr>
        <w:t>GB18599-2001</w:t>
      </w:r>
      <w:r>
        <w:rPr>
          <w:rFonts w:hint="eastAsia"/>
          <w:color w:val="auto"/>
          <w:lang w:eastAsia="zh-CN"/>
        </w:rPr>
        <w:t>）规范建设和维护使用。危废暂存间按照《危险废物贮存污染控制标准》（</w:t>
      </w:r>
      <w:r>
        <w:rPr>
          <w:rFonts w:hint="eastAsia"/>
          <w:color w:val="auto"/>
          <w:lang w:val="en-US" w:eastAsia="zh-CN"/>
        </w:rPr>
        <w:t>GB18597-2001</w:t>
      </w:r>
      <w:r>
        <w:rPr>
          <w:rFonts w:hint="eastAsia"/>
          <w:color w:val="auto"/>
          <w:lang w:eastAsia="zh-CN"/>
        </w:rPr>
        <w:t>）规范建设和维护使用。</w:t>
      </w:r>
    </w:p>
    <w:p>
      <w:pPr>
        <w:pStyle w:val="5"/>
        <w:ind w:firstLine="562"/>
        <w:rPr>
          <w:color w:val="auto"/>
        </w:rPr>
      </w:pPr>
      <w:r>
        <w:rPr>
          <w:rFonts w:hint="eastAsia"/>
          <w:color w:val="auto"/>
          <w:lang w:eastAsia="zh-CN"/>
        </w:rPr>
        <w:t>土壤</w:t>
      </w:r>
      <w:r>
        <w:rPr>
          <w:rFonts w:hint="eastAsia"/>
          <w:color w:val="auto"/>
        </w:rPr>
        <w:t>环境影响</w:t>
      </w:r>
    </w:p>
    <w:p>
      <w:pPr>
        <w:pStyle w:val="8"/>
        <w:rPr>
          <w:color w:val="auto"/>
        </w:rPr>
      </w:pPr>
      <w:r>
        <w:rPr>
          <w:rFonts w:hint="eastAsia"/>
          <w:color w:val="auto"/>
        </w:rPr>
        <w:t>根据现场调查分析以及预测结果可知，项目的实施对建设项目场地及周边土壤环境中的评价因子均低于《土壤环境质量 农用地土壤污染风险管控标准（试行）》（GB15618-2018）筛选值标准，表明项目建设对土壤环境影响是可接受的。</w:t>
      </w:r>
    </w:p>
    <w:p>
      <w:pPr>
        <w:pStyle w:val="5"/>
        <w:ind w:firstLine="562"/>
        <w:rPr>
          <w:color w:val="auto"/>
        </w:rPr>
      </w:pPr>
      <w:r>
        <w:rPr>
          <w:rFonts w:hint="eastAsia"/>
          <w:color w:val="auto"/>
          <w:lang w:eastAsia="zh-CN"/>
        </w:rPr>
        <w:t>风险</w:t>
      </w:r>
      <w:r>
        <w:rPr>
          <w:rFonts w:hint="eastAsia"/>
          <w:color w:val="auto"/>
        </w:rPr>
        <w:t>环境影响</w:t>
      </w:r>
    </w:p>
    <w:p>
      <w:pPr>
        <w:pStyle w:val="8"/>
        <w:rPr>
          <w:color w:val="auto"/>
        </w:rPr>
      </w:pPr>
      <w:r>
        <w:rPr>
          <w:rFonts w:hint="eastAsia" w:ascii="宋体" w:hAnsi="宋体" w:eastAsia="宋体"/>
          <w:color w:val="auto"/>
          <w:sz w:val="23"/>
        </w:rPr>
        <w:t>本项目的环境风险主要是项目原材料贮存、生产等过程发生的泄漏、火灾爆炸等风险事故所引发的环境污染，由上文分析结果可知，本项目事故性排放的污染物对周围环境的影响不明显。</w:t>
      </w:r>
    </w:p>
    <w:p>
      <w:pPr>
        <w:pStyle w:val="5"/>
        <w:ind w:firstLine="562"/>
        <w:rPr>
          <w:color w:val="auto"/>
        </w:rPr>
      </w:pPr>
      <w:r>
        <w:rPr>
          <w:rFonts w:hint="eastAsia"/>
          <w:color w:val="auto"/>
          <w:lang w:eastAsia="zh-CN"/>
        </w:rPr>
        <w:t>生态</w:t>
      </w:r>
      <w:r>
        <w:rPr>
          <w:rFonts w:hint="eastAsia"/>
          <w:color w:val="auto"/>
        </w:rPr>
        <w:t>环境影响</w:t>
      </w:r>
    </w:p>
    <w:p>
      <w:pPr>
        <w:pStyle w:val="8"/>
        <w:rPr>
          <w:rFonts w:hint="eastAsia"/>
          <w:color w:val="auto"/>
        </w:rPr>
      </w:pPr>
      <w:r>
        <w:rPr>
          <w:rFonts w:hint="eastAsia"/>
          <w:color w:val="auto"/>
          <w:lang w:eastAsia="zh-CN"/>
        </w:rPr>
        <w:t xml:space="preserve">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 </w:t>
      </w:r>
    </w:p>
    <w:p>
      <w:pPr>
        <w:pStyle w:val="4"/>
        <w:rPr>
          <w:color w:val="auto"/>
        </w:rPr>
      </w:pPr>
      <w:bookmarkStart w:id="122" w:name="_Toc3474"/>
      <w:bookmarkStart w:id="123" w:name="_Toc32127"/>
      <w:r>
        <w:rPr>
          <w:rFonts w:hint="eastAsia" w:ascii="宋体" w:hAnsi="宋体" w:eastAsia="宋体"/>
          <w:color w:val="auto"/>
          <w:sz w:val="30"/>
        </w:rPr>
        <w:t>项目拟采取的主要环保措施</w:t>
      </w:r>
      <w:bookmarkEnd w:id="122"/>
      <w:bookmarkEnd w:id="123"/>
      <w:r>
        <w:rPr>
          <w:rFonts w:hint="eastAsia" w:ascii="宋体" w:hAnsi="宋体" w:eastAsia="宋体"/>
          <w:color w:val="auto"/>
          <w:sz w:val="30"/>
        </w:rPr>
        <w:t xml:space="preserve"> </w:t>
      </w:r>
    </w:p>
    <w:p>
      <w:pPr>
        <w:pStyle w:val="5"/>
        <w:ind w:firstLine="562"/>
        <w:rPr>
          <w:rFonts w:hint="eastAsia"/>
          <w:color w:val="auto"/>
        </w:rPr>
      </w:pPr>
      <w:r>
        <w:rPr>
          <w:rFonts w:hint="eastAsia"/>
          <w:color w:val="auto"/>
          <w:lang w:eastAsia="zh-CN"/>
        </w:rPr>
        <w:t>废气污染防治措施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猪舍恶臭气体，通过及时清理猪粪、喷洒除臭剂等措施，可有效降低猪舍恶臭气体的产生量，减少无组织排放的恶臭气体对环境的大气影响。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污水处理工程的臭气，产生部位主要是厌氧池，主要污染物为H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 xml:space="preserve">。对污水处理站产生恶臭的池子喷洒除臭剂，并在污水处理站和养殖区内加强绿化建设，减少恶臭的产生。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异位发酵床恶臭主要H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，通过喷洒除臭剂等措施有效降低异位发酵床恶臭气体的产生量，减少无组织排放的恶臭气体对环境的大气影响。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食堂油烟，烹饪过程产生的油烟废气经油烟净化装置处理后经专用烟道排放，其排放满足《饮食业油烟排放标准（试行）》（GB18483-2001）规定的限值2mg/m</w:t>
      </w:r>
      <w:r>
        <w:rPr>
          <w:rFonts w:hint="eastAsia"/>
          <w:sz w:val="24"/>
          <w:szCs w:val="24"/>
          <w:vertAlign w:val="superscript"/>
          <w:lang w:eastAsia="zh-CN"/>
        </w:rPr>
        <w:t>3</w:t>
      </w:r>
      <w:r>
        <w:rPr>
          <w:rFonts w:hint="eastAsia"/>
          <w:sz w:val="24"/>
          <w:szCs w:val="24"/>
          <w:lang w:eastAsia="zh-CN"/>
        </w:rPr>
        <w:t xml:space="preserve">要求。 </w:t>
      </w:r>
    </w:p>
    <w:p>
      <w:pPr>
        <w:pStyle w:val="9"/>
        <w:rPr>
          <w:rFonts w:hint="eastAsia"/>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2"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烟囱排放。</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同时本项目通过加强猪舍管理，及时清扫粪便废物；在饲料中使用微生物或植物添加剂等；养殖场进行绿化吸附和隔离恶臭污染物的散发；将猪舍、异位发酵床、污水处理设施等主要恶臭产生源分散布局，以减轻恶臭的影响，改善场区内环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综上所述，在落实以上大气污染防治措施之后，项目对大气环境的影响较小。</w:t>
      </w:r>
    </w:p>
    <w:p>
      <w:pPr>
        <w:pStyle w:val="5"/>
        <w:ind w:firstLine="562"/>
        <w:rPr>
          <w:rFonts w:hint="eastAsia"/>
          <w:color w:val="auto"/>
        </w:rPr>
      </w:pPr>
      <w:r>
        <w:rPr>
          <w:rFonts w:hint="eastAsia"/>
          <w:color w:val="auto"/>
          <w:lang w:eastAsia="zh-CN"/>
        </w:rPr>
        <w:t>废水污染防治措施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本项目产生的废水主要有猪场工作人员生活污水和猪场养殖废水。</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生产废水含猪粪经集液池收集，混合均匀后喷洒至异位发酵床进行发酵</w:t>
      </w:r>
      <w:r>
        <w:rPr>
          <w:rFonts w:hint="eastAsia" w:cs="Times New Roman"/>
          <w:color w:val="auto"/>
          <w:sz w:val="24"/>
          <w:lang w:val="en-US" w:eastAsia="zh-CN"/>
        </w:rPr>
        <w:t>处理后制成有机肥料外售，不外排</w:t>
      </w:r>
      <w:r>
        <w:rPr>
          <w:rFonts w:hint="eastAsia" w:cs="Times New Roman"/>
          <w:color w:val="auto"/>
          <w:sz w:val="24"/>
          <w:lang w:eastAsia="zh-CN"/>
        </w:rPr>
        <w:t>。</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场灌溉，不外排。</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经上述措施处理后，废水实现资源化利用不排入地表水体，措施可行。</w:t>
      </w:r>
    </w:p>
    <w:p>
      <w:pPr>
        <w:pStyle w:val="5"/>
        <w:ind w:firstLine="562"/>
        <w:rPr>
          <w:rFonts w:hint="eastAsia"/>
          <w:color w:val="auto"/>
        </w:rPr>
      </w:pPr>
      <w:r>
        <w:rPr>
          <w:rFonts w:hint="eastAsia"/>
          <w:color w:val="auto"/>
          <w:lang w:eastAsia="zh-CN"/>
        </w:rPr>
        <w:t>地下水污染防治措施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本项目运营期做好厂区分区防渗以及确保污水处理设施正常运行，对地下水影响较小，措施可行。</w:t>
      </w:r>
    </w:p>
    <w:p>
      <w:pPr>
        <w:pStyle w:val="5"/>
        <w:ind w:firstLine="562"/>
        <w:rPr>
          <w:rFonts w:hint="eastAsia"/>
          <w:color w:val="auto"/>
        </w:rPr>
      </w:pPr>
      <w:r>
        <w:rPr>
          <w:rFonts w:hint="eastAsia"/>
          <w:color w:val="auto"/>
          <w:lang w:eastAsia="zh-CN"/>
        </w:rPr>
        <w:t>噪声污染防治措施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项目营运期噪声主要来源于猪舍通风设备、水泵、猪吠叫声等。通过采用按时喂食、选用低噪声设备、优化厂区布置、加强绿化等降噪措施后，项目厂界可达到《工业企业厂界环境噪声排放标准》（GB12348-2008）1类声环境功能区排放限值要求。 </w:t>
      </w:r>
    </w:p>
    <w:p>
      <w:pPr>
        <w:pStyle w:val="5"/>
        <w:ind w:firstLine="562"/>
        <w:rPr>
          <w:rFonts w:hint="eastAsia"/>
          <w:color w:val="auto"/>
        </w:rPr>
      </w:pPr>
      <w:r>
        <w:rPr>
          <w:rFonts w:hint="eastAsia"/>
          <w:color w:val="auto"/>
          <w:lang w:eastAsia="zh-CN"/>
        </w:rPr>
        <w:t>固废污染防治措施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s="Times New Roman"/>
          <w:color w:val="auto"/>
          <w:sz w:val="24"/>
          <w:lang w:val="en-US" w:eastAsia="zh-CN"/>
        </w:rPr>
      </w:pPr>
      <w:r>
        <w:rPr>
          <w:rFonts w:hint="eastAsia" w:cs="Times New Roman"/>
          <w:color w:val="auto"/>
          <w:sz w:val="24"/>
          <w:lang w:eastAsia="zh-CN"/>
        </w:rPr>
        <w:t>养猪场的粪污经异位发酵床工艺处理后制成有机肥料外售。病死猪按《畜禽病害肉尸及其产品无害化处理规程》（</w:t>
      </w:r>
      <w:r>
        <w:rPr>
          <w:rFonts w:hint="eastAsia" w:cs="Times New Roman"/>
          <w:color w:val="auto"/>
          <w:sz w:val="24"/>
          <w:lang w:val="en-US" w:eastAsia="zh-CN"/>
        </w:rPr>
        <w:t>GB16548-1996</w:t>
      </w:r>
      <w:r>
        <w:rPr>
          <w:rFonts w:hint="eastAsia" w:cs="Times New Roman"/>
          <w:color w:val="auto"/>
          <w:sz w:val="24"/>
          <w:lang w:eastAsia="zh-CN"/>
        </w:rPr>
        <w:t>）、农业部关于按印发《病死及病害动物无害化处理技术规范》的通知（农医发</w:t>
      </w:r>
      <w:r>
        <w:rPr>
          <w:rFonts w:hint="eastAsia" w:ascii="宋体" w:hAnsi="宋体" w:eastAsia="宋体" w:cs="宋体"/>
          <w:color w:val="auto"/>
          <w:sz w:val="24"/>
          <w:lang w:eastAsia="zh-CN"/>
        </w:rPr>
        <w:t>〔</w:t>
      </w:r>
      <w:r>
        <w:rPr>
          <w:rFonts w:hint="eastAsia" w:cs="Times New Roman"/>
          <w:color w:val="auto"/>
          <w:sz w:val="24"/>
          <w:lang w:val="en-US" w:eastAsia="zh-CN"/>
        </w:rPr>
        <w:t>2017</w:t>
      </w:r>
      <w:r>
        <w:rPr>
          <w:rFonts w:hint="eastAsia" w:ascii="宋体" w:hAnsi="宋体" w:eastAsia="宋体" w:cs="宋体"/>
          <w:color w:val="auto"/>
          <w:sz w:val="24"/>
          <w:lang w:val="en-US" w:eastAsia="zh-CN"/>
        </w:rPr>
        <w:t>〕</w:t>
      </w:r>
      <w:r>
        <w:rPr>
          <w:rFonts w:hint="eastAsia" w:cs="Times New Roman"/>
          <w:color w:val="auto"/>
          <w:sz w:val="24"/>
          <w:lang w:val="en-US" w:eastAsia="zh-CN"/>
        </w:rPr>
        <w:t>25号</w:t>
      </w:r>
      <w:r>
        <w:rPr>
          <w:rFonts w:hint="eastAsia" w:cs="Times New Roman"/>
          <w:color w:val="auto"/>
          <w:sz w:val="24"/>
          <w:lang w:eastAsia="zh-CN"/>
        </w:rPr>
        <w:t>）、《畜禽养殖染污防治技术规范》（</w:t>
      </w:r>
      <w:r>
        <w:rPr>
          <w:rFonts w:hint="eastAsia" w:cs="Times New Roman"/>
          <w:color w:val="auto"/>
          <w:sz w:val="24"/>
          <w:lang w:val="en-US" w:eastAsia="zh-CN"/>
        </w:rPr>
        <w:t>HJ/T81-2001</w:t>
      </w:r>
      <w:r>
        <w:rPr>
          <w:rFonts w:hint="eastAsia" w:cs="Times New Roman"/>
          <w:color w:val="auto"/>
          <w:sz w:val="24"/>
          <w:lang w:eastAsia="zh-CN"/>
        </w:rPr>
        <w:t>）进行无害化处理。生活垃圾设置固废暂存间定期由环卫部门清运处理。疫苗针头等医疗废物设置专用储存容器，并存放于隔离间，收集到一定数量后交由有资质的单位进行安全处置。</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营运期各固体废弃物污染源经采取有效措施后均可实现资源化、无害化处置，防治措施可行。 </w:t>
      </w:r>
    </w:p>
    <w:p>
      <w:pPr>
        <w:pStyle w:val="5"/>
        <w:ind w:firstLine="562"/>
        <w:rPr>
          <w:rFonts w:hint="eastAsia"/>
          <w:color w:val="auto"/>
        </w:rPr>
      </w:pPr>
      <w:r>
        <w:rPr>
          <w:rFonts w:hint="eastAsia"/>
          <w:color w:val="auto"/>
          <w:lang w:eastAsia="zh-CN"/>
        </w:rPr>
        <w:t>土壤污染防治措施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外购的饲料均进行成分检测，从源头控制重金属及微生物的允许量，确保饲料中不含兴奋剂、镇静剂和各种违禁药品，保证饲料的清洁性、营养性和安全性；粪便经过处理成为腐熟的有机肥再外售，禁止将未腐熟或腐熟不够的有机肥外售；结合地下水污染防治措施建设，本项目在场地内污染区建设地面的防渗措施、泄漏污染物收集措施。</w:t>
      </w:r>
    </w:p>
    <w:p>
      <w:pPr>
        <w:pStyle w:val="9"/>
        <w:rPr>
          <w:rFonts w:hint="eastAsia"/>
        </w:rPr>
      </w:pPr>
      <w:r>
        <w:rPr>
          <w:rFonts w:hint="eastAsia"/>
          <w:sz w:val="24"/>
          <w:szCs w:val="24"/>
          <w:lang w:eastAsia="zh-CN"/>
        </w:rPr>
        <w:t>综上，通过以上工程和管理措施可有效防止土壤污染，措施可行。</w:t>
      </w:r>
    </w:p>
    <w:p>
      <w:pPr>
        <w:pStyle w:val="5"/>
        <w:ind w:firstLine="562"/>
        <w:rPr>
          <w:rFonts w:hint="eastAsia"/>
          <w:color w:val="auto"/>
        </w:rPr>
      </w:pPr>
      <w:r>
        <w:rPr>
          <w:rFonts w:hint="eastAsia"/>
          <w:color w:val="auto"/>
          <w:lang w:eastAsia="zh-CN"/>
        </w:rPr>
        <w:t>环境风险防治措施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制定切实可行的环境风险事故应急预案，当出现事故时，要采取应急措施，以控制事故和减少对环境造成的危害。并严格按照安监、消防部门的要求，落实安全风险防患措施和应急措施后，环境风险是可控的。</w:t>
      </w:r>
    </w:p>
    <w:p>
      <w:pPr>
        <w:pStyle w:val="4"/>
        <w:rPr>
          <w:color w:val="auto"/>
        </w:rPr>
      </w:pPr>
      <w:bookmarkStart w:id="124" w:name="_Toc24006"/>
      <w:bookmarkStart w:id="125" w:name="_Toc1842"/>
      <w:r>
        <w:rPr>
          <w:rFonts w:hint="eastAsia"/>
          <w:color w:val="auto"/>
        </w:rPr>
        <w:t>环境影响经济损益分析</w:t>
      </w:r>
      <w:bookmarkEnd w:id="124"/>
      <w:bookmarkEnd w:id="125"/>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olor w:val="auto"/>
          <w:sz w:val="24"/>
          <w:szCs w:val="24"/>
          <w:lang w:val="en-US" w:eastAsia="zh-CN"/>
        </w:rPr>
      </w:pPr>
      <w:r>
        <w:rPr>
          <w:rFonts w:hint="eastAsia"/>
          <w:color w:val="auto"/>
          <w:sz w:val="24"/>
          <w:szCs w:val="24"/>
          <w:lang w:eastAsia="zh-CN"/>
        </w:rPr>
        <w:t>本项目总投资</w:t>
      </w:r>
      <w:r>
        <w:rPr>
          <w:rFonts w:hint="eastAsia"/>
          <w:color w:val="auto"/>
          <w:sz w:val="24"/>
          <w:szCs w:val="24"/>
          <w:lang w:val="en-US" w:eastAsia="zh-CN"/>
        </w:rPr>
        <w:t>1280万元，其中环保投资106万元，环保投资占项目总投资比例的8.28%。本项目在采取合理的环保措施后，对周围环境产生的影响较小。项目的建设有利于当地财政收入、居民就业机会的提升、相关产业的发展，具有良好的社会效益、经济效益和环境效益。</w:t>
      </w:r>
    </w:p>
    <w:p>
      <w:pPr>
        <w:pStyle w:val="4"/>
        <w:rPr>
          <w:color w:val="auto"/>
        </w:rPr>
      </w:pPr>
      <w:bookmarkStart w:id="126" w:name="_Toc22933"/>
      <w:bookmarkStart w:id="127" w:name="_Toc10378"/>
      <w:r>
        <w:rPr>
          <w:rFonts w:hint="eastAsia"/>
          <w:color w:val="auto"/>
        </w:rPr>
        <w:t>环境管理与环境</w:t>
      </w:r>
      <w:r>
        <w:rPr>
          <w:rFonts w:hint="eastAsia"/>
          <w:color w:val="auto"/>
          <w:lang w:eastAsia="zh-CN"/>
        </w:rPr>
        <w:t>监测</w:t>
      </w:r>
      <w:bookmarkEnd w:id="126"/>
      <w:bookmarkEnd w:id="127"/>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本项目应设置环境管理专职机构，通过加强环境管理工作，同时加强施工期环境监理和运营期环境管理，定期监测，确保污染防治设施稳定达标运行。</w:t>
      </w:r>
    </w:p>
    <w:p>
      <w:pPr>
        <w:pStyle w:val="4"/>
        <w:rPr>
          <w:color w:val="auto"/>
        </w:rPr>
      </w:pPr>
      <w:bookmarkStart w:id="128" w:name="_Toc358"/>
      <w:bookmarkStart w:id="129" w:name="_Toc26385"/>
      <w:r>
        <w:rPr>
          <w:rFonts w:hint="eastAsia"/>
          <w:color w:val="auto"/>
          <w:lang w:eastAsia="zh-CN"/>
        </w:rPr>
        <w:t>清洁生产</w:t>
      </w:r>
      <w:bookmarkEnd w:id="128"/>
      <w:bookmarkEnd w:id="129"/>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经清洁生产分析，本项目的生产工艺与设备先进性、污染控制、节能降耗、清洁生产管理水平均符合清洁生产的基本要求。经核实分析，该项目不属于国家规定的淘汰养殖能力、工艺产品的范围，符合国家产业政策。此外，原料及污染物的循环利用亦符合循环经济理念。因此，在清洁生产方面，本项目达到国内先进水平。</w:t>
      </w:r>
    </w:p>
    <w:p>
      <w:pPr>
        <w:pStyle w:val="4"/>
        <w:rPr>
          <w:color w:val="auto"/>
        </w:rPr>
      </w:pPr>
      <w:bookmarkStart w:id="130" w:name="_Toc9398"/>
      <w:bookmarkStart w:id="131" w:name="_Toc7224"/>
      <w:r>
        <w:rPr>
          <w:rFonts w:hint="eastAsia"/>
          <w:color w:val="auto"/>
          <w:lang w:eastAsia="zh-CN"/>
        </w:rPr>
        <w:t>产业政策、项目选址与平面布局合理性分析结论</w:t>
      </w:r>
      <w:bookmarkEnd w:id="130"/>
      <w:bookmarkEnd w:id="131"/>
      <w:r>
        <w:rPr>
          <w:rFonts w:hint="eastAsia"/>
          <w:color w:val="auto"/>
          <w:lang w:eastAsia="zh-CN"/>
        </w:rPr>
        <w:t xml:space="preserve">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为规模化生猪养殖，行业类别属于A0313农林牧渔业中“畜牧业类猪的饲养”，属于《产业结构调整指导目录（2019年本）》第一类鼓励类农林业第4条“畜禽标准化规模养殖技术开发与应用”项目，不位于《市场准入负面清单（2019年版）》负面清单里面，无禁止或许可事项；</w:t>
      </w:r>
      <w:r>
        <w:rPr>
          <w:rFonts w:hint="eastAsia"/>
          <w:sz w:val="24"/>
          <w:szCs w:val="24"/>
          <w:lang w:val="en-US" w:eastAsia="zh-CN"/>
        </w:rPr>
        <w:t>本项目土地为养殖用途，用地类型为设施农用地、林地，不占基本农田，同时根据土地租赁协议、选址证明，本项目用地选址合法合理。</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不处在依法划定的自然保护区、风景名胜区、森林公园、饮用水水源保护区、文物古迹所在地、地质遗迹保护区、基本农田保护区、地质灾害危险区、生态功能保护区、生态脆弱区等区域内，本项目用地类型为设施农用地、林地，不占基本农田，项目用地合法合理。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同时根据分析，本项目符合</w:t>
      </w:r>
      <w:r>
        <w:rPr>
          <w:rFonts w:hint="eastAsia"/>
          <w:sz w:val="24"/>
          <w:szCs w:val="24"/>
          <w:lang w:val="en-US" w:eastAsia="zh-CN"/>
        </w:rPr>
        <w:t>《关于做好畜禽规模养殖项目环境影响评价管理工作的通知》、《韶关市生猪和家禽生产发展规划和布局（2008-2020）》、《韶关市仁化县畜禽养殖禁养区、限养区和适养区划定方案》、《广东省饮用水源水质保护条例》、《畜禽养殖业污染防治技术规范》、《畜禽规模养殖场粪污资源化利用设施建设规范（试行）》（农办牧〔2018〕2号）、《韶关市环境保护纲要（2006-2020年）》、《韶关市国民经济和社会发展第十三个五年规划纲要》的相关政策及其“三线一单”中的相关规定。</w:t>
      </w:r>
    </w:p>
    <w:p>
      <w:pPr>
        <w:pStyle w:val="4"/>
        <w:rPr>
          <w:color w:val="auto"/>
        </w:rPr>
      </w:pPr>
      <w:bookmarkStart w:id="132" w:name="_Toc769"/>
      <w:bookmarkStart w:id="133" w:name="_Toc17265"/>
      <w:r>
        <w:rPr>
          <w:rFonts w:hint="eastAsia"/>
          <w:color w:val="auto"/>
          <w:lang w:eastAsia="zh-CN"/>
        </w:rPr>
        <w:t>公众参与采纳情况</w:t>
      </w:r>
      <w:bookmarkEnd w:id="132"/>
      <w:bookmarkEnd w:id="133"/>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本项目环评阶段进行了两次公示，公示期间项目建设单位和评价单位均未收到任何反对方面的意见。</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建设单位始终以保障环境为主，在不影响村民以及能带给村民更多便利或者就业机会的情况下，做好各项环保治理措施，确保废水、废气、噪声经过处理排放时的各项指标达到相关标准，减少对周围环境的不利影响，要求政府部门加强定期监督，把对周围居民影响降到最低。本项目拟充分采纳公众意见，接受政府的监督，做好排污控制工作，将项目各污染指数降到最低。</w:t>
      </w:r>
    </w:p>
    <w:p>
      <w:pPr>
        <w:pStyle w:val="4"/>
        <w:rPr>
          <w:color w:val="auto"/>
        </w:rPr>
      </w:pPr>
      <w:bookmarkStart w:id="134" w:name="_Toc622"/>
      <w:bookmarkStart w:id="135" w:name="_Toc29338"/>
      <w:r>
        <w:rPr>
          <w:rFonts w:hint="eastAsia"/>
          <w:color w:val="auto"/>
        </w:rPr>
        <w:t>总体评价</w:t>
      </w:r>
      <w:bookmarkEnd w:id="134"/>
      <w:bookmarkEnd w:id="135"/>
    </w:p>
    <w:p>
      <w:pPr>
        <w:pStyle w:val="9"/>
        <w:rPr>
          <w:rFonts w:hint="eastAsia"/>
        </w:rPr>
      </w:pPr>
      <w:r>
        <w:rPr>
          <w:rFonts w:hint="eastAsia"/>
          <w:color w:val="auto"/>
          <w:lang w:eastAsia="zh-CN"/>
        </w:rPr>
        <w:t>本项目属于国家产业政策中的鼓励类项目，符合国家和地方畜牧业发展规划和环境保护规划的要求，选址合理，同时公众支持本项目的建设；建设单位在切实落实本评价报告所提出的各项环保措施和对策，充分保证环保投入，认真执行环保“三同时”制度，确保污染物稳定达标排放和项目排污管道防渗措施落实的前提下，可保证区域环境质量能够满足环境目标的要求。 因此，从环保角度来说，本项目建设可行。</w:t>
      </w: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pPr>
    </w:p>
    <w:p>
      <w:pPr>
        <w:pStyle w:val="9"/>
      </w:pPr>
    </w:p>
    <w:p>
      <w:pPr>
        <w:pStyle w:val="9"/>
      </w:pPr>
    </w:p>
    <w:p>
      <w:pPr>
        <w:pStyle w:val="9"/>
      </w:pPr>
    </w:p>
    <w:p>
      <w:pPr>
        <w:pStyle w:val="9"/>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8"/>
    <w:family w:val="swiss"/>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华文楷体">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TimesNewRoman">
    <w:altName w:val="Times New Roman"/>
    <w:panose1 w:val="00000000000000000000"/>
    <w:charset w:val="00"/>
    <w:family w:val="roman"/>
    <w:pitch w:val="default"/>
    <w:sig w:usb0="00000000" w:usb1="00000000" w:usb2="00000000" w:usb3="00000000" w:csb0="00000001" w:csb1="00000000"/>
  </w:font>
  <w:font w:name="仿宋_GB2312">
    <w:panose1 w:val="02010609030101010101"/>
    <w:charset w:val="86"/>
    <w:family w:val="modern"/>
    <w:pitch w:val="default"/>
    <w:sig w:usb0="00000001" w:usb1="080E0000" w:usb2="00000000" w:usb3="00000000" w:csb0="00040000" w:csb1="00000000"/>
  </w:font>
  <w:font w:name="汉鼎简书宋">
    <w:altName w:val="宋体"/>
    <w:panose1 w:val="02010609010101010101"/>
    <w:charset w:val="86"/>
    <w:family w:val="modern"/>
    <w:pitch w:val="default"/>
    <w:sig w:usb0="00000000" w:usb1="00000000" w:usb2="00000000" w:usb3="00000000" w:csb0="00000000" w:csb1="00000000"/>
  </w:font>
  <w:font w:name="CG Times (W1)">
    <w:altName w:val="Times New Roman"/>
    <w:panose1 w:val="00000000000000000000"/>
    <w:charset w:val="00"/>
    <w:family w:val="roman"/>
    <w:pitch w:val="default"/>
    <w:sig w:usb0="00000000" w:usb1="00000000" w:usb2="00000000" w:usb3="00000000" w:csb0="00000001" w:csb1="00000000"/>
  </w:font>
  <w:font w:name="等线 Light">
    <w:altName w:val="宋体"/>
    <w:panose1 w:val="02010600030101010101"/>
    <w:charset w:val="86"/>
    <w:family w:val="auto"/>
    <w:pitch w:val="default"/>
    <w:sig w:usb0="00000000" w:usb1="00000000" w:usb2="00000016" w:usb3="00000000" w:csb0="0004000F" w:csb1="00000000"/>
  </w:font>
  <w:font w:name="華康細圓體">
    <w:altName w:val="Microsoft JhengHei"/>
    <w:panose1 w:val="00000000000000000000"/>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087" w:usb1="28AF4000" w:usb2="00000016" w:usb3="00000000" w:csb0="00100009" w:csb1="00000000"/>
  </w:font>
  <w:font w:name="Tms Rmn">
    <w:altName w:val="Segoe Print"/>
    <w:panose1 w:val="02020603040505020304"/>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Arial Unicode MS">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10006FF" w:usb1="4000205B" w:usb2="00000010" w:usb3="00000000" w:csb0="2000019F" w:csb1="00000000"/>
  </w:font>
  <w:font w:name="Cambria Math">
    <w:panose1 w:val="02040503050406030204"/>
    <w:charset w:val="00"/>
    <w:family w:val="roman"/>
    <w:pitch w:val="default"/>
    <w:sig w:usb0="E00002FF" w:usb1="420024FF" w:usb2="00000000" w:usb3="00000000" w:csb0="2000019F"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G Times">
    <w:altName w:val="Segoe Print"/>
    <w:panose1 w:val="00000000000000000000"/>
    <w:charset w:val="00"/>
    <w:family w:val="roman"/>
    <w:pitch w:val="default"/>
    <w:sig w:usb0="00000000" w:usb1="00000000" w:usb2="00000000" w:usb3="00000000" w:csb0="00000093" w:csb1="00000000"/>
  </w:font>
  <w:font w:name="幼圆">
    <w:panose1 w:val="02010509060101010101"/>
    <w:charset w:val="86"/>
    <w:family w:val="modern"/>
    <w:pitch w:val="default"/>
    <w:sig w:usb0="00000001" w:usb1="080E0000" w:usb2="00000000" w:usb3="00000000" w:csb0="00040000" w:csb1="00000000"/>
  </w:font>
  <w:font w:name="隶书">
    <w:panose1 w:val="02010509060101010101"/>
    <w:charset w:val="86"/>
    <w:family w:val="modern"/>
    <w:pitch w:val="default"/>
    <w:sig w:usb0="00000001" w:usb1="080E0000" w:usb2="00000000" w:usb3="00000000" w:csb0="00040000" w:csb1="00000000"/>
  </w:font>
  <w:font w:name="楷体">
    <w:altName w:val="楷体_GB2312"/>
    <w:panose1 w:val="02010609060101010101"/>
    <w:charset w:val="86"/>
    <w:family w:val="modern"/>
    <w:pitch w:val="default"/>
    <w:sig w:usb0="00000000" w:usb1="00000000" w:usb2="00000016" w:usb3="00000000" w:csb0="00040001" w:csb1="00000000"/>
  </w:font>
  <w:font w:name="Wingdings 2">
    <w:panose1 w:val="05020102010507070707"/>
    <w:charset w:val="02"/>
    <w:family w:val="auto"/>
    <w:pitch w:val="default"/>
    <w:sig w:usb0="00000000" w:usb1="00000000" w:usb2="00000000" w:usb3="00000000" w:csb0="80000000" w:csb1="00000000"/>
  </w:font>
  <w:font w:name="TimesNewRomanPSMT">
    <w:altName w:val="Times New Roman"/>
    <w:panose1 w:val="00000000000000000000"/>
    <w:charset w:val="80"/>
    <w:family w:val="auto"/>
    <w:pitch w:val="default"/>
    <w:sig w:usb0="00000000" w:usb1="00000000" w:usb2="00000000" w:usb3="00000000" w:csb0="00020000" w:csb1="00000000"/>
  </w:font>
  <w:font w:name="等线">
    <w:altName w:val="Arial Unicode M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AT2g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AT2gzAgAAYwQAAA4AAAAAAAAAAQAgAAAAHwEAAGRycy9lMm9Eb2MueG1sUEsF&#10;BgAAAAAGAAYAWQEAAMQFA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v:textbox>
            </v:shape>
          </w:pict>
        </mc:Fallback>
      </mc:AlternateContent>
    </w:r>
  </w:p>
  <w:p>
    <w:pPr>
      <w:pStyle w:val="4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v:textbox>
            </v:shape>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jc w:val="center"/>
                          </w:pPr>
                        </w:p>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pPr>
                      <w:pStyle w:val="40"/>
                      <w:jc w:val="center"/>
                    </w:pPr>
                  </w:p>
                  <w:p/>
                </w:txbxContent>
              </v:textbox>
            </v:shape>
          </w:pict>
        </mc:Fallback>
      </mc:AlternateContent>
    </w:r>
  </w:p>
  <w:p>
    <w:pPr>
      <w:pStyle w:val="4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高联村寨下组现代高效化养猪场建设项目</w:t>
    </w:r>
    <w:r>
      <w:rPr>
        <w:rFonts w:hint="eastAsia"/>
      </w:rPr>
      <w:t>境影响报告书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仁化县三佳畜牧有限公司高联村寨下组现代高效化养猪场建设项目</w:t>
    </w:r>
    <w:r>
      <w:rPr>
        <w:rFonts w:hint="eastAsia"/>
      </w:rPr>
      <w:t>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7F15D"/>
    <w:multiLevelType w:val="singleLevel"/>
    <w:tmpl w:val="8D77F15D"/>
    <w:lvl w:ilvl="0" w:tentative="0">
      <w:start w:val="1"/>
      <w:numFmt w:val="decimal"/>
      <w:suff w:val="nothing"/>
      <w:lvlText w:val="（%1）"/>
      <w:lvlJc w:val="left"/>
    </w:lvl>
  </w:abstractNum>
  <w:abstractNum w:abstractNumId="1">
    <w:nsid w:val="B35C78E4"/>
    <w:multiLevelType w:val="singleLevel"/>
    <w:tmpl w:val="B35C78E4"/>
    <w:lvl w:ilvl="0" w:tentative="0">
      <w:start w:val="1"/>
      <w:numFmt w:val="decimal"/>
      <w:suff w:val="nothing"/>
      <w:lvlText w:val="（%1）"/>
      <w:lvlJc w:val="left"/>
    </w:lvl>
  </w:abstractNum>
  <w:abstractNum w:abstractNumId="2">
    <w:nsid w:val="C959343D"/>
    <w:multiLevelType w:val="singleLevel"/>
    <w:tmpl w:val="C959343D"/>
    <w:lvl w:ilvl="0" w:tentative="0">
      <w:start w:val="1"/>
      <w:numFmt w:val="decimal"/>
      <w:suff w:val="nothing"/>
      <w:lvlText w:val="（%1）"/>
      <w:lvlJc w:val="left"/>
    </w:lvl>
  </w:abstractNum>
  <w:abstractNum w:abstractNumId="3">
    <w:nsid w:val="D2482319"/>
    <w:multiLevelType w:val="singleLevel"/>
    <w:tmpl w:val="D2482319"/>
    <w:lvl w:ilvl="0" w:tentative="0">
      <w:start w:val="1"/>
      <w:numFmt w:val="decimal"/>
      <w:suff w:val="nothing"/>
      <w:lvlText w:val="（%1）"/>
      <w:lvlJc w:val="left"/>
    </w:lvl>
  </w:abstractNum>
  <w:abstractNum w:abstractNumId="4">
    <w:nsid w:val="FFFFFF7D"/>
    <w:multiLevelType w:val="singleLevel"/>
    <w:tmpl w:val="FFFFFF7D"/>
    <w:lvl w:ilvl="0" w:tentative="0">
      <w:start w:val="1"/>
      <w:numFmt w:val="decimal"/>
      <w:pStyle w:val="34"/>
      <w:lvlText w:val="%1."/>
      <w:lvlJc w:val="left"/>
      <w:pPr>
        <w:tabs>
          <w:tab w:val="left" w:pos="1620"/>
        </w:tabs>
        <w:ind w:left="1620" w:hanging="360"/>
      </w:pPr>
    </w:lvl>
  </w:abstractNum>
  <w:abstractNum w:abstractNumId="5">
    <w:nsid w:val="FFFFFF88"/>
    <w:multiLevelType w:val="singleLevel"/>
    <w:tmpl w:val="FFFFFF88"/>
    <w:lvl w:ilvl="0" w:tentative="0">
      <w:start w:val="1"/>
      <w:numFmt w:val="decimal"/>
      <w:pStyle w:val="803"/>
      <w:lvlText w:val="%1."/>
      <w:lvlJc w:val="left"/>
      <w:pPr>
        <w:tabs>
          <w:tab w:val="left" w:pos="360"/>
        </w:tabs>
        <w:ind w:left="360" w:hanging="360"/>
      </w:pPr>
    </w:lvl>
  </w:abstractNum>
  <w:abstractNum w:abstractNumId="6">
    <w:nsid w:val="00000007"/>
    <w:multiLevelType w:val="singleLevel"/>
    <w:tmpl w:val="00000007"/>
    <w:lvl w:ilvl="0" w:tentative="0">
      <w:start w:val="1"/>
      <w:numFmt w:val="decimal"/>
      <w:suff w:val="nothing"/>
      <w:lvlText w:val="（%1）"/>
      <w:lvlJc w:val="left"/>
    </w:lvl>
  </w:abstractNum>
  <w:abstractNum w:abstractNumId="7">
    <w:nsid w:val="0000000A"/>
    <w:multiLevelType w:val="singleLevel"/>
    <w:tmpl w:val="0000000A"/>
    <w:lvl w:ilvl="0" w:tentative="0">
      <w:start w:val="1"/>
      <w:numFmt w:val="decimal"/>
      <w:suff w:val="nothing"/>
      <w:lvlText w:val="（%1）"/>
      <w:lvlJc w:val="left"/>
    </w:lvl>
  </w:abstractNum>
  <w:abstractNum w:abstractNumId="8">
    <w:nsid w:val="0000000D"/>
    <w:multiLevelType w:val="singleLevel"/>
    <w:tmpl w:val="0000000D"/>
    <w:lvl w:ilvl="0" w:tentative="0">
      <w:start w:val="1"/>
      <w:numFmt w:val="decimal"/>
      <w:suff w:val="nothing"/>
      <w:lvlText w:val="（%1）"/>
      <w:lvlJc w:val="left"/>
    </w:lvl>
  </w:abstractNum>
  <w:abstractNum w:abstractNumId="9">
    <w:nsid w:val="00000013"/>
    <w:multiLevelType w:val="singleLevel"/>
    <w:tmpl w:val="00000013"/>
    <w:lvl w:ilvl="0" w:tentative="0">
      <w:start w:val="1"/>
      <w:numFmt w:val="decimal"/>
      <w:suff w:val="nothing"/>
      <w:lvlText w:val="（%1）"/>
      <w:lvlJc w:val="left"/>
    </w:lvl>
  </w:abstractNum>
  <w:abstractNum w:abstractNumId="10">
    <w:nsid w:val="00000018"/>
    <w:multiLevelType w:val="singleLevel"/>
    <w:tmpl w:val="00000018"/>
    <w:lvl w:ilvl="0" w:tentative="0">
      <w:start w:val="1"/>
      <w:numFmt w:val="decimal"/>
      <w:suff w:val="nothing"/>
      <w:lvlText w:val="%1、"/>
      <w:lvlJc w:val="left"/>
    </w:lvl>
  </w:abstractNum>
  <w:abstractNum w:abstractNumId="11">
    <w:nsid w:val="0000001E"/>
    <w:multiLevelType w:val="singleLevel"/>
    <w:tmpl w:val="0000001E"/>
    <w:lvl w:ilvl="0" w:tentative="0">
      <w:start w:val="1"/>
      <w:numFmt w:val="decimal"/>
      <w:suff w:val="nothing"/>
      <w:lvlText w:val="（%1）"/>
      <w:lvlJc w:val="left"/>
    </w:lvl>
  </w:abstractNum>
  <w:abstractNum w:abstractNumId="12">
    <w:nsid w:val="0000001F"/>
    <w:multiLevelType w:val="singleLevel"/>
    <w:tmpl w:val="0000001F"/>
    <w:lvl w:ilvl="0" w:tentative="0">
      <w:start w:val="1"/>
      <w:numFmt w:val="decimal"/>
      <w:suff w:val="nothing"/>
      <w:lvlText w:val="（%1）"/>
      <w:lvlJc w:val="left"/>
    </w:lvl>
  </w:abstractNum>
  <w:abstractNum w:abstractNumId="13">
    <w:nsid w:val="00000027"/>
    <w:multiLevelType w:val="singleLevel"/>
    <w:tmpl w:val="00000027"/>
    <w:lvl w:ilvl="0" w:tentative="0">
      <w:start w:val="1"/>
      <w:numFmt w:val="decimal"/>
      <w:suff w:val="nothing"/>
      <w:lvlText w:val="（%1）"/>
      <w:lvlJc w:val="left"/>
    </w:lvl>
  </w:abstractNum>
  <w:abstractNum w:abstractNumId="14">
    <w:nsid w:val="00000028"/>
    <w:multiLevelType w:val="singleLevel"/>
    <w:tmpl w:val="00000028"/>
    <w:lvl w:ilvl="0" w:tentative="0">
      <w:start w:val="1"/>
      <w:numFmt w:val="decimal"/>
      <w:suff w:val="nothing"/>
      <w:lvlText w:val="（%1）"/>
      <w:lvlJc w:val="left"/>
    </w:lvl>
  </w:abstractNum>
  <w:abstractNum w:abstractNumId="15">
    <w:nsid w:val="00000029"/>
    <w:multiLevelType w:val="singleLevel"/>
    <w:tmpl w:val="00000029"/>
    <w:lvl w:ilvl="0" w:tentative="0">
      <w:start w:val="1"/>
      <w:numFmt w:val="decimal"/>
      <w:suff w:val="nothing"/>
      <w:lvlText w:val="（%1）"/>
      <w:lvlJc w:val="left"/>
    </w:lvl>
  </w:abstractNum>
  <w:abstractNum w:abstractNumId="16">
    <w:nsid w:val="04CA6E2A"/>
    <w:multiLevelType w:val="multilevel"/>
    <w:tmpl w:val="04CA6E2A"/>
    <w:lvl w:ilvl="0" w:tentative="0">
      <w:start w:val="1"/>
      <w:numFmt w:val="decimal"/>
      <w:lvlText w:val="%1、"/>
      <w:lvlJc w:val="left"/>
      <w:pPr>
        <w:tabs>
          <w:tab w:val="left" w:pos="425"/>
        </w:tabs>
        <w:ind w:left="425" w:hanging="425"/>
      </w:pPr>
      <w:rPr>
        <w:rFonts w:hint="eastAsia"/>
      </w:rPr>
    </w:lvl>
    <w:lvl w:ilvl="1" w:tentative="0">
      <w:start w:val="1"/>
      <w:numFmt w:val="decimal"/>
      <w:pStyle w:val="662"/>
      <w:lvlText w:val="%1.%2"/>
      <w:lvlJc w:val="left"/>
      <w:pPr>
        <w:tabs>
          <w:tab w:val="left" w:pos="1505"/>
        </w:tabs>
        <w:ind w:left="992" w:hanging="567"/>
      </w:pPr>
      <w:rPr>
        <w:rFonts w:hint="eastAsia"/>
      </w:rPr>
    </w:lvl>
    <w:lvl w:ilvl="2" w:tentative="0">
      <w:start w:val="1"/>
      <w:numFmt w:val="decimal"/>
      <w:pStyle w:val="635"/>
      <w:lvlText w:val="%1.%2.%3"/>
      <w:lvlJc w:val="left"/>
      <w:pPr>
        <w:tabs>
          <w:tab w:val="left" w:pos="2291"/>
        </w:tabs>
        <w:ind w:left="1418" w:hanging="567"/>
      </w:pPr>
      <w:rPr>
        <w:rFonts w:hint="eastAsia"/>
      </w:rPr>
    </w:lvl>
    <w:lvl w:ilvl="3" w:tentative="0">
      <w:start w:val="1"/>
      <w:numFmt w:val="decimal"/>
      <w:lvlText w:val="%1.%2.%3.%4"/>
      <w:lvlJc w:val="left"/>
      <w:pPr>
        <w:tabs>
          <w:tab w:val="left" w:pos="3076"/>
        </w:tabs>
        <w:ind w:left="1984" w:hanging="708"/>
      </w:pPr>
      <w:rPr>
        <w:rFonts w:hint="eastAsia"/>
      </w:rPr>
    </w:lvl>
    <w:lvl w:ilvl="4" w:tentative="0">
      <w:start w:val="1"/>
      <w:numFmt w:val="decimal"/>
      <w:lvlText w:val="%1.%2.%3.%4.%5"/>
      <w:lvlJc w:val="left"/>
      <w:pPr>
        <w:tabs>
          <w:tab w:val="left" w:pos="4221"/>
        </w:tabs>
        <w:ind w:left="2551" w:hanging="850"/>
      </w:pPr>
      <w:rPr>
        <w:rFonts w:hint="eastAsia"/>
      </w:rPr>
    </w:lvl>
    <w:lvl w:ilvl="5" w:tentative="0">
      <w:start w:val="1"/>
      <w:numFmt w:val="decimal"/>
      <w:lvlText w:val="%1.%2.%3.%4.%5.%6"/>
      <w:lvlJc w:val="left"/>
      <w:pPr>
        <w:tabs>
          <w:tab w:val="left" w:pos="5006"/>
        </w:tabs>
        <w:ind w:left="3260" w:hanging="1134"/>
      </w:pPr>
      <w:rPr>
        <w:rFonts w:hint="eastAsia"/>
      </w:rPr>
    </w:lvl>
    <w:lvl w:ilvl="6" w:tentative="0">
      <w:start w:val="1"/>
      <w:numFmt w:val="decimal"/>
      <w:lvlText w:val="%1.%2.%3.%4.%5.%6.%7"/>
      <w:lvlJc w:val="left"/>
      <w:pPr>
        <w:tabs>
          <w:tab w:val="left" w:pos="6151"/>
        </w:tabs>
        <w:ind w:left="3827" w:hanging="1276"/>
      </w:pPr>
      <w:rPr>
        <w:rFonts w:hint="eastAsia"/>
      </w:rPr>
    </w:lvl>
    <w:lvl w:ilvl="7" w:tentative="0">
      <w:start w:val="1"/>
      <w:numFmt w:val="decimal"/>
      <w:lvlText w:val="%1.%2.%3.%4.%5.%6.%7.%8"/>
      <w:lvlJc w:val="left"/>
      <w:pPr>
        <w:tabs>
          <w:tab w:val="left" w:pos="6936"/>
        </w:tabs>
        <w:ind w:left="4394" w:hanging="1418"/>
      </w:pPr>
      <w:rPr>
        <w:rFonts w:hint="eastAsia"/>
      </w:rPr>
    </w:lvl>
    <w:lvl w:ilvl="8" w:tentative="0">
      <w:start w:val="1"/>
      <w:numFmt w:val="decimal"/>
      <w:lvlText w:val="%1.%2.%3.%4.%5.%6.%7.%8.%9"/>
      <w:lvlJc w:val="left"/>
      <w:pPr>
        <w:tabs>
          <w:tab w:val="left" w:pos="8082"/>
        </w:tabs>
        <w:ind w:left="5102" w:hanging="1700"/>
      </w:pPr>
      <w:rPr>
        <w:rFonts w:hint="eastAsia"/>
      </w:rPr>
    </w:lvl>
  </w:abstractNum>
  <w:abstractNum w:abstractNumId="17">
    <w:nsid w:val="253A4F56"/>
    <w:multiLevelType w:val="multilevel"/>
    <w:tmpl w:val="253A4F56"/>
    <w:lvl w:ilvl="0" w:tentative="0">
      <w:start w:val="1"/>
      <w:numFmt w:val="decimal"/>
      <w:pStyle w:val="348"/>
      <w:lvlText w:val="%1"/>
      <w:lvlJc w:val="left"/>
      <w:pPr>
        <w:tabs>
          <w:tab w:val="left" w:pos="605"/>
        </w:tabs>
        <w:ind w:left="605" w:hanging="425"/>
      </w:pPr>
      <w:rPr>
        <w:rFonts w:hint="eastAsia"/>
      </w:rPr>
    </w:lvl>
    <w:lvl w:ilvl="1" w:tentative="0">
      <w:start w:val="1"/>
      <w:numFmt w:val="decimal"/>
      <w:pStyle w:val="349"/>
      <w:lvlText w:val="%1.%2"/>
      <w:lvlJc w:val="left"/>
      <w:pPr>
        <w:tabs>
          <w:tab w:val="left" w:pos="567"/>
        </w:tabs>
        <w:ind w:left="567" w:hanging="567"/>
      </w:pPr>
    </w:lvl>
    <w:lvl w:ilvl="2" w:tentative="0">
      <w:start w:val="1"/>
      <w:numFmt w:val="decimal"/>
      <w:pStyle w:val="351"/>
      <w:lvlText w:val="%1.%2.%3"/>
      <w:lvlJc w:val="left"/>
      <w:pPr>
        <w:tabs>
          <w:tab w:val="left" w:pos="720"/>
        </w:tabs>
        <w:ind w:left="567" w:hanging="567"/>
      </w:pPr>
      <w:rPr>
        <w:color w:val="auto"/>
      </w:rPr>
    </w:lvl>
    <w:lvl w:ilvl="3" w:tentative="0">
      <w:start w:val="1"/>
      <w:numFmt w:val="decimal"/>
      <w:pStyle w:val="352"/>
      <w:lvlText w:val="%1.%2.%3.%4"/>
      <w:lvlJc w:val="left"/>
      <w:pPr>
        <w:tabs>
          <w:tab w:val="left" w:pos="1080"/>
        </w:tabs>
        <w:ind w:left="708" w:hanging="708"/>
      </w:pPr>
      <w:rPr>
        <w:color w:val="auto"/>
        <w:lang w:val="en-US"/>
      </w:rPr>
    </w:lvl>
    <w:lvl w:ilvl="4" w:tentative="0">
      <w:start w:val="1"/>
      <w:numFmt w:val="decimal"/>
      <w:lvlText w:val="%1.%2.%3.%4.%5"/>
      <w:lvlJc w:val="left"/>
      <w:pPr>
        <w:tabs>
          <w:tab w:val="left" w:pos="2781"/>
        </w:tabs>
        <w:ind w:left="2551" w:hanging="850"/>
      </w:pPr>
    </w:lvl>
    <w:lvl w:ilvl="5" w:tentative="0">
      <w:start w:val="1"/>
      <w:numFmt w:val="decimal"/>
      <w:lvlText w:val="%1.%2.%3.%4.%5.%6"/>
      <w:lvlJc w:val="left"/>
      <w:pPr>
        <w:tabs>
          <w:tab w:val="left" w:pos="3566"/>
        </w:tabs>
        <w:ind w:left="3260" w:hanging="1134"/>
      </w:pPr>
    </w:lvl>
    <w:lvl w:ilvl="6" w:tentative="0">
      <w:start w:val="1"/>
      <w:numFmt w:val="decimal"/>
      <w:lvlText w:val="%1.%2.%3.%4.%5.%6.%7"/>
      <w:lvlJc w:val="left"/>
      <w:pPr>
        <w:tabs>
          <w:tab w:val="left" w:pos="4351"/>
        </w:tabs>
        <w:ind w:left="3827" w:hanging="1276"/>
      </w:pPr>
    </w:lvl>
    <w:lvl w:ilvl="7" w:tentative="0">
      <w:start w:val="1"/>
      <w:numFmt w:val="decimal"/>
      <w:lvlText w:val="%1.%2.%3.%4.%5.%6.%7.%8"/>
      <w:lvlJc w:val="left"/>
      <w:pPr>
        <w:tabs>
          <w:tab w:val="left" w:pos="4776"/>
        </w:tabs>
        <w:ind w:left="4394" w:hanging="1418"/>
      </w:pPr>
    </w:lvl>
    <w:lvl w:ilvl="8" w:tentative="0">
      <w:start w:val="1"/>
      <w:numFmt w:val="decimal"/>
      <w:lvlText w:val="%1.%2.%3.%4.%5.%6.%7.%8.%9"/>
      <w:lvlJc w:val="left"/>
      <w:pPr>
        <w:tabs>
          <w:tab w:val="left" w:pos="5562"/>
        </w:tabs>
        <w:ind w:left="5102" w:hanging="1700"/>
      </w:pPr>
    </w:lvl>
  </w:abstractNum>
  <w:abstractNum w:abstractNumId="18">
    <w:nsid w:val="262E6267"/>
    <w:multiLevelType w:val="singleLevel"/>
    <w:tmpl w:val="262E6267"/>
    <w:lvl w:ilvl="0" w:tentative="0">
      <w:start w:val="1"/>
      <w:numFmt w:val="decimal"/>
      <w:suff w:val="nothing"/>
      <w:lvlText w:val="（%1）"/>
      <w:lvlJc w:val="left"/>
    </w:lvl>
  </w:abstractNum>
  <w:abstractNum w:abstractNumId="19">
    <w:nsid w:val="2F3B2398"/>
    <w:multiLevelType w:val="multilevel"/>
    <w:tmpl w:val="2F3B2398"/>
    <w:lvl w:ilvl="0" w:tentative="0">
      <w:start w:val="1"/>
      <w:numFmt w:val="decimal"/>
      <w:pStyle w:val="3"/>
      <w:lvlText w:val="%1."/>
      <w:lvlJc w:val="left"/>
      <w:pPr>
        <w:ind w:left="0" w:firstLine="0"/>
      </w:pPr>
      <w:rPr>
        <w:rFonts w:hint="default"/>
        <w:b/>
      </w:rPr>
    </w:lvl>
    <w:lvl w:ilvl="1" w:tentative="0">
      <w:start w:val="1"/>
      <w:numFmt w:val="decimal"/>
      <w:pStyle w:val="4"/>
      <w:lvlText w:val="%1.%2"/>
      <w:lvlJc w:val="left"/>
      <w:pPr>
        <w:ind w:left="0" w:firstLine="0"/>
      </w:pPr>
      <w:rPr>
        <w:rFonts w:hint="eastAsia"/>
      </w:rPr>
    </w:lvl>
    <w:lvl w:ilvl="2" w:tentative="0">
      <w:start w:val="1"/>
      <w:numFmt w:val="decimal"/>
      <w:pStyle w:val="5"/>
      <w:lvlText w:val="%1.%2.%3"/>
      <w:lvlJc w:val="left"/>
      <w:pPr>
        <w:ind w:left="0" w:firstLine="0"/>
      </w:pPr>
      <w:rPr>
        <w:rFonts w:hint="eastAsia"/>
      </w:rPr>
    </w:lvl>
    <w:lvl w:ilvl="3" w:tentative="0">
      <w:start w:val="1"/>
      <w:numFmt w:val="decimal"/>
      <w:pStyle w:val="6"/>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20">
    <w:nsid w:val="2FFD2E6E"/>
    <w:multiLevelType w:val="multilevel"/>
    <w:tmpl w:val="2FFD2E6E"/>
    <w:lvl w:ilvl="0" w:tentative="0">
      <w:start w:val="1"/>
      <w:numFmt w:val="decimal"/>
      <w:lvlText w:val="%1"/>
      <w:lvlJc w:val="left"/>
      <w:pPr>
        <w:tabs>
          <w:tab w:val="left" w:pos="432"/>
        </w:tabs>
        <w:ind w:left="432" w:hanging="432"/>
      </w:pPr>
      <w:rPr>
        <w:rFonts w:hint="eastAsia"/>
      </w:rPr>
    </w:lvl>
    <w:lvl w:ilvl="1" w:tentative="0">
      <w:start w:val="1"/>
      <w:numFmt w:val="decimal"/>
      <w:lvlText w:val="%1.%2"/>
      <w:lvlJc w:val="left"/>
      <w:pPr>
        <w:tabs>
          <w:tab w:val="left" w:pos="576"/>
        </w:tabs>
        <w:ind w:left="576" w:hanging="576"/>
      </w:pPr>
      <w:rPr>
        <w:rFonts w:hint="eastAsia"/>
      </w:rPr>
    </w:lvl>
    <w:lvl w:ilvl="2" w:tentative="0">
      <w:start w:val="1"/>
      <w:numFmt w:val="decimal"/>
      <w:isLgl/>
      <w:lvlText w:val="2.%2.%3"/>
      <w:lvlJc w:val="left"/>
      <w:pPr>
        <w:tabs>
          <w:tab w:val="left" w:pos="720"/>
        </w:tabs>
        <w:ind w:left="720" w:hanging="720"/>
      </w:pPr>
      <w:rPr>
        <w:rFonts w:hint="eastAsia"/>
      </w:rPr>
    </w:lvl>
    <w:lvl w:ilvl="3" w:tentative="0">
      <w:start w:val="1"/>
      <w:numFmt w:val="decimal"/>
      <w:pStyle w:val="602"/>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1">
    <w:nsid w:val="31530301"/>
    <w:multiLevelType w:val="multilevel"/>
    <w:tmpl w:val="31530301"/>
    <w:lvl w:ilvl="0" w:tentative="0">
      <w:start w:val="1"/>
      <w:numFmt w:val="decimal"/>
      <w:pStyle w:val="740"/>
      <w:lvlText w:val="%1"/>
      <w:lvlJc w:val="left"/>
      <w:pPr>
        <w:tabs>
          <w:tab w:val="left" w:pos="432"/>
        </w:tabs>
        <w:ind w:left="432" w:hanging="432"/>
      </w:pPr>
      <w:rPr>
        <w:rFonts w:hint="eastAsia"/>
      </w:rPr>
    </w:lvl>
    <w:lvl w:ilvl="1" w:tentative="0">
      <w:start w:val="3"/>
      <w:numFmt w:val="decimal"/>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2">
    <w:nsid w:val="39011F0E"/>
    <w:multiLevelType w:val="multilevel"/>
    <w:tmpl w:val="39011F0E"/>
    <w:lvl w:ilvl="0" w:tentative="0">
      <w:start w:val="1"/>
      <w:numFmt w:val="decimalEnclosedCircle"/>
      <w:lvlText w:val="%1"/>
      <w:lvlJc w:val="left"/>
      <w:pPr>
        <w:ind w:left="900" w:hanging="420"/>
      </w:pPr>
      <w:rPr>
        <w:rFonts w:hint="default"/>
      </w:rPr>
    </w:lvl>
    <w:lvl w:ilvl="1" w:tentative="0">
      <w:start w:val="1"/>
      <w:numFmt w:val="lowerLetter"/>
      <w:pStyle w:val="525"/>
      <w:lvlText w:val="%2)"/>
      <w:lvlJc w:val="left"/>
      <w:pPr>
        <w:ind w:left="1320" w:hanging="420"/>
      </w:pPr>
    </w:lvl>
    <w:lvl w:ilvl="2" w:tentative="0">
      <w:start w:val="1"/>
      <w:numFmt w:val="lowerRoman"/>
      <w:pStyle w:val="645"/>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3">
    <w:nsid w:val="3EA751B1"/>
    <w:multiLevelType w:val="multilevel"/>
    <w:tmpl w:val="3EA751B1"/>
    <w:lvl w:ilvl="0" w:tentative="0">
      <w:start w:val="1"/>
      <w:numFmt w:val="decimal"/>
      <w:pStyle w:val="553"/>
      <w:isLgl/>
      <w:lvlText w:val="%1"/>
      <w:lvlJc w:val="left"/>
      <w:pPr>
        <w:tabs>
          <w:tab w:val="left" w:pos="360"/>
        </w:tabs>
        <w:ind w:left="0" w:firstLine="0"/>
      </w:pPr>
      <w:rPr>
        <w:rFonts w:hint="eastAsia"/>
      </w:rPr>
    </w:lvl>
    <w:lvl w:ilvl="1" w:tentative="0">
      <w:start w:val="1"/>
      <w:numFmt w:val="decimal"/>
      <w:pStyle w:val="701"/>
      <w:lvlText w:val="%1.%2"/>
      <w:lvlJc w:val="left"/>
      <w:pPr>
        <w:tabs>
          <w:tab w:val="left" w:pos="720"/>
        </w:tabs>
        <w:ind w:left="0" w:firstLine="0"/>
      </w:pPr>
      <w:rPr>
        <w:rFonts w:hint="eastAsia"/>
      </w:rPr>
    </w:lvl>
    <w:lvl w:ilvl="2" w:tentative="0">
      <w:start w:val="1"/>
      <w:numFmt w:val="decimal"/>
      <w:pStyle w:val="535"/>
      <w:lvlText w:val="%1.%2.%3"/>
      <w:lvlJc w:val="left"/>
      <w:pPr>
        <w:tabs>
          <w:tab w:val="left" w:pos="720"/>
        </w:tabs>
        <w:ind w:left="0" w:firstLine="0"/>
      </w:pPr>
      <w:rPr>
        <w:rFonts w:hint="eastAsia"/>
        <w:lang w:val="en-US"/>
      </w:rPr>
    </w:lvl>
    <w:lvl w:ilvl="3" w:tentative="0">
      <w:start w:val="1"/>
      <w:numFmt w:val="decimal"/>
      <w:lvlText w:val="%1.%2.%3.%4"/>
      <w:lvlJc w:val="left"/>
      <w:pPr>
        <w:tabs>
          <w:tab w:val="left" w:pos="720"/>
        </w:tabs>
        <w:ind w:left="0" w:firstLine="0"/>
      </w:pPr>
      <w:rPr>
        <w:rFonts w:hint="eastAsia"/>
        <w:lang w:eastAsia="zh-CN"/>
      </w:rPr>
    </w:lvl>
    <w:lvl w:ilvl="4" w:tentative="0">
      <w:start w:val="1"/>
      <w:numFmt w:val="decimal"/>
      <w:lvlText w:val="%1.%2.%3.%4.%5"/>
      <w:lvlJc w:val="left"/>
      <w:pPr>
        <w:tabs>
          <w:tab w:val="left" w:pos="3501"/>
        </w:tabs>
        <w:ind w:left="2551" w:hanging="850"/>
      </w:pPr>
      <w:rPr>
        <w:rFonts w:hint="eastAsia"/>
      </w:rPr>
    </w:lvl>
    <w:lvl w:ilvl="5" w:tentative="0">
      <w:start w:val="1"/>
      <w:numFmt w:val="decimal"/>
      <w:lvlText w:val="%1.%2.%3.%4.%5.%6"/>
      <w:lvlJc w:val="left"/>
      <w:pPr>
        <w:tabs>
          <w:tab w:val="left" w:pos="4286"/>
        </w:tabs>
        <w:ind w:left="3260" w:hanging="1134"/>
      </w:pPr>
      <w:rPr>
        <w:rFonts w:hint="eastAsia"/>
      </w:rPr>
    </w:lvl>
    <w:lvl w:ilvl="6" w:tentative="0">
      <w:start w:val="1"/>
      <w:numFmt w:val="decimal"/>
      <w:lvlText w:val="%1.%2.%3.%4.%5.%6.%7"/>
      <w:lvlJc w:val="left"/>
      <w:pPr>
        <w:tabs>
          <w:tab w:val="left" w:pos="5071"/>
        </w:tabs>
        <w:ind w:left="3827" w:hanging="1276"/>
      </w:pPr>
      <w:rPr>
        <w:rFonts w:hint="eastAsia"/>
      </w:rPr>
    </w:lvl>
    <w:lvl w:ilvl="7" w:tentative="0">
      <w:start w:val="1"/>
      <w:numFmt w:val="decimal"/>
      <w:lvlText w:val="%1.%2.%3.%4.%5.%6.%7.%8"/>
      <w:lvlJc w:val="left"/>
      <w:pPr>
        <w:tabs>
          <w:tab w:val="left" w:pos="5496"/>
        </w:tabs>
        <w:ind w:left="4394" w:hanging="1418"/>
      </w:pPr>
      <w:rPr>
        <w:rFonts w:hint="eastAsia"/>
      </w:rPr>
    </w:lvl>
    <w:lvl w:ilvl="8" w:tentative="0">
      <w:start w:val="1"/>
      <w:numFmt w:val="decimal"/>
      <w:lvlText w:val="%1.%2.%3.%4.%5.%6.%7.%8.%9"/>
      <w:lvlJc w:val="left"/>
      <w:pPr>
        <w:tabs>
          <w:tab w:val="left" w:pos="6282"/>
        </w:tabs>
        <w:ind w:left="5102" w:hanging="1700"/>
      </w:pPr>
      <w:rPr>
        <w:rFonts w:hint="eastAsia"/>
      </w:rPr>
    </w:lvl>
  </w:abstractNum>
  <w:abstractNum w:abstractNumId="24">
    <w:nsid w:val="41A9432C"/>
    <w:multiLevelType w:val="multilevel"/>
    <w:tmpl w:val="41A9432C"/>
    <w:lvl w:ilvl="0" w:tentative="0">
      <w:start w:val="1"/>
      <w:numFmt w:val="decimal"/>
      <w:lvlText w:val="%1"/>
      <w:lvlJc w:val="left"/>
      <w:pPr>
        <w:tabs>
          <w:tab w:val="left" w:pos="425"/>
        </w:tabs>
        <w:ind w:left="425" w:hanging="425"/>
      </w:pPr>
      <w:rPr>
        <w:color w:val="auto"/>
      </w:rPr>
    </w:lvl>
    <w:lvl w:ilvl="1" w:tentative="0">
      <w:start w:val="1"/>
      <w:numFmt w:val="decimal"/>
      <w:lvlText w:val="%1.%2"/>
      <w:lvlJc w:val="left"/>
      <w:pPr>
        <w:tabs>
          <w:tab w:val="left" w:pos="567"/>
        </w:tabs>
        <w:ind w:left="567" w:hanging="567"/>
      </w:pPr>
    </w:lvl>
    <w:lvl w:ilvl="2" w:tentative="0">
      <w:start w:val="1"/>
      <w:numFmt w:val="decimal"/>
      <w:pStyle w:val="430"/>
      <w:lvlText w:val="%1.%2.%3"/>
      <w:lvlJc w:val="left"/>
      <w:pPr>
        <w:tabs>
          <w:tab w:val="left" w:pos="1418"/>
        </w:tabs>
        <w:ind w:left="1418" w:hanging="567"/>
      </w:pPr>
      <w:rPr>
        <w:color w:val="auto"/>
      </w:rPr>
    </w:lvl>
    <w:lvl w:ilvl="3" w:tentative="0">
      <w:start w:val="1"/>
      <w:numFmt w:val="decimal"/>
      <w:lvlText w:val="%1.%2.%3.%4"/>
      <w:lvlJc w:val="left"/>
      <w:pPr>
        <w:tabs>
          <w:tab w:val="left" w:pos="1984"/>
        </w:tabs>
        <w:ind w:left="1984" w:hanging="708"/>
      </w:pPr>
      <w:rPr>
        <w:b w:val="0"/>
      </w:r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5">
    <w:nsid w:val="43C109B0"/>
    <w:multiLevelType w:val="multilevel"/>
    <w:tmpl w:val="43C109B0"/>
    <w:lvl w:ilvl="0" w:tentative="0">
      <w:start w:val="1"/>
      <w:numFmt w:val="decimal"/>
      <w:lvlText w:val="%1"/>
      <w:lvlJc w:val="left"/>
      <w:pPr>
        <w:tabs>
          <w:tab w:val="left" w:pos="432"/>
        </w:tabs>
        <w:ind w:left="432" w:hanging="432"/>
      </w:pPr>
      <w:rPr>
        <w:rFonts w:hint="eastAsia"/>
      </w:rPr>
    </w:lvl>
    <w:lvl w:ilvl="1" w:tentative="0">
      <w:start w:val="1"/>
      <w:numFmt w:val="decimal"/>
      <w:pStyle w:val="538"/>
      <w:lvlText w:val="%1.%2"/>
      <w:lvlJc w:val="left"/>
      <w:pPr>
        <w:tabs>
          <w:tab w:val="left" w:pos="576"/>
        </w:tabs>
        <w:ind w:left="576" w:hanging="576"/>
      </w:pPr>
      <w:rPr>
        <w:rFonts w:hint="eastAsia"/>
      </w:rPr>
    </w:lvl>
    <w:lvl w:ilvl="2" w:tentative="0">
      <w:start w:val="1"/>
      <w:numFmt w:val="decimal"/>
      <w:pStyle w:val="768"/>
      <w:lvlText w:val="%1.%2.%3"/>
      <w:lvlJc w:val="left"/>
      <w:pPr>
        <w:tabs>
          <w:tab w:val="left" w:pos="720"/>
        </w:tabs>
        <w:ind w:left="720" w:hanging="720"/>
      </w:pPr>
      <w:rPr>
        <w:rFonts w:hint="eastAsia"/>
      </w:rPr>
    </w:lvl>
    <w:lvl w:ilvl="3" w:tentative="0">
      <w:start w:val="1"/>
      <w:numFmt w:val="decimal"/>
      <w:pStyle w:val="753"/>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6">
    <w:nsid w:val="4CEC45CD"/>
    <w:multiLevelType w:val="multilevel"/>
    <w:tmpl w:val="4CEC45CD"/>
    <w:lvl w:ilvl="0" w:tentative="0">
      <w:start w:val="1"/>
      <w:numFmt w:val="decimal"/>
      <w:lvlText w:val="%1"/>
      <w:lvlJc w:val="left"/>
      <w:pPr>
        <w:tabs>
          <w:tab w:val="left" w:pos="0"/>
        </w:tabs>
        <w:ind w:left="0" w:firstLine="0"/>
      </w:pPr>
      <w:rPr>
        <w:rFonts w:hint="eastAsia"/>
      </w:rPr>
    </w:lvl>
    <w:lvl w:ilvl="1" w:tentative="0">
      <w:start w:val="1"/>
      <w:numFmt w:val="decimal"/>
      <w:lvlText w:val="%1.%2"/>
      <w:lvlJc w:val="left"/>
      <w:pPr>
        <w:tabs>
          <w:tab w:val="left" w:pos="709"/>
        </w:tabs>
        <w:ind w:left="709" w:firstLine="0"/>
      </w:pPr>
      <w:rPr>
        <w:rFonts w:hint="eastAsia"/>
      </w:rPr>
    </w:lvl>
    <w:lvl w:ilvl="2" w:tentative="0">
      <w:start w:val="1"/>
      <w:numFmt w:val="decimal"/>
      <w:pStyle w:val="489"/>
      <w:lvlText w:val="%1.%2.%3"/>
      <w:lvlJc w:val="left"/>
      <w:pPr>
        <w:tabs>
          <w:tab w:val="left" w:pos="8221"/>
        </w:tabs>
        <w:ind w:left="6520" w:firstLine="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lvlText w:val="%1.%2.%3.%4"/>
      <w:lvlJc w:val="left"/>
      <w:pPr>
        <w:tabs>
          <w:tab w:val="left" w:pos="1134"/>
        </w:tabs>
        <w:ind w:left="68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rPr>
    </w:lvl>
    <w:lvl w:ilvl="4" w:tentative="0">
      <w:start w:val="1"/>
      <w:numFmt w:val="decimal"/>
      <w:pStyle w:val="485"/>
      <w:lvlText w:val="%1.%2.%3.%4.%5"/>
      <w:lvlJc w:val="left"/>
      <w:pPr>
        <w:tabs>
          <w:tab w:val="left" w:pos="1008"/>
        </w:tabs>
        <w:ind w:left="1008" w:hanging="1008"/>
      </w:pPr>
      <w:rPr>
        <w:rFonts w:hint="eastAsia"/>
      </w:rPr>
    </w:lvl>
    <w:lvl w:ilvl="5" w:tentative="0">
      <w:start w:val="1"/>
      <w:numFmt w:val="decimal"/>
      <w:pStyle w:val="10"/>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7">
    <w:nsid w:val="5F5A5AF4"/>
    <w:multiLevelType w:val="singleLevel"/>
    <w:tmpl w:val="5F5A5AF4"/>
    <w:lvl w:ilvl="0" w:tentative="0">
      <w:start w:val="1"/>
      <w:numFmt w:val="decimal"/>
      <w:suff w:val="nothing"/>
      <w:lvlText w:val="（%1）"/>
      <w:lvlJc w:val="left"/>
    </w:lvl>
  </w:abstractNum>
  <w:abstractNum w:abstractNumId="28">
    <w:nsid w:val="62B517EA"/>
    <w:multiLevelType w:val="multilevel"/>
    <w:tmpl w:val="62B517EA"/>
    <w:lvl w:ilvl="0" w:tentative="0">
      <w:start w:val="1"/>
      <w:numFmt w:val="decimal"/>
      <w:lvlText w:val="%1）"/>
      <w:lvlJc w:val="left"/>
      <w:pPr>
        <w:ind w:left="1572" w:hanging="1005"/>
      </w:pPr>
      <w:rPr>
        <w:rFonts w:hint="default"/>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pStyle w:val="785"/>
      <w:lvlText w:val="%5)"/>
      <w:lvlJc w:val="left"/>
      <w:pPr>
        <w:ind w:left="2667" w:hanging="420"/>
      </w:pPr>
    </w:lvl>
    <w:lvl w:ilvl="5" w:tentative="0">
      <w:start w:val="1"/>
      <w:numFmt w:val="lowerRoman"/>
      <w:pStyle w:val="698"/>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29">
    <w:nsid w:val="66B88F30"/>
    <w:multiLevelType w:val="singleLevel"/>
    <w:tmpl w:val="66B88F30"/>
    <w:lvl w:ilvl="0" w:tentative="0">
      <w:start w:val="1"/>
      <w:numFmt w:val="decimal"/>
      <w:suff w:val="nothing"/>
      <w:lvlText w:val="%1）"/>
      <w:lvlJc w:val="left"/>
    </w:lvl>
  </w:abstractNum>
  <w:abstractNum w:abstractNumId="30">
    <w:nsid w:val="7AE0BA82"/>
    <w:multiLevelType w:val="singleLevel"/>
    <w:tmpl w:val="7AE0BA82"/>
    <w:lvl w:ilvl="0" w:tentative="0">
      <w:start w:val="1"/>
      <w:numFmt w:val="decimal"/>
      <w:suff w:val="nothing"/>
      <w:lvlText w:val="（%1）"/>
      <w:lvlJc w:val="left"/>
    </w:lvl>
  </w:abstractNum>
  <w:num w:numId="1">
    <w:abstractNumId w:val="19"/>
  </w:num>
  <w:num w:numId="2">
    <w:abstractNumId w:val="26"/>
  </w:num>
  <w:num w:numId="3">
    <w:abstractNumId w:val="4"/>
  </w:num>
  <w:num w:numId="4">
    <w:abstractNumId w:val="17"/>
  </w:num>
  <w:num w:numId="5">
    <w:abstractNumId w:val="24"/>
  </w:num>
  <w:num w:numId="6">
    <w:abstractNumId w:val="22"/>
  </w:num>
  <w:num w:numId="7">
    <w:abstractNumId w:val="23"/>
  </w:num>
  <w:num w:numId="8">
    <w:abstractNumId w:val="25"/>
  </w:num>
  <w:num w:numId="9">
    <w:abstractNumId w:val="20"/>
  </w:num>
  <w:num w:numId="10">
    <w:abstractNumId w:val="16"/>
  </w:num>
  <w:num w:numId="11">
    <w:abstractNumId w:val="28"/>
  </w:num>
  <w:num w:numId="12">
    <w:abstractNumId w:val="21"/>
  </w:num>
  <w:num w:numId="13">
    <w:abstractNumId w:val="5"/>
  </w:num>
  <w:num w:numId="14">
    <w:abstractNumId w:val="0"/>
  </w:num>
  <w:num w:numId="15">
    <w:abstractNumId w:val="27"/>
  </w:num>
  <w:num w:numId="16">
    <w:abstractNumId w:val="29"/>
  </w:num>
  <w:num w:numId="17">
    <w:abstractNumId w:val="3"/>
  </w:num>
  <w:num w:numId="18">
    <w:abstractNumId w:val="30"/>
  </w:num>
  <w:num w:numId="19">
    <w:abstractNumId w:val="2"/>
  </w:num>
  <w:num w:numId="20">
    <w:abstractNumId w:val="12"/>
  </w:num>
  <w:num w:numId="21">
    <w:abstractNumId w:val="15"/>
  </w:num>
  <w:num w:numId="22">
    <w:abstractNumId w:val="8"/>
  </w:num>
  <w:num w:numId="23">
    <w:abstractNumId w:val="13"/>
  </w:num>
  <w:num w:numId="24">
    <w:abstractNumId w:val="9"/>
  </w:num>
  <w:num w:numId="25">
    <w:abstractNumId w:val="14"/>
  </w:num>
  <w:num w:numId="26">
    <w:abstractNumId w:val="11"/>
  </w:num>
  <w:num w:numId="27">
    <w:abstractNumId w:val="7"/>
  </w:num>
  <w:num w:numId="28">
    <w:abstractNumId w:val="6"/>
  </w:num>
  <w:num w:numId="29">
    <w:abstractNumId w:val="10"/>
  </w:num>
  <w:num w:numId="30">
    <w:abstractNumId w:val="1"/>
  </w:num>
  <w:num w:numId="3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7E"/>
    <w:rsid w:val="00001025"/>
    <w:rsid w:val="00001765"/>
    <w:rsid w:val="000020D9"/>
    <w:rsid w:val="000026A7"/>
    <w:rsid w:val="00002816"/>
    <w:rsid w:val="00002C23"/>
    <w:rsid w:val="00002F10"/>
    <w:rsid w:val="000036FB"/>
    <w:rsid w:val="0000393B"/>
    <w:rsid w:val="000041A7"/>
    <w:rsid w:val="00004711"/>
    <w:rsid w:val="00004D6D"/>
    <w:rsid w:val="00004DE1"/>
    <w:rsid w:val="000050B3"/>
    <w:rsid w:val="000056DE"/>
    <w:rsid w:val="0000625E"/>
    <w:rsid w:val="0000652B"/>
    <w:rsid w:val="00007095"/>
    <w:rsid w:val="000076AB"/>
    <w:rsid w:val="000078D0"/>
    <w:rsid w:val="00007F10"/>
    <w:rsid w:val="000101CA"/>
    <w:rsid w:val="00010FA9"/>
    <w:rsid w:val="00011634"/>
    <w:rsid w:val="0001163E"/>
    <w:rsid w:val="00011AF2"/>
    <w:rsid w:val="00011BD1"/>
    <w:rsid w:val="0001200E"/>
    <w:rsid w:val="00012246"/>
    <w:rsid w:val="00012544"/>
    <w:rsid w:val="000134BB"/>
    <w:rsid w:val="00013992"/>
    <w:rsid w:val="00014AB5"/>
    <w:rsid w:val="0001556D"/>
    <w:rsid w:val="0001605E"/>
    <w:rsid w:val="00016377"/>
    <w:rsid w:val="00016D45"/>
    <w:rsid w:val="0001742C"/>
    <w:rsid w:val="0001783C"/>
    <w:rsid w:val="00017951"/>
    <w:rsid w:val="00020C01"/>
    <w:rsid w:val="0002155D"/>
    <w:rsid w:val="000216F6"/>
    <w:rsid w:val="00022600"/>
    <w:rsid w:val="000232D3"/>
    <w:rsid w:val="00023A2D"/>
    <w:rsid w:val="00023E0D"/>
    <w:rsid w:val="00024767"/>
    <w:rsid w:val="00024804"/>
    <w:rsid w:val="00024A0E"/>
    <w:rsid w:val="00024A1F"/>
    <w:rsid w:val="00025045"/>
    <w:rsid w:val="0002576A"/>
    <w:rsid w:val="000262CE"/>
    <w:rsid w:val="0002639D"/>
    <w:rsid w:val="00026431"/>
    <w:rsid w:val="00026DAF"/>
    <w:rsid w:val="000276C3"/>
    <w:rsid w:val="00027A18"/>
    <w:rsid w:val="00027ADC"/>
    <w:rsid w:val="0003002E"/>
    <w:rsid w:val="00030608"/>
    <w:rsid w:val="0003097A"/>
    <w:rsid w:val="00030C33"/>
    <w:rsid w:val="00031945"/>
    <w:rsid w:val="00031C83"/>
    <w:rsid w:val="000320B8"/>
    <w:rsid w:val="00032254"/>
    <w:rsid w:val="0003236B"/>
    <w:rsid w:val="00032832"/>
    <w:rsid w:val="00032CA1"/>
    <w:rsid w:val="00032EFB"/>
    <w:rsid w:val="0003354F"/>
    <w:rsid w:val="00033DCB"/>
    <w:rsid w:val="00035199"/>
    <w:rsid w:val="00036321"/>
    <w:rsid w:val="00036722"/>
    <w:rsid w:val="00037361"/>
    <w:rsid w:val="00037CA2"/>
    <w:rsid w:val="0004000D"/>
    <w:rsid w:val="00040DFA"/>
    <w:rsid w:val="0004135A"/>
    <w:rsid w:val="00041BBA"/>
    <w:rsid w:val="00041DAF"/>
    <w:rsid w:val="00041E66"/>
    <w:rsid w:val="000431E6"/>
    <w:rsid w:val="000448F3"/>
    <w:rsid w:val="00044C80"/>
    <w:rsid w:val="000451D4"/>
    <w:rsid w:val="00045397"/>
    <w:rsid w:val="000457FA"/>
    <w:rsid w:val="000467CE"/>
    <w:rsid w:val="00046F18"/>
    <w:rsid w:val="000511D5"/>
    <w:rsid w:val="00052B5A"/>
    <w:rsid w:val="000531FA"/>
    <w:rsid w:val="00053380"/>
    <w:rsid w:val="00053540"/>
    <w:rsid w:val="000537B6"/>
    <w:rsid w:val="000540D0"/>
    <w:rsid w:val="0005461D"/>
    <w:rsid w:val="00054C4E"/>
    <w:rsid w:val="00054CBD"/>
    <w:rsid w:val="00054DC7"/>
    <w:rsid w:val="00054F59"/>
    <w:rsid w:val="00055342"/>
    <w:rsid w:val="00055708"/>
    <w:rsid w:val="00055B80"/>
    <w:rsid w:val="0005610D"/>
    <w:rsid w:val="000564CA"/>
    <w:rsid w:val="000567FA"/>
    <w:rsid w:val="0005684A"/>
    <w:rsid w:val="00056C74"/>
    <w:rsid w:val="000571A2"/>
    <w:rsid w:val="000571D7"/>
    <w:rsid w:val="00057B4F"/>
    <w:rsid w:val="00057B61"/>
    <w:rsid w:val="00057E20"/>
    <w:rsid w:val="00057F13"/>
    <w:rsid w:val="00060115"/>
    <w:rsid w:val="00060766"/>
    <w:rsid w:val="00060927"/>
    <w:rsid w:val="00061162"/>
    <w:rsid w:val="000617E9"/>
    <w:rsid w:val="0006195F"/>
    <w:rsid w:val="00061BA6"/>
    <w:rsid w:val="00061F4B"/>
    <w:rsid w:val="000624EA"/>
    <w:rsid w:val="000627CB"/>
    <w:rsid w:val="00062E0E"/>
    <w:rsid w:val="00063173"/>
    <w:rsid w:val="00063C41"/>
    <w:rsid w:val="00063D5B"/>
    <w:rsid w:val="00063E3E"/>
    <w:rsid w:val="00064FCF"/>
    <w:rsid w:val="00065A09"/>
    <w:rsid w:val="00065A93"/>
    <w:rsid w:val="00065ECF"/>
    <w:rsid w:val="000660CD"/>
    <w:rsid w:val="000661DE"/>
    <w:rsid w:val="000662FB"/>
    <w:rsid w:val="00066AE0"/>
    <w:rsid w:val="00066D81"/>
    <w:rsid w:val="00067C5C"/>
    <w:rsid w:val="000702AE"/>
    <w:rsid w:val="00070649"/>
    <w:rsid w:val="0007133D"/>
    <w:rsid w:val="000722F0"/>
    <w:rsid w:val="0007285E"/>
    <w:rsid w:val="00072A6C"/>
    <w:rsid w:val="00072C63"/>
    <w:rsid w:val="000731D6"/>
    <w:rsid w:val="0007380A"/>
    <w:rsid w:val="0007383D"/>
    <w:rsid w:val="00074591"/>
    <w:rsid w:val="00074F77"/>
    <w:rsid w:val="00075C94"/>
    <w:rsid w:val="000761D8"/>
    <w:rsid w:val="000764A6"/>
    <w:rsid w:val="000764F9"/>
    <w:rsid w:val="000765CD"/>
    <w:rsid w:val="00076732"/>
    <w:rsid w:val="000800BF"/>
    <w:rsid w:val="00080C22"/>
    <w:rsid w:val="00080C7E"/>
    <w:rsid w:val="00081C7D"/>
    <w:rsid w:val="00081E6A"/>
    <w:rsid w:val="000820FC"/>
    <w:rsid w:val="00082524"/>
    <w:rsid w:val="0008284A"/>
    <w:rsid w:val="000829BE"/>
    <w:rsid w:val="000835C3"/>
    <w:rsid w:val="00084530"/>
    <w:rsid w:val="000846AD"/>
    <w:rsid w:val="000858A5"/>
    <w:rsid w:val="00085B76"/>
    <w:rsid w:val="00086460"/>
    <w:rsid w:val="000871E0"/>
    <w:rsid w:val="0008753B"/>
    <w:rsid w:val="00087B4D"/>
    <w:rsid w:val="00090126"/>
    <w:rsid w:val="00090155"/>
    <w:rsid w:val="00090330"/>
    <w:rsid w:val="000907ED"/>
    <w:rsid w:val="000921E2"/>
    <w:rsid w:val="00092E7F"/>
    <w:rsid w:val="0009313B"/>
    <w:rsid w:val="00093EF1"/>
    <w:rsid w:val="000943FC"/>
    <w:rsid w:val="0009462C"/>
    <w:rsid w:val="00094AB2"/>
    <w:rsid w:val="00094B6F"/>
    <w:rsid w:val="000952E4"/>
    <w:rsid w:val="000958F2"/>
    <w:rsid w:val="00095919"/>
    <w:rsid w:val="00097785"/>
    <w:rsid w:val="0009798D"/>
    <w:rsid w:val="00097F66"/>
    <w:rsid w:val="000A00C7"/>
    <w:rsid w:val="000A0342"/>
    <w:rsid w:val="000A0856"/>
    <w:rsid w:val="000A11B8"/>
    <w:rsid w:val="000A1362"/>
    <w:rsid w:val="000A1764"/>
    <w:rsid w:val="000A2088"/>
    <w:rsid w:val="000A26A6"/>
    <w:rsid w:val="000A26DE"/>
    <w:rsid w:val="000A2714"/>
    <w:rsid w:val="000A2887"/>
    <w:rsid w:val="000A2964"/>
    <w:rsid w:val="000A2987"/>
    <w:rsid w:val="000A3199"/>
    <w:rsid w:val="000A398D"/>
    <w:rsid w:val="000A42B2"/>
    <w:rsid w:val="000A4E1E"/>
    <w:rsid w:val="000A4F92"/>
    <w:rsid w:val="000A583D"/>
    <w:rsid w:val="000A59C0"/>
    <w:rsid w:val="000A6135"/>
    <w:rsid w:val="000A62AF"/>
    <w:rsid w:val="000A631C"/>
    <w:rsid w:val="000A67EB"/>
    <w:rsid w:val="000A6C66"/>
    <w:rsid w:val="000A72A7"/>
    <w:rsid w:val="000A7457"/>
    <w:rsid w:val="000A796F"/>
    <w:rsid w:val="000A7B06"/>
    <w:rsid w:val="000A7B7B"/>
    <w:rsid w:val="000A7DB0"/>
    <w:rsid w:val="000B0311"/>
    <w:rsid w:val="000B1125"/>
    <w:rsid w:val="000B113A"/>
    <w:rsid w:val="000B1C81"/>
    <w:rsid w:val="000B3966"/>
    <w:rsid w:val="000B3B87"/>
    <w:rsid w:val="000B418A"/>
    <w:rsid w:val="000B434B"/>
    <w:rsid w:val="000B440D"/>
    <w:rsid w:val="000B45C8"/>
    <w:rsid w:val="000B46BD"/>
    <w:rsid w:val="000B4D73"/>
    <w:rsid w:val="000B5302"/>
    <w:rsid w:val="000B5DC4"/>
    <w:rsid w:val="000B5FD5"/>
    <w:rsid w:val="000B60EF"/>
    <w:rsid w:val="000B6138"/>
    <w:rsid w:val="000B64FD"/>
    <w:rsid w:val="000B70E8"/>
    <w:rsid w:val="000B75A8"/>
    <w:rsid w:val="000C0A96"/>
    <w:rsid w:val="000C0CE4"/>
    <w:rsid w:val="000C14CC"/>
    <w:rsid w:val="000C1555"/>
    <w:rsid w:val="000C1D0F"/>
    <w:rsid w:val="000C1F0C"/>
    <w:rsid w:val="000C2610"/>
    <w:rsid w:val="000C2882"/>
    <w:rsid w:val="000C2F39"/>
    <w:rsid w:val="000C3D7B"/>
    <w:rsid w:val="000C45DA"/>
    <w:rsid w:val="000C4778"/>
    <w:rsid w:val="000C5045"/>
    <w:rsid w:val="000C51AB"/>
    <w:rsid w:val="000C5E4B"/>
    <w:rsid w:val="000C6255"/>
    <w:rsid w:val="000C6356"/>
    <w:rsid w:val="000C6728"/>
    <w:rsid w:val="000C6DB4"/>
    <w:rsid w:val="000C7DEE"/>
    <w:rsid w:val="000D18A2"/>
    <w:rsid w:val="000D1A45"/>
    <w:rsid w:val="000D259C"/>
    <w:rsid w:val="000D2693"/>
    <w:rsid w:val="000D309D"/>
    <w:rsid w:val="000D335C"/>
    <w:rsid w:val="000D3DDD"/>
    <w:rsid w:val="000D4C31"/>
    <w:rsid w:val="000D4C5E"/>
    <w:rsid w:val="000D5677"/>
    <w:rsid w:val="000D57CB"/>
    <w:rsid w:val="000D6114"/>
    <w:rsid w:val="000D7287"/>
    <w:rsid w:val="000D7786"/>
    <w:rsid w:val="000D7AA3"/>
    <w:rsid w:val="000D7FA8"/>
    <w:rsid w:val="000E00A6"/>
    <w:rsid w:val="000E0273"/>
    <w:rsid w:val="000E032D"/>
    <w:rsid w:val="000E03E2"/>
    <w:rsid w:val="000E0C5E"/>
    <w:rsid w:val="000E1176"/>
    <w:rsid w:val="000E11B2"/>
    <w:rsid w:val="000E1C30"/>
    <w:rsid w:val="000E3840"/>
    <w:rsid w:val="000E3D68"/>
    <w:rsid w:val="000E4015"/>
    <w:rsid w:val="000E447B"/>
    <w:rsid w:val="000E48E6"/>
    <w:rsid w:val="000E5449"/>
    <w:rsid w:val="000E55D4"/>
    <w:rsid w:val="000E5A9F"/>
    <w:rsid w:val="000E5BE9"/>
    <w:rsid w:val="000E67C7"/>
    <w:rsid w:val="000E776F"/>
    <w:rsid w:val="000F0047"/>
    <w:rsid w:val="000F136E"/>
    <w:rsid w:val="000F1EC9"/>
    <w:rsid w:val="000F2060"/>
    <w:rsid w:val="000F30FF"/>
    <w:rsid w:val="000F3C80"/>
    <w:rsid w:val="000F3CAB"/>
    <w:rsid w:val="000F4C32"/>
    <w:rsid w:val="000F4D38"/>
    <w:rsid w:val="000F5643"/>
    <w:rsid w:val="000F5E60"/>
    <w:rsid w:val="000F63CF"/>
    <w:rsid w:val="000F6809"/>
    <w:rsid w:val="000F6A62"/>
    <w:rsid w:val="000F6C3B"/>
    <w:rsid w:val="000F6E5C"/>
    <w:rsid w:val="000F76D1"/>
    <w:rsid w:val="000F7B83"/>
    <w:rsid w:val="000F7E37"/>
    <w:rsid w:val="001005E0"/>
    <w:rsid w:val="00100D2A"/>
    <w:rsid w:val="00101C89"/>
    <w:rsid w:val="0010265F"/>
    <w:rsid w:val="00102A6A"/>
    <w:rsid w:val="00102AD1"/>
    <w:rsid w:val="00102AE1"/>
    <w:rsid w:val="00103D48"/>
    <w:rsid w:val="00103DDB"/>
    <w:rsid w:val="001040AA"/>
    <w:rsid w:val="0010451C"/>
    <w:rsid w:val="00104621"/>
    <w:rsid w:val="001048E9"/>
    <w:rsid w:val="00104B7C"/>
    <w:rsid w:val="00105234"/>
    <w:rsid w:val="00105F46"/>
    <w:rsid w:val="001068C2"/>
    <w:rsid w:val="001068F6"/>
    <w:rsid w:val="00106BC0"/>
    <w:rsid w:val="001070C7"/>
    <w:rsid w:val="001075CA"/>
    <w:rsid w:val="00107657"/>
    <w:rsid w:val="001078FC"/>
    <w:rsid w:val="00107ABE"/>
    <w:rsid w:val="00110113"/>
    <w:rsid w:val="00110885"/>
    <w:rsid w:val="001111AC"/>
    <w:rsid w:val="00111791"/>
    <w:rsid w:val="00112711"/>
    <w:rsid w:val="0011289D"/>
    <w:rsid w:val="00112D7A"/>
    <w:rsid w:val="00113200"/>
    <w:rsid w:val="0011334A"/>
    <w:rsid w:val="00113420"/>
    <w:rsid w:val="00113469"/>
    <w:rsid w:val="001139FF"/>
    <w:rsid w:val="00113D3D"/>
    <w:rsid w:val="0011417C"/>
    <w:rsid w:val="0011490E"/>
    <w:rsid w:val="00114B91"/>
    <w:rsid w:val="00114ED0"/>
    <w:rsid w:val="001154AC"/>
    <w:rsid w:val="0011574D"/>
    <w:rsid w:val="00115795"/>
    <w:rsid w:val="00115A73"/>
    <w:rsid w:val="00115C23"/>
    <w:rsid w:val="00116267"/>
    <w:rsid w:val="0011662A"/>
    <w:rsid w:val="00116672"/>
    <w:rsid w:val="0011672A"/>
    <w:rsid w:val="001168EC"/>
    <w:rsid w:val="00116BF5"/>
    <w:rsid w:val="00117181"/>
    <w:rsid w:val="001174DB"/>
    <w:rsid w:val="00117DC8"/>
    <w:rsid w:val="00120111"/>
    <w:rsid w:val="0012053F"/>
    <w:rsid w:val="001211BA"/>
    <w:rsid w:val="001219E1"/>
    <w:rsid w:val="00121A4F"/>
    <w:rsid w:val="001220FA"/>
    <w:rsid w:val="00122450"/>
    <w:rsid w:val="00122523"/>
    <w:rsid w:val="0012364D"/>
    <w:rsid w:val="0012505D"/>
    <w:rsid w:val="00125987"/>
    <w:rsid w:val="00125B9C"/>
    <w:rsid w:val="00125BEE"/>
    <w:rsid w:val="00125DAC"/>
    <w:rsid w:val="0012625B"/>
    <w:rsid w:val="00126735"/>
    <w:rsid w:val="00126A3F"/>
    <w:rsid w:val="00126CBA"/>
    <w:rsid w:val="00126F28"/>
    <w:rsid w:val="00127182"/>
    <w:rsid w:val="0012724D"/>
    <w:rsid w:val="00127B5C"/>
    <w:rsid w:val="00130457"/>
    <w:rsid w:val="001304AC"/>
    <w:rsid w:val="00130871"/>
    <w:rsid w:val="0013090F"/>
    <w:rsid w:val="00130CD1"/>
    <w:rsid w:val="001314DF"/>
    <w:rsid w:val="00132BD5"/>
    <w:rsid w:val="00132D7F"/>
    <w:rsid w:val="00133116"/>
    <w:rsid w:val="00133498"/>
    <w:rsid w:val="00133741"/>
    <w:rsid w:val="00133754"/>
    <w:rsid w:val="0013394B"/>
    <w:rsid w:val="001342E7"/>
    <w:rsid w:val="0013448C"/>
    <w:rsid w:val="00134532"/>
    <w:rsid w:val="00134641"/>
    <w:rsid w:val="00134A2A"/>
    <w:rsid w:val="00134BB2"/>
    <w:rsid w:val="00134F07"/>
    <w:rsid w:val="001366A1"/>
    <w:rsid w:val="001370CF"/>
    <w:rsid w:val="00137538"/>
    <w:rsid w:val="0013753E"/>
    <w:rsid w:val="00137D0A"/>
    <w:rsid w:val="00137DD5"/>
    <w:rsid w:val="00140203"/>
    <w:rsid w:val="00140582"/>
    <w:rsid w:val="001414D8"/>
    <w:rsid w:val="00141609"/>
    <w:rsid w:val="00141FDF"/>
    <w:rsid w:val="001427BC"/>
    <w:rsid w:val="00142A14"/>
    <w:rsid w:val="00143970"/>
    <w:rsid w:val="001441AC"/>
    <w:rsid w:val="001442ED"/>
    <w:rsid w:val="00144708"/>
    <w:rsid w:val="001448AC"/>
    <w:rsid w:val="00146CA4"/>
    <w:rsid w:val="00146DB0"/>
    <w:rsid w:val="00146F01"/>
    <w:rsid w:val="0015027A"/>
    <w:rsid w:val="001504D7"/>
    <w:rsid w:val="001505F9"/>
    <w:rsid w:val="0015096E"/>
    <w:rsid w:val="00150F4D"/>
    <w:rsid w:val="00151022"/>
    <w:rsid w:val="00151290"/>
    <w:rsid w:val="001514BB"/>
    <w:rsid w:val="00151FEA"/>
    <w:rsid w:val="0015213C"/>
    <w:rsid w:val="001526B5"/>
    <w:rsid w:val="001528F4"/>
    <w:rsid w:val="00152D38"/>
    <w:rsid w:val="001530EC"/>
    <w:rsid w:val="00153B67"/>
    <w:rsid w:val="0015437F"/>
    <w:rsid w:val="00154D91"/>
    <w:rsid w:val="00155216"/>
    <w:rsid w:val="00155639"/>
    <w:rsid w:val="001559CB"/>
    <w:rsid w:val="001561E2"/>
    <w:rsid w:val="00157931"/>
    <w:rsid w:val="00161C2B"/>
    <w:rsid w:val="00161E75"/>
    <w:rsid w:val="00161FE9"/>
    <w:rsid w:val="00162572"/>
    <w:rsid w:val="00162692"/>
    <w:rsid w:val="00162B12"/>
    <w:rsid w:val="00162B56"/>
    <w:rsid w:val="001637A7"/>
    <w:rsid w:val="001647E9"/>
    <w:rsid w:val="00164BD4"/>
    <w:rsid w:val="001653FD"/>
    <w:rsid w:val="00165AE6"/>
    <w:rsid w:val="00167325"/>
    <w:rsid w:val="00167539"/>
    <w:rsid w:val="00167AA8"/>
    <w:rsid w:val="00167EAF"/>
    <w:rsid w:val="00170274"/>
    <w:rsid w:val="001706AB"/>
    <w:rsid w:val="00170FD3"/>
    <w:rsid w:val="00172B79"/>
    <w:rsid w:val="00172D44"/>
    <w:rsid w:val="00172DAF"/>
    <w:rsid w:val="001736C9"/>
    <w:rsid w:val="00173C7B"/>
    <w:rsid w:val="001746D4"/>
    <w:rsid w:val="00174E1A"/>
    <w:rsid w:val="00175561"/>
    <w:rsid w:val="0017593C"/>
    <w:rsid w:val="00175DF7"/>
    <w:rsid w:val="0017689E"/>
    <w:rsid w:val="00177EE0"/>
    <w:rsid w:val="00180512"/>
    <w:rsid w:val="00180767"/>
    <w:rsid w:val="0018107C"/>
    <w:rsid w:val="00181DCD"/>
    <w:rsid w:val="00182528"/>
    <w:rsid w:val="00182BA1"/>
    <w:rsid w:val="00182C15"/>
    <w:rsid w:val="0018377C"/>
    <w:rsid w:val="001838AC"/>
    <w:rsid w:val="00183A9C"/>
    <w:rsid w:val="00184584"/>
    <w:rsid w:val="00184B52"/>
    <w:rsid w:val="00184BF0"/>
    <w:rsid w:val="001856A7"/>
    <w:rsid w:val="00187290"/>
    <w:rsid w:val="001877FF"/>
    <w:rsid w:val="00187F4F"/>
    <w:rsid w:val="00190888"/>
    <w:rsid w:val="001910BE"/>
    <w:rsid w:val="00191211"/>
    <w:rsid w:val="001913A2"/>
    <w:rsid w:val="001917BF"/>
    <w:rsid w:val="00191B48"/>
    <w:rsid w:val="00192398"/>
    <w:rsid w:val="00192453"/>
    <w:rsid w:val="001926EF"/>
    <w:rsid w:val="00192B41"/>
    <w:rsid w:val="00193045"/>
    <w:rsid w:val="00193098"/>
    <w:rsid w:val="00194686"/>
    <w:rsid w:val="0019496E"/>
    <w:rsid w:val="00195305"/>
    <w:rsid w:val="001953E4"/>
    <w:rsid w:val="00195DF6"/>
    <w:rsid w:val="00197D83"/>
    <w:rsid w:val="001A00A7"/>
    <w:rsid w:val="001A0317"/>
    <w:rsid w:val="001A034D"/>
    <w:rsid w:val="001A0554"/>
    <w:rsid w:val="001A1629"/>
    <w:rsid w:val="001A1770"/>
    <w:rsid w:val="001A22A9"/>
    <w:rsid w:val="001A2A8B"/>
    <w:rsid w:val="001A2D6E"/>
    <w:rsid w:val="001A3257"/>
    <w:rsid w:val="001A3AE6"/>
    <w:rsid w:val="001A3E6F"/>
    <w:rsid w:val="001A3F14"/>
    <w:rsid w:val="001A3F76"/>
    <w:rsid w:val="001A4549"/>
    <w:rsid w:val="001A4A3E"/>
    <w:rsid w:val="001A5A3F"/>
    <w:rsid w:val="001A60C3"/>
    <w:rsid w:val="001A643A"/>
    <w:rsid w:val="001A676B"/>
    <w:rsid w:val="001A6986"/>
    <w:rsid w:val="001A6A5B"/>
    <w:rsid w:val="001A6E52"/>
    <w:rsid w:val="001A73E2"/>
    <w:rsid w:val="001B01F1"/>
    <w:rsid w:val="001B14D8"/>
    <w:rsid w:val="001B1F73"/>
    <w:rsid w:val="001B228E"/>
    <w:rsid w:val="001B2AC0"/>
    <w:rsid w:val="001B2FA2"/>
    <w:rsid w:val="001B3272"/>
    <w:rsid w:val="001B3C9A"/>
    <w:rsid w:val="001B4158"/>
    <w:rsid w:val="001B5385"/>
    <w:rsid w:val="001B5DA0"/>
    <w:rsid w:val="001B5E72"/>
    <w:rsid w:val="001B60B4"/>
    <w:rsid w:val="001B6E8D"/>
    <w:rsid w:val="001B7E7C"/>
    <w:rsid w:val="001C0345"/>
    <w:rsid w:val="001C070F"/>
    <w:rsid w:val="001C0C67"/>
    <w:rsid w:val="001C0C89"/>
    <w:rsid w:val="001C12FF"/>
    <w:rsid w:val="001C1AD9"/>
    <w:rsid w:val="001C1AF9"/>
    <w:rsid w:val="001C1D24"/>
    <w:rsid w:val="001C266D"/>
    <w:rsid w:val="001C362C"/>
    <w:rsid w:val="001C41CE"/>
    <w:rsid w:val="001C4C5E"/>
    <w:rsid w:val="001C54A5"/>
    <w:rsid w:val="001C58E2"/>
    <w:rsid w:val="001C635C"/>
    <w:rsid w:val="001C6947"/>
    <w:rsid w:val="001D00D8"/>
    <w:rsid w:val="001D076F"/>
    <w:rsid w:val="001D0D11"/>
    <w:rsid w:val="001D0F9F"/>
    <w:rsid w:val="001D1030"/>
    <w:rsid w:val="001D1518"/>
    <w:rsid w:val="001D1B5D"/>
    <w:rsid w:val="001D1C95"/>
    <w:rsid w:val="001D2109"/>
    <w:rsid w:val="001D2B00"/>
    <w:rsid w:val="001D2D5A"/>
    <w:rsid w:val="001D3026"/>
    <w:rsid w:val="001D3558"/>
    <w:rsid w:val="001D39CE"/>
    <w:rsid w:val="001D39DD"/>
    <w:rsid w:val="001D45A5"/>
    <w:rsid w:val="001D4807"/>
    <w:rsid w:val="001D4859"/>
    <w:rsid w:val="001D487B"/>
    <w:rsid w:val="001D4AB9"/>
    <w:rsid w:val="001D568C"/>
    <w:rsid w:val="001D5E51"/>
    <w:rsid w:val="001D7FE1"/>
    <w:rsid w:val="001E0F38"/>
    <w:rsid w:val="001E0FB9"/>
    <w:rsid w:val="001E12F0"/>
    <w:rsid w:val="001E173E"/>
    <w:rsid w:val="001E1B89"/>
    <w:rsid w:val="001E1EBC"/>
    <w:rsid w:val="001E2823"/>
    <w:rsid w:val="001E2EEB"/>
    <w:rsid w:val="001E34E4"/>
    <w:rsid w:val="001E35D1"/>
    <w:rsid w:val="001E3CCD"/>
    <w:rsid w:val="001E4132"/>
    <w:rsid w:val="001E43C3"/>
    <w:rsid w:val="001E4A9D"/>
    <w:rsid w:val="001E4B1F"/>
    <w:rsid w:val="001E4E22"/>
    <w:rsid w:val="001E5077"/>
    <w:rsid w:val="001E5DE2"/>
    <w:rsid w:val="001E6266"/>
    <w:rsid w:val="001E6425"/>
    <w:rsid w:val="001E65E8"/>
    <w:rsid w:val="001E6AEF"/>
    <w:rsid w:val="001E6BC3"/>
    <w:rsid w:val="001E6D14"/>
    <w:rsid w:val="001E7220"/>
    <w:rsid w:val="001E7459"/>
    <w:rsid w:val="001E7A37"/>
    <w:rsid w:val="001E7FEF"/>
    <w:rsid w:val="001F1933"/>
    <w:rsid w:val="001F1D35"/>
    <w:rsid w:val="001F1FD6"/>
    <w:rsid w:val="001F2798"/>
    <w:rsid w:val="001F43CB"/>
    <w:rsid w:val="001F4612"/>
    <w:rsid w:val="001F4EF0"/>
    <w:rsid w:val="001F5076"/>
    <w:rsid w:val="001F5DEB"/>
    <w:rsid w:val="001F65F9"/>
    <w:rsid w:val="001F705B"/>
    <w:rsid w:val="001F7A45"/>
    <w:rsid w:val="001F7B68"/>
    <w:rsid w:val="0020004B"/>
    <w:rsid w:val="0020038E"/>
    <w:rsid w:val="00201994"/>
    <w:rsid w:val="00201EE2"/>
    <w:rsid w:val="002032EF"/>
    <w:rsid w:val="00203D59"/>
    <w:rsid w:val="00204D31"/>
    <w:rsid w:val="00204D45"/>
    <w:rsid w:val="00205146"/>
    <w:rsid w:val="00205B3A"/>
    <w:rsid w:val="002068D1"/>
    <w:rsid w:val="00207044"/>
    <w:rsid w:val="00207403"/>
    <w:rsid w:val="0020782B"/>
    <w:rsid w:val="00207845"/>
    <w:rsid w:val="00207F73"/>
    <w:rsid w:val="002101B8"/>
    <w:rsid w:val="00210C1A"/>
    <w:rsid w:val="00211A93"/>
    <w:rsid w:val="00211C43"/>
    <w:rsid w:val="00211F50"/>
    <w:rsid w:val="00212067"/>
    <w:rsid w:val="00212B9E"/>
    <w:rsid w:val="00212C23"/>
    <w:rsid w:val="00212E6B"/>
    <w:rsid w:val="0021365A"/>
    <w:rsid w:val="00213DCB"/>
    <w:rsid w:val="00213F34"/>
    <w:rsid w:val="00213F53"/>
    <w:rsid w:val="00214029"/>
    <w:rsid w:val="00214571"/>
    <w:rsid w:val="002150E9"/>
    <w:rsid w:val="00215298"/>
    <w:rsid w:val="00215347"/>
    <w:rsid w:val="00215907"/>
    <w:rsid w:val="00215D50"/>
    <w:rsid w:val="00215F2A"/>
    <w:rsid w:val="0021660B"/>
    <w:rsid w:val="002167E7"/>
    <w:rsid w:val="00216A04"/>
    <w:rsid w:val="0021700A"/>
    <w:rsid w:val="00217F41"/>
    <w:rsid w:val="00220795"/>
    <w:rsid w:val="002209DF"/>
    <w:rsid w:val="00220B8A"/>
    <w:rsid w:val="00221048"/>
    <w:rsid w:val="0022108A"/>
    <w:rsid w:val="00221EAC"/>
    <w:rsid w:val="00222F02"/>
    <w:rsid w:val="0022346F"/>
    <w:rsid w:val="002237F7"/>
    <w:rsid w:val="00223D00"/>
    <w:rsid w:val="00224289"/>
    <w:rsid w:val="0022441E"/>
    <w:rsid w:val="00224601"/>
    <w:rsid w:val="00224A12"/>
    <w:rsid w:val="00225683"/>
    <w:rsid w:val="0022576E"/>
    <w:rsid w:val="0022599B"/>
    <w:rsid w:val="00225A95"/>
    <w:rsid w:val="00226538"/>
    <w:rsid w:val="002267FD"/>
    <w:rsid w:val="00227300"/>
    <w:rsid w:val="00231306"/>
    <w:rsid w:val="00231346"/>
    <w:rsid w:val="0023159C"/>
    <w:rsid w:val="002316AD"/>
    <w:rsid w:val="00231BA9"/>
    <w:rsid w:val="00231F2C"/>
    <w:rsid w:val="0023213B"/>
    <w:rsid w:val="002325DA"/>
    <w:rsid w:val="00232904"/>
    <w:rsid w:val="00232944"/>
    <w:rsid w:val="00233123"/>
    <w:rsid w:val="002340A8"/>
    <w:rsid w:val="002346C4"/>
    <w:rsid w:val="002348FC"/>
    <w:rsid w:val="0023492B"/>
    <w:rsid w:val="00234980"/>
    <w:rsid w:val="00234A35"/>
    <w:rsid w:val="002351C5"/>
    <w:rsid w:val="00235527"/>
    <w:rsid w:val="00235B58"/>
    <w:rsid w:val="00235CB4"/>
    <w:rsid w:val="00236035"/>
    <w:rsid w:val="0023617A"/>
    <w:rsid w:val="0023682C"/>
    <w:rsid w:val="00236A28"/>
    <w:rsid w:val="00236A53"/>
    <w:rsid w:val="00240290"/>
    <w:rsid w:val="00240766"/>
    <w:rsid w:val="002407FD"/>
    <w:rsid w:val="00240A16"/>
    <w:rsid w:val="00241582"/>
    <w:rsid w:val="0024176B"/>
    <w:rsid w:val="00241911"/>
    <w:rsid w:val="00241FA4"/>
    <w:rsid w:val="00242226"/>
    <w:rsid w:val="002433DC"/>
    <w:rsid w:val="002442E5"/>
    <w:rsid w:val="002453FE"/>
    <w:rsid w:val="002464D5"/>
    <w:rsid w:val="002467C4"/>
    <w:rsid w:val="00247486"/>
    <w:rsid w:val="00247A21"/>
    <w:rsid w:val="0025016E"/>
    <w:rsid w:val="00250872"/>
    <w:rsid w:val="00251063"/>
    <w:rsid w:val="002519A6"/>
    <w:rsid w:val="002521C8"/>
    <w:rsid w:val="00252442"/>
    <w:rsid w:val="00253004"/>
    <w:rsid w:val="00253094"/>
    <w:rsid w:val="0025329C"/>
    <w:rsid w:val="0025340C"/>
    <w:rsid w:val="00253D01"/>
    <w:rsid w:val="00253FDF"/>
    <w:rsid w:val="00254052"/>
    <w:rsid w:val="002540CC"/>
    <w:rsid w:val="00254830"/>
    <w:rsid w:val="002548D7"/>
    <w:rsid w:val="002549B8"/>
    <w:rsid w:val="00254CAE"/>
    <w:rsid w:val="00254F4E"/>
    <w:rsid w:val="00255522"/>
    <w:rsid w:val="002560CD"/>
    <w:rsid w:val="002561BA"/>
    <w:rsid w:val="0025659B"/>
    <w:rsid w:val="00256763"/>
    <w:rsid w:val="00256CE4"/>
    <w:rsid w:val="00257647"/>
    <w:rsid w:val="002606C5"/>
    <w:rsid w:val="00260AD7"/>
    <w:rsid w:val="002619A6"/>
    <w:rsid w:val="00262007"/>
    <w:rsid w:val="002629A3"/>
    <w:rsid w:val="00262D9F"/>
    <w:rsid w:val="002632F5"/>
    <w:rsid w:val="002634BE"/>
    <w:rsid w:val="00263D2D"/>
    <w:rsid w:val="00264003"/>
    <w:rsid w:val="00264319"/>
    <w:rsid w:val="00264CE7"/>
    <w:rsid w:val="00265501"/>
    <w:rsid w:val="0026591D"/>
    <w:rsid w:val="00265A21"/>
    <w:rsid w:val="00265A9D"/>
    <w:rsid w:val="0026633B"/>
    <w:rsid w:val="002667C1"/>
    <w:rsid w:val="00266CDE"/>
    <w:rsid w:val="00267D27"/>
    <w:rsid w:val="00267F3F"/>
    <w:rsid w:val="00270206"/>
    <w:rsid w:val="0027090D"/>
    <w:rsid w:val="00270D95"/>
    <w:rsid w:val="0027133D"/>
    <w:rsid w:val="002714AA"/>
    <w:rsid w:val="00271FA8"/>
    <w:rsid w:val="0027206A"/>
    <w:rsid w:val="00272478"/>
    <w:rsid w:val="002724DE"/>
    <w:rsid w:val="002730DC"/>
    <w:rsid w:val="00274C04"/>
    <w:rsid w:val="00274D4B"/>
    <w:rsid w:val="00275180"/>
    <w:rsid w:val="002756EF"/>
    <w:rsid w:val="00275954"/>
    <w:rsid w:val="00276841"/>
    <w:rsid w:val="002769B7"/>
    <w:rsid w:val="00276FD4"/>
    <w:rsid w:val="002779A0"/>
    <w:rsid w:val="00277CF3"/>
    <w:rsid w:val="00277D20"/>
    <w:rsid w:val="00280A13"/>
    <w:rsid w:val="00280BE1"/>
    <w:rsid w:val="00281172"/>
    <w:rsid w:val="00282330"/>
    <w:rsid w:val="0028299D"/>
    <w:rsid w:val="00282EC7"/>
    <w:rsid w:val="002834BD"/>
    <w:rsid w:val="00283561"/>
    <w:rsid w:val="00283B62"/>
    <w:rsid w:val="00283BC9"/>
    <w:rsid w:val="00283D1D"/>
    <w:rsid w:val="00283EAE"/>
    <w:rsid w:val="0028566B"/>
    <w:rsid w:val="00285BE1"/>
    <w:rsid w:val="00285C70"/>
    <w:rsid w:val="00286416"/>
    <w:rsid w:val="0028684D"/>
    <w:rsid w:val="002876C4"/>
    <w:rsid w:val="00290105"/>
    <w:rsid w:val="002904F7"/>
    <w:rsid w:val="00290684"/>
    <w:rsid w:val="0029085D"/>
    <w:rsid w:val="00290E18"/>
    <w:rsid w:val="00290E7D"/>
    <w:rsid w:val="0029110F"/>
    <w:rsid w:val="00291329"/>
    <w:rsid w:val="00292187"/>
    <w:rsid w:val="002923DB"/>
    <w:rsid w:val="002923E6"/>
    <w:rsid w:val="00292431"/>
    <w:rsid w:val="002924A3"/>
    <w:rsid w:val="00292812"/>
    <w:rsid w:val="002935D9"/>
    <w:rsid w:val="0029361D"/>
    <w:rsid w:val="00293B47"/>
    <w:rsid w:val="00293E8F"/>
    <w:rsid w:val="00293F47"/>
    <w:rsid w:val="00294484"/>
    <w:rsid w:val="00294D73"/>
    <w:rsid w:val="0029555A"/>
    <w:rsid w:val="00296235"/>
    <w:rsid w:val="00296F35"/>
    <w:rsid w:val="00297200"/>
    <w:rsid w:val="00297226"/>
    <w:rsid w:val="00297C74"/>
    <w:rsid w:val="002A02BF"/>
    <w:rsid w:val="002A073F"/>
    <w:rsid w:val="002A0BC9"/>
    <w:rsid w:val="002A0CAA"/>
    <w:rsid w:val="002A12C6"/>
    <w:rsid w:val="002A1307"/>
    <w:rsid w:val="002A188D"/>
    <w:rsid w:val="002A18B1"/>
    <w:rsid w:val="002A1A64"/>
    <w:rsid w:val="002A2024"/>
    <w:rsid w:val="002A2E7A"/>
    <w:rsid w:val="002A31FC"/>
    <w:rsid w:val="002A3657"/>
    <w:rsid w:val="002A47BD"/>
    <w:rsid w:val="002A4B6E"/>
    <w:rsid w:val="002A53A6"/>
    <w:rsid w:val="002A5DFB"/>
    <w:rsid w:val="002A6C2B"/>
    <w:rsid w:val="002A74D9"/>
    <w:rsid w:val="002A7E6A"/>
    <w:rsid w:val="002B0626"/>
    <w:rsid w:val="002B0BB0"/>
    <w:rsid w:val="002B0FA4"/>
    <w:rsid w:val="002B15C8"/>
    <w:rsid w:val="002B166D"/>
    <w:rsid w:val="002B1BED"/>
    <w:rsid w:val="002B2C13"/>
    <w:rsid w:val="002B3659"/>
    <w:rsid w:val="002B42AA"/>
    <w:rsid w:val="002B4554"/>
    <w:rsid w:val="002B4D93"/>
    <w:rsid w:val="002B520D"/>
    <w:rsid w:val="002B6238"/>
    <w:rsid w:val="002B7F78"/>
    <w:rsid w:val="002C0624"/>
    <w:rsid w:val="002C0721"/>
    <w:rsid w:val="002C1B13"/>
    <w:rsid w:val="002C2755"/>
    <w:rsid w:val="002C36D4"/>
    <w:rsid w:val="002C3A70"/>
    <w:rsid w:val="002C449F"/>
    <w:rsid w:val="002C4D85"/>
    <w:rsid w:val="002C50F3"/>
    <w:rsid w:val="002C5569"/>
    <w:rsid w:val="002C5E79"/>
    <w:rsid w:val="002C640B"/>
    <w:rsid w:val="002C64D2"/>
    <w:rsid w:val="002C6873"/>
    <w:rsid w:val="002C698D"/>
    <w:rsid w:val="002C6ADF"/>
    <w:rsid w:val="002C6D6D"/>
    <w:rsid w:val="002C71D6"/>
    <w:rsid w:val="002C71E4"/>
    <w:rsid w:val="002C744D"/>
    <w:rsid w:val="002C797F"/>
    <w:rsid w:val="002D039A"/>
    <w:rsid w:val="002D0CCB"/>
    <w:rsid w:val="002D0E14"/>
    <w:rsid w:val="002D1234"/>
    <w:rsid w:val="002D1B3A"/>
    <w:rsid w:val="002D210A"/>
    <w:rsid w:val="002D2766"/>
    <w:rsid w:val="002D2FD8"/>
    <w:rsid w:val="002D31D3"/>
    <w:rsid w:val="002D372B"/>
    <w:rsid w:val="002D3A4F"/>
    <w:rsid w:val="002D466A"/>
    <w:rsid w:val="002D51D1"/>
    <w:rsid w:val="002D5E7A"/>
    <w:rsid w:val="002D64BC"/>
    <w:rsid w:val="002D6A27"/>
    <w:rsid w:val="002D6EDF"/>
    <w:rsid w:val="002D72B6"/>
    <w:rsid w:val="002D7385"/>
    <w:rsid w:val="002D7811"/>
    <w:rsid w:val="002E14D6"/>
    <w:rsid w:val="002E1CE6"/>
    <w:rsid w:val="002E2686"/>
    <w:rsid w:val="002E3B17"/>
    <w:rsid w:val="002E4114"/>
    <w:rsid w:val="002E476B"/>
    <w:rsid w:val="002E4D32"/>
    <w:rsid w:val="002E4E11"/>
    <w:rsid w:val="002E5658"/>
    <w:rsid w:val="002E59F7"/>
    <w:rsid w:val="002E5D1D"/>
    <w:rsid w:val="002E611A"/>
    <w:rsid w:val="002E6158"/>
    <w:rsid w:val="002E6305"/>
    <w:rsid w:val="002E6FEF"/>
    <w:rsid w:val="002E7023"/>
    <w:rsid w:val="002E7A1D"/>
    <w:rsid w:val="002F0AE3"/>
    <w:rsid w:val="002F0B4E"/>
    <w:rsid w:val="002F18FB"/>
    <w:rsid w:val="002F1994"/>
    <w:rsid w:val="002F1F50"/>
    <w:rsid w:val="002F2FE1"/>
    <w:rsid w:val="002F3026"/>
    <w:rsid w:val="002F354F"/>
    <w:rsid w:val="002F35EB"/>
    <w:rsid w:val="002F3743"/>
    <w:rsid w:val="002F407E"/>
    <w:rsid w:val="002F53BD"/>
    <w:rsid w:val="002F5969"/>
    <w:rsid w:val="002F692B"/>
    <w:rsid w:val="002F693E"/>
    <w:rsid w:val="003017DB"/>
    <w:rsid w:val="003017F4"/>
    <w:rsid w:val="00301839"/>
    <w:rsid w:val="00302A40"/>
    <w:rsid w:val="0030392F"/>
    <w:rsid w:val="00303992"/>
    <w:rsid w:val="00304A45"/>
    <w:rsid w:val="003050DB"/>
    <w:rsid w:val="003057F9"/>
    <w:rsid w:val="00305A04"/>
    <w:rsid w:val="00305DD9"/>
    <w:rsid w:val="003060B6"/>
    <w:rsid w:val="003065C0"/>
    <w:rsid w:val="00307307"/>
    <w:rsid w:val="0031001F"/>
    <w:rsid w:val="00311024"/>
    <w:rsid w:val="00312013"/>
    <w:rsid w:val="00312259"/>
    <w:rsid w:val="00312412"/>
    <w:rsid w:val="003137B3"/>
    <w:rsid w:val="0031406F"/>
    <w:rsid w:val="00314355"/>
    <w:rsid w:val="00314605"/>
    <w:rsid w:val="003146C8"/>
    <w:rsid w:val="00315018"/>
    <w:rsid w:val="0031516E"/>
    <w:rsid w:val="00316263"/>
    <w:rsid w:val="00316645"/>
    <w:rsid w:val="00316A4E"/>
    <w:rsid w:val="00316FF3"/>
    <w:rsid w:val="003174EA"/>
    <w:rsid w:val="00317687"/>
    <w:rsid w:val="00317B03"/>
    <w:rsid w:val="00317D07"/>
    <w:rsid w:val="00320C4B"/>
    <w:rsid w:val="00320E0C"/>
    <w:rsid w:val="0032158D"/>
    <w:rsid w:val="00321E8D"/>
    <w:rsid w:val="00321EB7"/>
    <w:rsid w:val="003221AF"/>
    <w:rsid w:val="00322DF7"/>
    <w:rsid w:val="003230A2"/>
    <w:rsid w:val="003236F7"/>
    <w:rsid w:val="0032370C"/>
    <w:rsid w:val="00325A43"/>
    <w:rsid w:val="00325FD0"/>
    <w:rsid w:val="003277E4"/>
    <w:rsid w:val="003279EE"/>
    <w:rsid w:val="00327E53"/>
    <w:rsid w:val="0033066F"/>
    <w:rsid w:val="0033068B"/>
    <w:rsid w:val="00330D43"/>
    <w:rsid w:val="00330F2D"/>
    <w:rsid w:val="003313F0"/>
    <w:rsid w:val="00331A24"/>
    <w:rsid w:val="00332CF6"/>
    <w:rsid w:val="00333EC0"/>
    <w:rsid w:val="003341D5"/>
    <w:rsid w:val="00334735"/>
    <w:rsid w:val="00334BBB"/>
    <w:rsid w:val="00334FE5"/>
    <w:rsid w:val="00335014"/>
    <w:rsid w:val="00335E82"/>
    <w:rsid w:val="00336430"/>
    <w:rsid w:val="00336C94"/>
    <w:rsid w:val="00337111"/>
    <w:rsid w:val="003375B5"/>
    <w:rsid w:val="00337B34"/>
    <w:rsid w:val="0034035E"/>
    <w:rsid w:val="0034070C"/>
    <w:rsid w:val="003408DC"/>
    <w:rsid w:val="0034097D"/>
    <w:rsid w:val="00341584"/>
    <w:rsid w:val="003416D2"/>
    <w:rsid w:val="00342C9A"/>
    <w:rsid w:val="00342EAA"/>
    <w:rsid w:val="003438C8"/>
    <w:rsid w:val="003439BD"/>
    <w:rsid w:val="00343D3E"/>
    <w:rsid w:val="0034452D"/>
    <w:rsid w:val="00344F37"/>
    <w:rsid w:val="00345575"/>
    <w:rsid w:val="00345CDD"/>
    <w:rsid w:val="00346A67"/>
    <w:rsid w:val="00346B10"/>
    <w:rsid w:val="00347271"/>
    <w:rsid w:val="00347317"/>
    <w:rsid w:val="003518BA"/>
    <w:rsid w:val="003518D8"/>
    <w:rsid w:val="00351A8E"/>
    <w:rsid w:val="00351D20"/>
    <w:rsid w:val="00352CD4"/>
    <w:rsid w:val="00352D59"/>
    <w:rsid w:val="00353022"/>
    <w:rsid w:val="00353137"/>
    <w:rsid w:val="00353CEA"/>
    <w:rsid w:val="003541A6"/>
    <w:rsid w:val="0035466C"/>
    <w:rsid w:val="00354855"/>
    <w:rsid w:val="003548CB"/>
    <w:rsid w:val="003551B6"/>
    <w:rsid w:val="00355A89"/>
    <w:rsid w:val="00355DDB"/>
    <w:rsid w:val="00356029"/>
    <w:rsid w:val="003564B0"/>
    <w:rsid w:val="00356744"/>
    <w:rsid w:val="003568DD"/>
    <w:rsid w:val="00356915"/>
    <w:rsid w:val="00356C8C"/>
    <w:rsid w:val="00357687"/>
    <w:rsid w:val="0036082A"/>
    <w:rsid w:val="0036130B"/>
    <w:rsid w:val="0036133B"/>
    <w:rsid w:val="003619E1"/>
    <w:rsid w:val="00362513"/>
    <w:rsid w:val="003631AD"/>
    <w:rsid w:val="003641E2"/>
    <w:rsid w:val="00364418"/>
    <w:rsid w:val="00366168"/>
    <w:rsid w:val="00366AF4"/>
    <w:rsid w:val="0036708A"/>
    <w:rsid w:val="00367601"/>
    <w:rsid w:val="003676DD"/>
    <w:rsid w:val="003705E8"/>
    <w:rsid w:val="003706DA"/>
    <w:rsid w:val="00370714"/>
    <w:rsid w:val="00371FE0"/>
    <w:rsid w:val="00372BF2"/>
    <w:rsid w:val="00372DB8"/>
    <w:rsid w:val="0037333D"/>
    <w:rsid w:val="003739DD"/>
    <w:rsid w:val="00373B5D"/>
    <w:rsid w:val="00373E81"/>
    <w:rsid w:val="003742B7"/>
    <w:rsid w:val="00374C45"/>
    <w:rsid w:val="00374F90"/>
    <w:rsid w:val="003751A6"/>
    <w:rsid w:val="003754B9"/>
    <w:rsid w:val="00375BC3"/>
    <w:rsid w:val="00375F48"/>
    <w:rsid w:val="0037655A"/>
    <w:rsid w:val="00377113"/>
    <w:rsid w:val="00377534"/>
    <w:rsid w:val="00380AA7"/>
    <w:rsid w:val="00380E35"/>
    <w:rsid w:val="00381A64"/>
    <w:rsid w:val="00381CA5"/>
    <w:rsid w:val="00381F29"/>
    <w:rsid w:val="0038214D"/>
    <w:rsid w:val="003821AD"/>
    <w:rsid w:val="00382326"/>
    <w:rsid w:val="00382E98"/>
    <w:rsid w:val="00382EEC"/>
    <w:rsid w:val="0038335D"/>
    <w:rsid w:val="003838D4"/>
    <w:rsid w:val="0038462A"/>
    <w:rsid w:val="00384943"/>
    <w:rsid w:val="003865A2"/>
    <w:rsid w:val="00386AB1"/>
    <w:rsid w:val="003871A2"/>
    <w:rsid w:val="003877C3"/>
    <w:rsid w:val="00387893"/>
    <w:rsid w:val="00387AE3"/>
    <w:rsid w:val="0039010D"/>
    <w:rsid w:val="00390AE1"/>
    <w:rsid w:val="00391308"/>
    <w:rsid w:val="00391528"/>
    <w:rsid w:val="00391BEF"/>
    <w:rsid w:val="00391C46"/>
    <w:rsid w:val="00391D1F"/>
    <w:rsid w:val="00391D4D"/>
    <w:rsid w:val="003921DF"/>
    <w:rsid w:val="00392D11"/>
    <w:rsid w:val="003933EF"/>
    <w:rsid w:val="00393CDC"/>
    <w:rsid w:val="00394AB6"/>
    <w:rsid w:val="00394FA1"/>
    <w:rsid w:val="00394FFE"/>
    <w:rsid w:val="00395495"/>
    <w:rsid w:val="00395784"/>
    <w:rsid w:val="0039595E"/>
    <w:rsid w:val="00395AC9"/>
    <w:rsid w:val="00395D8C"/>
    <w:rsid w:val="00396056"/>
    <w:rsid w:val="00397B48"/>
    <w:rsid w:val="003A0472"/>
    <w:rsid w:val="003A0C24"/>
    <w:rsid w:val="003A1095"/>
    <w:rsid w:val="003A10BA"/>
    <w:rsid w:val="003A1433"/>
    <w:rsid w:val="003A1521"/>
    <w:rsid w:val="003A1A3F"/>
    <w:rsid w:val="003A1B4D"/>
    <w:rsid w:val="003A1C9B"/>
    <w:rsid w:val="003A1D17"/>
    <w:rsid w:val="003A1D21"/>
    <w:rsid w:val="003A28CA"/>
    <w:rsid w:val="003A32A7"/>
    <w:rsid w:val="003A35C1"/>
    <w:rsid w:val="003A447D"/>
    <w:rsid w:val="003A514D"/>
    <w:rsid w:val="003A60D1"/>
    <w:rsid w:val="003A63B9"/>
    <w:rsid w:val="003A683B"/>
    <w:rsid w:val="003A68EA"/>
    <w:rsid w:val="003B0332"/>
    <w:rsid w:val="003B0B11"/>
    <w:rsid w:val="003B1716"/>
    <w:rsid w:val="003B2A4D"/>
    <w:rsid w:val="003B2AF1"/>
    <w:rsid w:val="003B2E2F"/>
    <w:rsid w:val="003B2E68"/>
    <w:rsid w:val="003B2F32"/>
    <w:rsid w:val="003B3058"/>
    <w:rsid w:val="003B33FE"/>
    <w:rsid w:val="003B345F"/>
    <w:rsid w:val="003B3694"/>
    <w:rsid w:val="003B3898"/>
    <w:rsid w:val="003B3E6B"/>
    <w:rsid w:val="003B44C8"/>
    <w:rsid w:val="003B44D6"/>
    <w:rsid w:val="003B4984"/>
    <w:rsid w:val="003B49D9"/>
    <w:rsid w:val="003B54BD"/>
    <w:rsid w:val="003B569F"/>
    <w:rsid w:val="003B56C1"/>
    <w:rsid w:val="003B5D2F"/>
    <w:rsid w:val="003B5D69"/>
    <w:rsid w:val="003B5E09"/>
    <w:rsid w:val="003B5FD3"/>
    <w:rsid w:val="003B64F4"/>
    <w:rsid w:val="003B6713"/>
    <w:rsid w:val="003B6E1D"/>
    <w:rsid w:val="003B6F3B"/>
    <w:rsid w:val="003B6FD2"/>
    <w:rsid w:val="003B79E6"/>
    <w:rsid w:val="003B7FB3"/>
    <w:rsid w:val="003C0511"/>
    <w:rsid w:val="003C0A43"/>
    <w:rsid w:val="003C1A4A"/>
    <w:rsid w:val="003C1F38"/>
    <w:rsid w:val="003C20E9"/>
    <w:rsid w:val="003C3736"/>
    <w:rsid w:val="003C3CED"/>
    <w:rsid w:val="003C3DC2"/>
    <w:rsid w:val="003C3FD1"/>
    <w:rsid w:val="003C41A9"/>
    <w:rsid w:val="003C42AD"/>
    <w:rsid w:val="003C48CB"/>
    <w:rsid w:val="003C4EB0"/>
    <w:rsid w:val="003C535A"/>
    <w:rsid w:val="003C5A46"/>
    <w:rsid w:val="003C5D57"/>
    <w:rsid w:val="003C5E19"/>
    <w:rsid w:val="003C5E4F"/>
    <w:rsid w:val="003C75BD"/>
    <w:rsid w:val="003C7CB0"/>
    <w:rsid w:val="003C7D61"/>
    <w:rsid w:val="003D0493"/>
    <w:rsid w:val="003D0BF8"/>
    <w:rsid w:val="003D11A3"/>
    <w:rsid w:val="003D1428"/>
    <w:rsid w:val="003D1930"/>
    <w:rsid w:val="003D2389"/>
    <w:rsid w:val="003D3A74"/>
    <w:rsid w:val="003D3E36"/>
    <w:rsid w:val="003D421A"/>
    <w:rsid w:val="003D4486"/>
    <w:rsid w:val="003D4CB9"/>
    <w:rsid w:val="003D5168"/>
    <w:rsid w:val="003D52C6"/>
    <w:rsid w:val="003D630D"/>
    <w:rsid w:val="003D6ACB"/>
    <w:rsid w:val="003D6FD9"/>
    <w:rsid w:val="003D70DC"/>
    <w:rsid w:val="003D7446"/>
    <w:rsid w:val="003D7BDE"/>
    <w:rsid w:val="003D7D2D"/>
    <w:rsid w:val="003E0671"/>
    <w:rsid w:val="003E0B2A"/>
    <w:rsid w:val="003E20F0"/>
    <w:rsid w:val="003E391B"/>
    <w:rsid w:val="003E4701"/>
    <w:rsid w:val="003E4C9F"/>
    <w:rsid w:val="003E5061"/>
    <w:rsid w:val="003E56D4"/>
    <w:rsid w:val="003E56F0"/>
    <w:rsid w:val="003E666C"/>
    <w:rsid w:val="003E6BF0"/>
    <w:rsid w:val="003E748F"/>
    <w:rsid w:val="003E7861"/>
    <w:rsid w:val="003E7CC3"/>
    <w:rsid w:val="003E7F12"/>
    <w:rsid w:val="003F0681"/>
    <w:rsid w:val="003F0742"/>
    <w:rsid w:val="003F08BD"/>
    <w:rsid w:val="003F09A1"/>
    <w:rsid w:val="003F14D1"/>
    <w:rsid w:val="003F1AD5"/>
    <w:rsid w:val="003F1B0F"/>
    <w:rsid w:val="003F1CF1"/>
    <w:rsid w:val="003F2345"/>
    <w:rsid w:val="003F23A5"/>
    <w:rsid w:val="003F3055"/>
    <w:rsid w:val="003F3A4F"/>
    <w:rsid w:val="003F41CA"/>
    <w:rsid w:val="003F4EEC"/>
    <w:rsid w:val="003F4FCF"/>
    <w:rsid w:val="003F504D"/>
    <w:rsid w:val="003F50D8"/>
    <w:rsid w:val="003F5C4C"/>
    <w:rsid w:val="003F6689"/>
    <w:rsid w:val="003F699D"/>
    <w:rsid w:val="003F6E67"/>
    <w:rsid w:val="003F7B77"/>
    <w:rsid w:val="00400398"/>
    <w:rsid w:val="00400467"/>
    <w:rsid w:val="004006CD"/>
    <w:rsid w:val="00400994"/>
    <w:rsid w:val="0040131D"/>
    <w:rsid w:val="00401F5C"/>
    <w:rsid w:val="00402A75"/>
    <w:rsid w:val="00402C0D"/>
    <w:rsid w:val="004030F2"/>
    <w:rsid w:val="004050D9"/>
    <w:rsid w:val="00406477"/>
    <w:rsid w:val="00406834"/>
    <w:rsid w:val="00406F66"/>
    <w:rsid w:val="00407166"/>
    <w:rsid w:val="00410092"/>
    <w:rsid w:val="004108D7"/>
    <w:rsid w:val="00411783"/>
    <w:rsid w:val="00411B17"/>
    <w:rsid w:val="00412224"/>
    <w:rsid w:val="00412B42"/>
    <w:rsid w:val="00413743"/>
    <w:rsid w:val="00413B26"/>
    <w:rsid w:val="00413CD4"/>
    <w:rsid w:val="0041423E"/>
    <w:rsid w:val="00414B1C"/>
    <w:rsid w:val="00414B32"/>
    <w:rsid w:val="00414CA6"/>
    <w:rsid w:val="00416148"/>
    <w:rsid w:val="004168D9"/>
    <w:rsid w:val="004169CD"/>
    <w:rsid w:val="00416EBA"/>
    <w:rsid w:val="004171E1"/>
    <w:rsid w:val="0041796E"/>
    <w:rsid w:val="004179B6"/>
    <w:rsid w:val="00420614"/>
    <w:rsid w:val="00420AC9"/>
    <w:rsid w:val="00420BC0"/>
    <w:rsid w:val="00420ED3"/>
    <w:rsid w:val="00421B80"/>
    <w:rsid w:val="00421D0E"/>
    <w:rsid w:val="00421F47"/>
    <w:rsid w:val="00422038"/>
    <w:rsid w:val="00422353"/>
    <w:rsid w:val="004225D2"/>
    <w:rsid w:val="00422C4D"/>
    <w:rsid w:val="0042316B"/>
    <w:rsid w:val="004236F5"/>
    <w:rsid w:val="0042385B"/>
    <w:rsid w:val="00423FE4"/>
    <w:rsid w:val="00424D43"/>
    <w:rsid w:val="00424FE4"/>
    <w:rsid w:val="004253AA"/>
    <w:rsid w:val="004265A0"/>
    <w:rsid w:val="004265CA"/>
    <w:rsid w:val="00426922"/>
    <w:rsid w:val="00426EC9"/>
    <w:rsid w:val="00426F32"/>
    <w:rsid w:val="0042733D"/>
    <w:rsid w:val="00427408"/>
    <w:rsid w:val="0042798C"/>
    <w:rsid w:val="004279ED"/>
    <w:rsid w:val="00430119"/>
    <w:rsid w:val="004302E1"/>
    <w:rsid w:val="00431298"/>
    <w:rsid w:val="004319BD"/>
    <w:rsid w:val="00431C09"/>
    <w:rsid w:val="00432585"/>
    <w:rsid w:val="00432D4B"/>
    <w:rsid w:val="00433BA4"/>
    <w:rsid w:val="00434120"/>
    <w:rsid w:val="00434572"/>
    <w:rsid w:val="00434D4E"/>
    <w:rsid w:val="00434E47"/>
    <w:rsid w:val="00434F2C"/>
    <w:rsid w:val="00435258"/>
    <w:rsid w:val="00435EAC"/>
    <w:rsid w:val="00435F43"/>
    <w:rsid w:val="004360D9"/>
    <w:rsid w:val="004375F2"/>
    <w:rsid w:val="004376BD"/>
    <w:rsid w:val="00437D26"/>
    <w:rsid w:val="004402B6"/>
    <w:rsid w:val="0044053E"/>
    <w:rsid w:val="00441CF7"/>
    <w:rsid w:val="00441FB2"/>
    <w:rsid w:val="004424CD"/>
    <w:rsid w:val="004426B0"/>
    <w:rsid w:val="00442B55"/>
    <w:rsid w:val="00442FF2"/>
    <w:rsid w:val="004438DC"/>
    <w:rsid w:val="00443CF4"/>
    <w:rsid w:val="00443D90"/>
    <w:rsid w:val="00443D9C"/>
    <w:rsid w:val="00443FCC"/>
    <w:rsid w:val="0044506D"/>
    <w:rsid w:val="004458DB"/>
    <w:rsid w:val="00445993"/>
    <w:rsid w:val="00445997"/>
    <w:rsid w:val="00445CD7"/>
    <w:rsid w:val="00446064"/>
    <w:rsid w:val="00446183"/>
    <w:rsid w:val="004463EC"/>
    <w:rsid w:val="0044686F"/>
    <w:rsid w:val="00446A2E"/>
    <w:rsid w:val="0044724A"/>
    <w:rsid w:val="00450242"/>
    <w:rsid w:val="00450911"/>
    <w:rsid w:val="0045103F"/>
    <w:rsid w:val="004519AB"/>
    <w:rsid w:val="00451CEC"/>
    <w:rsid w:val="0045249C"/>
    <w:rsid w:val="00452C92"/>
    <w:rsid w:val="00452DB3"/>
    <w:rsid w:val="00452FCB"/>
    <w:rsid w:val="00453002"/>
    <w:rsid w:val="0045394C"/>
    <w:rsid w:val="00453A03"/>
    <w:rsid w:val="00453D75"/>
    <w:rsid w:val="00454157"/>
    <w:rsid w:val="004545F8"/>
    <w:rsid w:val="00454796"/>
    <w:rsid w:val="00454AF8"/>
    <w:rsid w:val="00454D4F"/>
    <w:rsid w:val="004552B2"/>
    <w:rsid w:val="00455966"/>
    <w:rsid w:val="004559C7"/>
    <w:rsid w:val="00455A04"/>
    <w:rsid w:val="004562AE"/>
    <w:rsid w:val="00457460"/>
    <w:rsid w:val="004574AB"/>
    <w:rsid w:val="004576E5"/>
    <w:rsid w:val="004579D3"/>
    <w:rsid w:val="00457A7A"/>
    <w:rsid w:val="00457CA8"/>
    <w:rsid w:val="00457E7D"/>
    <w:rsid w:val="00460482"/>
    <w:rsid w:val="0046062F"/>
    <w:rsid w:val="00460898"/>
    <w:rsid w:val="00460A51"/>
    <w:rsid w:val="0046123C"/>
    <w:rsid w:val="00461452"/>
    <w:rsid w:val="00461D84"/>
    <w:rsid w:val="004628A3"/>
    <w:rsid w:val="0046297F"/>
    <w:rsid w:val="00462A33"/>
    <w:rsid w:val="00463215"/>
    <w:rsid w:val="00463D00"/>
    <w:rsid w:val="00464009"/>
    <w:rsid w:val="00464C5B"/>
    <w:rsid w:val="00465B69"/>
    <w:rsid w:val="0046608E"/>
    <w:rsid w:val="0046614A"/>
    <w:rsid w:val="0046679A"/>
    <w:rsid w:val="0046778E"/>
    <w:rsid w:val="0046788E"/>
    <w:rsid w:val="00470229"/>
    <w:rsid w:val="00470E3B"/>
    <w:rsid w:val="00470F97"/>
    <w:rsid w:val="0047109C"/>
    <w:rsid w:val="004712DE"/>
    <w:rsid w:val="004713E0"/>
    <w:rsid w:val="004716A1"/>
    <w:rsid w:val="00471ABF"/>
    <w:rsid w:val="00471CD7"/>
    <w:rsid w:val="00471DA0"/>
    <w:rsid w:val="00472B8B"/>
    <w:rsid w:val="00472C0D"/>
    <w:rsid w:val="00472E69"/>
    <w:rsid w:val="00472F83"/>
    <w:rsid w:val="0047396D"/>
    <w:rsid w:val="00473A0D"/>
    <w:rsid w:val="00473A10"/>
    <w:rsid w:val="00474349"/>
    <w:rsid w:val="00474A3C"/>
    <w:rsid w:val="00476B5F"/>
    <w:rsid w:val="00476BC7"/>
    <w:rsid w:val="00476D14"/>
    <w:rsid w:val="00477353"/>
    <w:rsid w:val="0047762B"/>
    <w:rsid w:val="004776FC"/>
    <w:rsid w:val="00477781"/>
    <w:rsid w:val="00477B8C"/>
    <w:rsid w:val="00477FD2"/>
    <w:rsid w:val="00481FEF"/>
    <w:rsid w:val="00482928"/>
    <w:rsid w:val="00482E13"/>
    <w:rsid w:val="004832C6"/>
    <w:rsid w:val="004834F0"/>
    <w:rsid w:val="00483BB7"/>
    <w:rsid w:val="00483BFB"/>
    <w:rsid w:val="00486316"/>
    <w:rsid w:val="0048674E"/>
    <w:rsid w:val="00486825"/>
    <w:rsid w:val="00486F8F"/>
    <w:rsid w:val="00487007"/>
    <w:rsid w:val="004876B8"/>
    <w:rsid w:val="004903BC"/>
    <w:rsid w:val="00490F47"/>
    <w:rsid w:val="00491038"/>
    <w:rsid w:val="00491222"/>
    <w:rsid w:val="004913D8"/>
    <w:rsid w:val="0049145F"/>
    <w:rsid w:val="0049189E"/>
    <w:rsid w:val="004918C4"/>
    <w:rsid w:val="00491E3A"/>
    <w:rsid w:val="00492595"/>
    <w:rsid w:val="00492775"/>
    <w:rsid w:val="00493735"/>
    <w:rsid w:val="00493B35"/>
    <w:rsid w:val="004943D9"/>
    <w:rsid w:val="0049517F"/>
    <w:rsid w:val="004959D8"/>
    <w:rsid w:val="00495AA2"/>
    <w:rsid w:val="00495BDE"/>
    <w:rsid w:val="00495D3B"/>
    <w:rsid w:val="00495F52"/>
    <w:rsid w:val="00497094"/>
    <w:rsid w:val="00497133"/>
    <w:rsid w:val="00497C66"/>
    <w:rsid w:val="00497E79"/>
    <w:rsid w:val="004A05A0"/>
    <w:rsid w:val="004A0A1E"/>
    <w:rsid w:val="004A1A26"/>
    <w:rsid w:val="004A1A4B"/>
    <w:rsid w:val="004A1AF1"/>
    <w:rsid w:val="004A29FF"/>
    <w:rsid w:val="004A35A9"/>
    <w:rsid w:val="004A3EC7"/>
    <w:rsid w:val="004A46FE"/>
    <w:rsid w:val="004A67DE"/>
    <w:rsid w:val="004A67FE"/>
    <w:rsid w:val="004A741C"/>
    <w:rsid w:val="004A7C67"/>
    <w:rsid w:val="004A7F29"/>
    <w:rsid w:val="004B005C"/>
    <w:rsid w:val="004B04DC"/>
    <w:rsid w:val="004B0999"/>
    <w:rsid w:val="004B0DB6"/>
    <w:rsid w:val="004B0F2D"/>
    <w:rsid w:val="004B112F"/>
    <w:rsid w:val="004B1382"/>
    <w:rsid w:val="004B1471"/>
    <w:rsid w:val="004B19AE"/>
    <w:rsid w:val="004B22AA"/>
    <w:rsid w:val="004B2AA4"/>
    <w:rsid w:val="004B39A5"/>
    <w:rsid w:val="004B3C59"/>
    <w:rsid w:val="004B42A6"/>
    <w:rsid w:val="004B4571"/>
    <w:rsid w:val="004B50FC"/>
    <w:rsid w:val="004B60E5"/>
    <w:rsid w:val="004B6A22"/>
    <w:rsid w:val="004B6D8B"/>
    <w:rsid w:val="004B7556"/>
    <w:rsid w:val="004B7740"/>
    <w:rsid w:val="004B77D3"/>
    <w:rsid w:val="004C10C7"/>
    <w:rsid w:val="004C1830"/>
    <w:rsid w:val="004C23A2"/>
    <w:rsid w:val="004C23B4"/>
    <w:rsid w:val="004C248A"/>
    <w:rsid w:val="004C2822"/>
    <w:rsid w:val="004C29F7"/>
    <w:rsid w:val="004C2F98"/>
    <w:rsid w:val="004C3293"/>
    <w:rsid w:val="004C38B8"/>
    <w:rsid w:val="004C4B59"/>
    <w:rsid w:val="004C4EB5"/>
    <w:rsid w:val="004C53D5"/>
    <w:rsid w:val="004C578E"/>
    <w:rsid w:val="004C61A7"/>
    <w:rsid w:val="004C61E8"/>
    <w:rsid w:val="004C7036"/>
    <w:rsid w:val="004C7239"/>
    <w:rsid w:val="004C7AF8"/>
    <w:rsid w:val="004D00AF"/>
    <w:rsid w:val="004D0E3D"/>
    <w:rsid w:val="004D197D"/>
    <w:rsid w:val="004D219F"/>
    <w:rsid w:val="004D2BD3"/>
    <w:rsid w:val="004D32BC"/>
    <w:rsid w:val="004D3888"/>
    <w:rsid w:val="004D395C"/>
    <w:rsid w:val="004D3B1A"/>
    <w:rsid w:val="004D4619"/>
    <w:rsid w:val="004D4B6E"/>
    <w:rsid w:val="004D4D4B"/>
    <w:rsid w:val="004D4EAD"/>
    <w:rsid w:val="004D4F57"/>
    <w:rsid w:val="004D52E0"/>
    <w:rsid w:val="004D5D95"/>
    <w:rsid w:val="004D6DB3"/>
    <w:rsid w:val="004D73EF"/>
    <w:rsid w:val="004D78E8"/>
    <w:rsid w:val="004E080D"/>
    <w:rsid w:val="004E083F"/>
    <w:rsid w:val="004E0A74"/>
    <w:rsid w:val="004E0B09"/>
    <w:rsid w:val="004E1145"/>
    <w:rsid w:val="004E2378"/>
    <w:rsid w:val="004E2988"/>
    <w:rsid w:val="004E3555"/>
    <w:rsid w:val="004E42C6"/>
    <w:rsid w:val="004E448A"/>
    <w:rsid w:val="004E44D5"/>
    <w:rsid w:val="004E48D6"/>
    <w:rsid w:val="004E4BF4"/>
    <w:rsid w:val="004E52EE"/>
    <w:rsid w:val="004E56B6"/>
    <w:rsid w:val="004E5816"/>
    <w:rsid w:val="004E5D07"/>
    <w:rsid w:val="004E5F24"/>
    <w:rsid w:val="004E65F6"/>
    <w:rsid w:val="004E69A0"/>
    <w:rsid w:val="004E7514"/>
    <w:rsid w:val="004E76E4"/>
    <w:rsid w:val="004E78B4"/>
    <w:rsid w:val="004E7D3A"/>
    <w:rsid w:val="004E7FC8"/>
    <w:rsid w:val="004F00C0"/>
    <w:rsid w:val="004F0440"/>
    <w:rsid w:val="004F16A7"/>
    <w:rsid w:val="004F30F9"/>
    <w:rsid w:val="004F32FD"/>
    <w:rsid w:val="004F340B"/>
    <w:rsid w:val="004F3C72"/>
    <w:rsid w:val="004F41EC"/>
    <w:rsid w:val="004F42A2"/>
    <w:rsid w:val="004F472E"/>
    <w:rsid w:val="004F4F8D"/>
    <w:rsid w:val="004F571F"/>
    <w:rsid w:val="004F62A9"/>
    <w:rsid w:val="004F64CA"/>
    <w:rsid w:val="004F64DA"/>
    <w:rsid w:val="004F6562"/>
    <w:rsid w:val="004F73D6"/>
    <w:rsid w:val="004F744D"/>
    <w:rsid w:val="004F755B"/>
    <w:rsid w:val="004F796F"/>
    <w:rsid w:val="004F7B5B"/>
    <w:rsid w:val="00500B91"/>
    <w:rsid w:val="005011E3"/>
    <w:rsid w:val="0050126A"/>
    <w:rsid w:val="005015F7"/>
    <w:rsid w:val="00501AB3"/>
    <w:rsid w:val="00501C2C"/>
    <w:rsid w:val="00502193"/>
    <w:rsid w:val="0050256F"/>
    <w:rsid w:val="005025B8"/>
    <w:rsid w:val="00502922"/>
    <w:rsid w:val="00502B97"/>
    <w:rsid w:val="005030BC"/>
    <w:rsid w:val="00503AB5"/>
    <w:rsid w:val="00504A37"/>
    <w:rsid w:val="00504F00"/>
    <w:rsid w:val="00505452"/>
    <w:rsid w:val="00505456"/>
    <w:rsid w:val="005065B3"/>
    <w:rsid w:val="00506AC6"/>
    <w:rsid w:val="00506CCE"/>
    <w:rsid w:val="005076ED"/>
    <w:rsid w:val="0051021E"/>
    <w:rsid w:val="0051043F"/>
    <w:rsid w:val="00510C0B"/>
    <w:rsid w:val="00511007"/>
    <w:rsid w:val="00511169"/>
    <w:rsid w:val="005111F7"/>
    <w:rsid w:val="00511259"/>
    <w:rsid w:val="00511271"/>
    <w:rsid w:val="0051190F"/>
    <w:rsid w:val="00511C09"/>
    <w:rsid w:val="00512FA0"/>
    <w:rsid w:val="005131C3"/>
    <w:rsid w:val="005133F1"/>
    <w:rsid w:val="0051389E"/>
    <w:rsid w:val="00513A40"/>
    <w:rsid w:val="00513BF2"/>
    <w:rsid w:val="005142F3"/>
    <w:rsid w:val="00514A4E"/>
    <w:rsid w:val="00514C2F"/>
    <w:rsid w:val="005153FA"/>
    <w:rsid w:val="00515536"/>
    <w:rsid w:val="0051555F"/>
    <w:rsid w:val="00515AAA"/>
    <w:rsid w:val="00515FA1"/>
    <w:rsid w:val="005162EE"/>
    <w:rsid w:val="005163DE"/>
    <w:rsid w:val="00516C5F"/>
    <w:rsid w:val="00516CD6"/>
    <w:rsid w:val="0052085A"/>
    <w:rsid w:val="005209AB"/>
    <w:rsid w:val="00521013"/>
    <w:rsid w:val="005210C7"/>
    <w:rsid w:val="0052127C"/>
    <w:rsid w:val="00521578"/>
    <w:rsid w:val="005222DC"/>
    <w:rsid w:val="00522397"/>
    <w:rsid w:val="005224BF"/>
    <w:rsid w:val="005229E1"/>
    <w:rsid w:val="00522D87"/>
    <w:rsid w:val="0052315E"/>
    <w:rsid w:val="00523779"/>
    <w:rsid w:val="00523E04"/>
    <w:rsid w:val="005240A7"/>
    <w:rsid w:val="00524151"/>
    <w:rsid w:val="00524EA0"/>
    <w:rsid w:val="0052558C"/>
    <w:rsid w:val="005259D5"/>
    <w:rsid w:val="00527044"/>
    <w:rsid w:val="0052721D"/>
    <w:rsid w:val="005277F7"/>
    <w:rsid w:val="00527833"/>
    <w:rsid w:val="00527EC1"/>
    <w:rsid w:val="00530262"/>
    <w:rsid w:val="005302DC"/>
    <w:rsid w:val="005313AD"/>
    <w:rsid w:val="0053165F"/>
    <w:rsid w:val="00531FD8"/>
    <w:rsid w:val="00532427"/>
    <w:rsid w:val="005328D0"/>
    <w:rsid w:val="00532A79"/>
    <w:rsid w:val="00532CE3"/>
    <w:rsid w:val="005331CB"/>
    <w:rsid w:val="00533691"/>
    <w:rsid w:val="0053385B"/>
    <w:rsid w:val="00533962"/>
    <w:rsid w:val="00533EDD"/>
    <w:rsid w:val="005354E8"/>
    <w:rsid w:val="00535598"/>
    <w:rsid w:val="0053592E"/>
    <w:rsid w:val="00535B03"/>
    <w:rsid w:val="00536CD2"/>
    <w:rsid w:val="005376D8"/>
    <w:rsid w:val="00537875"/>
    <w:rsid w:val="005402DB"/>
    <w:rsid w:val="00540565"/>
    <w:rsid w:val="00541757"/>
    <w:rsid w:val="00541C31"/>
    <w:rsid w:val="00541F5B"/>
    <w:rsid w:val="005425E2"/>
    <w:rsid w:val="0054263F"/>
    <w:rsid w:val="00542CAE"/>
    <w:rsid w:val="00542E75"/>
    <w:rsid w:val="00543BD5"/>
    <w:rsid w:val="0054448B"/>
    <w:rsid w:val="00545167"/>
    <w:rsid w:val="005454E9"/>
    <w:rsid w:val="00546217"/>
    <w:rsid w:val="00546286"/>
    <w:rsid w:val="005469BB"/>
    <w:rsid w:val="00546D15"/>
    <w:rsid w:val="00546F4D"/>
    <w:rsid w:val="00547158"/>
    <w:rsid w:val="00547E7D"/>
    <w:rsid w:val="00550051"/>
    <w:rsid w:val="00550129"/>
    <w:rsid w:val="00550397"/>
    <w:rsid w:val="00550444"/>
    <w:rsid w:val="00550588"/>
    <w:rsid w:val="00551661"/>
    <w:rsid w:val="005522B0"/>
    <w:rsid w:val="00552373"/>
    <w:rsid w:val="00552BBD"/>
    <w:rsid w:val="00552F7A"/>
    <w:rsid w:val="0055347C"/>
    <w:rsid w:val="005536CA"/>
    <w:rsid w:val="005536E5"/>
    <w:rsid w:val="005536F0"/>
    <w:rsid w:val="005547C8"/>
    <w:rsid w:val="005549D0"/>
    <w:rsid w:val="005568FE"/>
    <w:rsid w:val="005571B7"/>
    <w:rsid w:val="005574F1"/>
    <w:rsid w:val="00557EF8"/>
    <w:rsid w:val="0056022D"/>
    <w:rsid w:val="0056057B"/>
    <w:rsid w:val="0056069A"/>
    <w:rsid w:val="00560928"/>
    <w:rsid w:val="00560C16"/>
    <w:rsid w:val="005611CE"/>
    <w:rsid w:val="005620E2"/>
    <w:rsid w:val="005621E7"/>
    <w:rsid w:val="005626F9"/>
    <w:rsid w:val="005639C1"/>
    <w:rsid w:val="00563C37"/>
    <w:rsid w:val="00563C68"/>
    <w:rsid w:val="00563CBA"/>
    <w:rsid w:val="0056406A"/>
    <w:rsid w:val="005648A9"/>
    <w:rsid w:val="00564EFF"/>
    <w:rsid w:val="0056575E"/>
    <w:rsid w:val="00565D18"/>
    <w:rsid w:val="00566030"/>
    <w:rsid w:val="00566503"/>
    <w:rsid w:val="00567203"/>
    <w:rsid w:val="005673F9"/>
    <w:rsid w:val="00567493"/>
    <w:rsid w:val="00567903"/>
    <w:rsid w:val="00567CE2"/>
    <w:rsid w:val="00570790"/>
    <w:rsid w:val="00570BC3"/>
    <w:rsid w:val="00571908"/>
    <w:rsid w:val="00572916"/>
    <w:rsid w:val="00572B47"/>
    <w:rsid w:val="00572B5E"/>
    <w:rsid w:val="00572E14"/>
    <w:rsid w:val="005738AA"/>
    <w:rsid w:val="005738D4"/>
    <w:rsid w:val="005740F2"/>
    <w:rsid w:val="005753A2"/>
    <w:rsid w:val="00575529"/>
    <w:rsid w:val="00575B46"/>
    <w:rsid w:val="00576544"/>
    <w:rsid w:val="0058014D"/>
    <w:rsid w:val="0058031B"/>
    <w:rsid w:val="0058032B"/>
    <w:rsid w:val="00580704"/>
    <w:rsid w:val="00580FE2"/>
    <w:rsid w:val="00580FFB"/>
    <w:rsid w:val="005811A1"/>
    <w:rsid w:val="0058126A"/>
    <w:rsid w:val="005812C1"/>
    <w:rsid w:val="00581A92"/>
    <w:rsid w:val="00581DB9"/>
    <w:rsid w:val="005820FC"/>
    <w:rsid w:val="00582F88"/>
    <w:rsid w:val="00583594"/>
    <w:rsid w:val="00583F60"/>
    <w:rsid w:val="00584545"/>
    <w:rsid w:val="00584CA9"/>
    <w:rsid w:val="0058541C"/>
    <w:rsid w:val="00585770"/>
    <w:rsid w:val="00585B78"/>
    <w:rsid w:val="005877EA"/>
    <w:rsid w:val="00587D99"/>
    <w:rsid w:val="00587FD1"/>
    <w:rsid w:val="005900AB"/>
    <w:rsid w:val="00590632"/>
    <w:rsid w:val="0059064B"/>
    <w:rsid w:val="00591407"/>
    <w:rsid w:val="00591A4E"/>
    <w:rsid w:val="00591E3C"/>
    <w:rsid w:val="0059278C"/>
    <w:rsid w:val="00593784"/>
    <w:rsid w:val="00593C8F"/>
    <w:rsid w:val="00594FF8"/>
    <w:rsid w:val="00595090"/>
    <w:rsid w:val="00595851"/>
    <w:rsid w:val="005959CB"/>
    <w:rsid w:val="00595D04"/>
    <w:rsid w:val="00595FC6"/>
    <w:rsid w:val="00596119"/>
    <w:rsid w:val="00596722"/>
    <w:rsid w:val="00596C5B"/>
    <w:rsid w:val="00596EC8"/>
    <w:rsid w:val="005A0EA7"/>
    <w:rsid w:val="005A1082"/>
    <w:rsid w:val="005A10A8"/>
    <w:rsid w:val="005A1542"/>
    <w:rsid w:val="005A15CE"/>
    <w:rsid w:val="005A15EB"/>
    <w:rsid w:val="005A2101"/>
    <w:rsid w:val="005A32A4"/>
    <w:rsid w:val="005A3B37"/>
    <w:rsid w:val="005A3DD9"/>
    <w:rsid w:val="005A3ED8"/>
    <w:rsid w:val="005A43A6"/>
    <w:rsid w:val="005A46E9"/>
    <w:rsid w:val="005A4784"/>
    <w:rsid w:val="005A485B"/>
    <w:rsid w:val="005A4C48"/>
    <w:rsid w:val="005A5288"/>
    <w:rsid w:val="005A52E2"/>
    <w:rsid w:val="005A552A"/>
    <w:rsid w:val="005A5B49"/>
    <w:rsid w:val="005A5F08"/>
    <w:rsid w:val="005A63F3"/>
    <w:rsid w:val="005A65AC"/>
    <w:rsid w:val="005A66A7"/>
    <w:rsid w:val="005A66F6"/>
    <w:rsid w:val="005A69DF"/>
    <w:rsid w:val="005A7530"/>
    <w:rsid w:val="005B044E"/>
    <w:rsid w:val="005B066C"/>
    <w:rsid w:val="005B09C5"/>
    <w:rsid w:val="005B0BC2"/>
    <w:rsid w:val="005B16E5"/>
    <w:rsid w:val="005B22AA"/>
    <w:rsid w:val="005B2A3E"/>
    <w:rsid w:val="005B2CE1"/>
    <w:rsid w:val="005B2DA6"/>
    <w:rsid w:val="005B37FC"/>
    <w:rsid w:val="005B3B8D"/>
    <w:rsid w:val="005B3CD5"/>
    <w:rsid w:val="005B4602"/>
    <w:rsid w:val="005B4939"/>
    <w:rsid w:val="005B564F"/>
    <w:rsid w:val="005B6B99"/>
    <w:rsid w:val="005B6FA1"/>
    <w:rsid w:val="005B7195"/>
    <w:rsid w:val="005B7AF5"/>
    <w:rsid w:val="005B7EEC"/>
    <w:rsid w:val="005C0247"/>
    <w:rsid w:val="005C07B4"/>
    <w:rsid w:val="005C2182"/>
    <w:rsid w:val="005C2885"/>
    <w:rsid w:val="005C3446"/>
    <w:rsid w:val="005C3CA8"/>
    <w:rsid w:val="005C42EA"/>
    <w:rsid w:val="005C45B6"/>
    <w:rsid w:val="005C4663"/>
    <w:rsid w:val="005C485D"/>
    <w:rsid w:val="005C5CD4"/>
    <w:rsid w:val="005C62B3"/>
    <w:rsid w:val="005C6C65"/>
    <w:rsid w:val="005C7A4A"/>
    <w:rsid w:val="005C7BE9"/>
    <w:rsid w:val="005C7C10"/>
    <w:rsid w:val="005C7C8E"/>
    <w:rsid w:val="005D04E4"/>
    <w:rsid w:val="005D0558"/>
    <w:rsid w:val="005D05FE"/>
    <w:rsid w:val="005D0882"/>
    <w:rsid w:val="005D1530"/>
    <w:rsid w:val="005D2015"/>
    <w:rsid w:val="005D4212"/>
    <w:rsid w:val="005D4E64"/>
    <w:rsid w:val="005D5566"/>
    <w:rsid w:val="005D67CE"/>
    <w:rsid w:val="005D67D1"/>
    <w:rsid w:val="005D6B23"/>
    <w:rsid w:val="005D6F39"/>
    <w:rsid w:val="005D7DD9"/>
    <w:rsid w:val="005E02FF"/>
    <w:rsid w:val="005E036C"/>
    <w:rsid w:val="005E03C0"/>
    <w:rsid w:val="005E08D4"/>
    <w:rsid w:val="005E091B"/>
    <w:rsid w:val="005E0AF9"/>
    <w:rsid w:val="005E104D"/>
    <w:rsid w:val="005E10D6"/>
    <w:rsid w:val="005E151A"/>
    <w:rsid w:val="005E1ED9"/>
    <w:rsid w:val="005E2602"/>
    <w:rsid w:val="005E2EB4"/>
    <w:rsid w:val="005E3022"/>
    <w:rsid w:val="005E3B9A"/>
    <w:rsid w:val="005E4E2F"/>
    <w:rsid w:val="005E5AB9"/>
    <w:rsid w:val="005E6203"/>
    <w:rsid w:val="005E62CD"/>
    <w:rsid w:val="005E65D6"/>
    <w:rsid w:val="005E66FB"/>
    <w:rsid w:val="005E6B66"/>
    <w:rsid w:val="005E7628"/>
    <w:rsid w:val="005E7753"/>
    <w:rsid w:val="005E77D4"/>
    <w:rsid w:val="005E7FCF"/>
    <w:rsid w:val="005F09B2"/>
    <w:rsid w:val="005F1089"/>
    <w:rsid w:val="005F108D"/>
    <w:rsid w:val="005F1476"/>
    <w:rsid w:val="005F16A5"/>
    <w:rsid w:val="005F2803"/>
    <w:rsid w:val="005F2B57"/>
    <w:rsid w:val="005F2E3E"/>
    <w:rsid w:val="005F3920"/>
    <w:rsid w:val="005F3938"/>
    <w:rsid w:val="005F4033"/>
    <w:rsid w:val="005F47E6"/>
    <w:rsid w:val="005F4DD7"/>
    <w:rsid w:val="005F52D9"/>
    <w:rsid w:val="005F535D"/>
    <w:rsid w:val="005F53DB"/>
    <w:rsid w:val="005F5B08"/>
    <w:rsid w:val="005F5CB8"/>
    <w:rsid w:val="005F5DF9"/>
    <w:rsid w:val="005F5F66"/>
    <w:rsid w:val="005F6178"/>
    <w:rsid w:val="005F6808"/>
    <w:rsid w:val="005F6C29"/>
    <w:rsid w:val="005F6E9A"/>
    <w:rsid w:val="005F7207"/>
    <w:rsid w:val="005F7C3D"/>
    <w:rsid w:val="006003F1"/>
    <w:rsid w:val="0060107F"/>
    <w:rsid w:val="006011A2"/>
    <w:rsid w:val="00602C14"/>
    <w:rsid w:val="006034E4"/>
    <w:rsid w:val="0060350F"/>
    <w:rsid w:val="00603F0F"/>
    <w:rsid w:val="006047A8"/>
    <w:rsid w:val="00604E43"/>
    <w:rsid w:val="00604EC0"/>
    <w:rsid w:val="00605095"/>
    <w:rsid w:val="006057A8"/>
    <w:rsid w:val="00606584"/>
    <w:rsid w:val="00606671"/>
    <w:rsid w:val="006068DE"/>
    <w:rsid w:val="00606C27"/>
    <w:rsid w:val="00606C55"/>
    <w:rsid w:val="0060704F"/>
    <w:rsid w:val="00607CB4"/>
    <w:rsid w:val="00607D15"/>
    <w:rsid w:val="00607E43"/>
    <w:rsid w:val="006100C4"/>
    <w:rsid w:val="006103AA"/>
    <w:rsid w:val="00610FBE"/>
    <w:rsid w:val="00611CB1"/>
    <w:rsid w:val="00612645"/>
    <w:rsid w:val="00612F0B"/>
    <w:rsid w:val="00612F3D"/>
    <w:rsid w:val="00613383"/>
    <w:rsid w:val="006133BC"/>
    <w:rsid w:val="00613ADC"/>
    <w:rsid w:val="00613EFF"/>
    <w:rsid w:val="00616005"/>
    <w:rsid w:val="006164FA"/>
    <w:rsid w:val="00616506"/>
    <w:rsid w:val="00616BF9"/>
    <w:rsid w:val="00617544"/>
    <w:rsid w:val="00617BF1"/>
    <w:rsid w:val="00620564"/>
    <w:rsid w:val="00621B83"/>
    <w:rsid w:val="00621E9D"/>
    <w:rsid w:val="006220F4"/>
    <w:rsid w:val="0062212F"/>
    <w:rsid w:val="00622822"/>
    <w:rsid w:val="0062298C"/>
    <w:rsid w:val="00622DDC"/>
    <w:rsid w:val="00623C71"/>
    <w:rsid w:val="00623FA8"/>
    <w:rsid w:val="00625197"/>
    <w:rsid w:val="006255B0"/>
    <w:rsid w:val="00625615"/>
    <w:rsid w:val="00625B5E"/>
    <w:rsid w:val="006263DB"/>
    <w:rsid w:val="006265BC"/>
    <w:rsid w:val="006270EA"/>
    <w:rsid w:val="006272A1"/>
    <w:rsid w:val="00627B6F"/>
    <w:rsid w:val="00627CB6"/>
    <w:rsid w:val="00630653"/>
    <w:rsid w:val="006307FB"/>
    <w:rsid w:val="006316C0"/>
    <w:rsid w:val="00631A93"/>
    <w:rsid w:val="0063206B"/>
    <w:rsid w:val="00632752"/>
    <w:rsid w:val="00633CAB"/>
    <w:rsid w:val="00634E56"/>
    <w:rsid w:val="00635208"/>
    <w:rsid w:val="006353A5"/>
    <w:rsid w:val="00635DB0"/>
    <w:rsid w:val="006373A2"/>
    <w:rsid w:val="00637400"/>
    <w:rsid w:val="006375FD"/>
    <w:rsid w:val="00637833"/>
    <w:rsid w:val="00637D41"/>
    <w:rsid w:val="00637E26"/>
    <w:rsid w:val="0064042E"/>
    <w:rsid w:val="00640439"/>
    <w:rsid w:val="00640520"/>
    <w:rsid w:val="00640971"/>
    <w:rsid w:val="00640BF1"/>
    <w:rsid w:val="00641640"/>
    <w:rsid w:val="00642541"/>
    <w:rsid w:val="00642B09"/>
    <w:rsid w:val="006431C5"/>
    <w:rsid w:val="00644653"/>
    <w:rsid w:val="00644E7F"/>
    <w:rsid w:val="00645D6A"/>
    <w:rsid w:val="00645DD7"/>
    <w:rsid w:val="00647C69"/>
    <w:rsid w:val="00650258"/>
    <w:rsid w:val="006505F4"/>
    <w:rsid w:val="006506B5"/>
    <w:rsid w:val="00650AA7"/>
    <w:rsid w:val="00650C94"/>
    <w:rsid w:val="00650E5E"/>
    <w:rsid w:val="00650F65"/>
    <w:rsid w:val="00651ADE"/>
    <w:rsid w:val="00651BAD"/>
    <w:rsid w:val="00651CE3"/>
    <w:rsid w:val="00651EA0"/>
    <w:rsid w:val="00651F3E"/>
    <w:rsid w:val="00651FA5"/>
    <w:rsid w:val="00652000"/>
    <w:rsid w:val="0065207C"/>
    <w:rsid w:val="00652133"/>
    <w:rsid w:val="0065296C"/>
    <w:rsid w:val="006536B7"/>
    <w:rsid w:val="00654843"/>
    <w:rsid w:val="00654EC2"/>
    <w:rsid w:val="006551F9"/>
    <w:rsid w:val="00655359"/>
    <w:rsid w:val="00655485"/>
    <w:rsid w:val="00655CFB"/>
    <w:rsid w:val="00655DDC"/>
    <w:rsid w:val="006568D7"/>
    <w:rsid w:val="006569B0"/>
    <w:rsid w:val="00656EA8"/>
    <w:rsid w:val="006572E6"/>
    <w:rsid w:val="006578C4"/>
    <w:rsid w:val="00657A7B"/>
    <w:rsid w:val="00657A81"/>
    <w:rsid w:val="00657F6F"/>
    <w:rsid w:val="006606C4"/>
    <w:rsid w:val="00660E06"/>
    <w:rsid w:val="00661398"/>
    <w:rsid w:val="00661EF8"/>
    <w:rsid w:val="006622E1"/>
    <w:rsid w:val="00662F80"/>
    <w:rsid w:val="00663156"/>
    <w:rsid w:val="006637F0"/>
    <w:rsid w:val="00664459"/>
    <w:rsid w:val="00664D24"/>
    <w:rsid w:val="00665C67"/>
    <w:rsid w:val="006668A6"/>
    <w:rsid w:val="00666D5E"/>
    <w:rsid w:val="006672C4"/>
    <w:rsid w:val="00667690"/>
    <w:rsid w:val="00667B5D"/>
    <w:rsid w:val="00670B69"/>
    <w:rsid w:val="00670C14"/>
    <w:rsid w:val="006714D8"/>
    <w:rsid w:val="0067195B"/>
    <w:rsid w:val="00671D1A"/>
    <w:rsid w:val="0067235B"/>
    <w:rsid w:val="00672D8B"/>
    <w:rsid w:val="00672E47"/>
    <w:rsid w:val="0067323E"/>
    <w:rsid w:val="00674734"/>
    <w:rsid w:val="006749A8"/>
    <w:rsid w:val="00674DC5"/>
    <w:rsid w:val="00675527"/>
    <w:rsid w:val="00675C7D"/>
    <w:rsid w:val="00676837"/>
    <w:rsid w:val="00677218"/>
    <w:rsid w:val="006774D6"/>
    <w:rsid w:val="006800AC"/>
    <w:rsid w:val="006801FD"/>
    <w:rsid w:val="0068043F"/>
    <w:rsid w:val="0068098A"/>
    <w:rsid w:val="006809F9"/>
    <w:rsid w:val="00681212"/>
    <w:rsid w:val="00681B60"/>
    <w:rsid w:val="00681D54"/>
    <w:rsid w:val="0068241D"/>
    <w:rsid w:val="0068241E"/>
    <w:rsid w:val="00682529"/>
    <w:rsid w:val="006831D6"/>
    <w:rsid w:val="00683CE6"/>
    <w:rsid w:val="00683EF8"/>
    <w:rsid w:val="006840A5"/>
    <w:rsid w:val="006846BD"/>
    <w:rsid w:val="006847EF"/>
    <w:rsid w:val="006848FB"/>
    <w:rsid w:val="0068561E"/>
    <w:rsid w:val="00685F4D"/>
    <w:rsid w:val="0068630C"/>
    <w:rsid w:val="00686410"/>
    <w:rsid w:val="00687C57"/>
    <w:rsid w:val="006910B0"/>
    <w:rsid w:val="00691434"/>
    <w:rsid w:val="00691A09"/>
    <w:rsid w:val="00691AD7"/>
    <w:rsid w:val="0069233B"/>
    <w:rsid w:val="006923C4"/>
    <w:rsid w:val="00692812"/>
    <w:rsid w:val="00692933"/>
    <w:rsid w:val="00693781"/>
    <w:rsid w:val="00694029"/>
    <w:rsid w:val="00694749"/>
    <w:rsid w:val="00694A7C"/>
    <w:rsid w:val="00694DBC"/>
    <w:rsid w:val="0069510F"/>
    <w:rsid w:val="0069546F"/>
    <w:rsid w:val="006954B6"/>
    <w:rsid w:val="006955A4"/>
    <w:rsid w:val="006965FF"/>
    <w:rsid w:val="006968F0"/>
    <w:rsid w:val="006969EB"/>
    <w:rsid w:val="00697FD6"/>
    <w:rsid w:val="006A0954"/>
    <w:rsid w:val="006A09C6"/>
    <w:rsid w:val="006A0D6E"/>
    <w:rsid w:val="006A0EFE"/>
    <w:rsid w:val="006A1168"/>
    <w:rsid w:val="006A181F"/>
    <w:rsid w:val="006A1AF2"/>
    <w:rsid w:val="006A2296"/>
    <w:rsid w:val="006A2EB9"/>
    <w:rsid w:val="006A30CB"/>
    <w:rsid w:val="006A35C5"/>
    <w:rsid w:val="006A5007"/>
    <w:rsid w:val="006A5141"/>
    <w:rsid w:val="006A55E5"/>
    <w:rsid w:val="006A57EE"/>
    <w:rsid w:val="006A5921"/>
    <w:rsid w:val="006A6054"/>
    <w:rsid w:val="006A609B"/>
    <w:rsid w:val="006A6AD8"/>
    <w:rsid w:val="006A6BE4"/>
    <w:rsid w:val="006A71C7"/>
    <w:rsid w:val="006A7958"/>
    <w:rsid w:val="006A7E9F"/>
    <w:rsid w:val="006B0BDE"/>
    <w:rsid w:val="006B1F13"/>
    <w:rsid w:val="006B21AB"/>
    <w:rsid w:val="006B2436"/>
    <w:rsid w:val="006B2925"/>
    <w:rsid w:val="006B2D50"/>
    <w:rsid w:val="006B35FA"/>
    <w:rsid w:val="006B4AA1"/>
    <w:rsid w:val="006B5A7A"/>
    <w:rsid w:val="006B64E7"/>
    <w:rsid w:val="006B6739"/>
    <w:rsid w:val="006B6F02"/>
    <w:rsid w:val="006B70A3"/>
    <w:rsid w:val="006B7422"/>
    <w:rsid w:val="006B775F"/>
    <w:rsid w:val="006B7A5A"/>
    <w:rsid w:val="006B7E5F"/>
    <w:rsid w:val="006C036B"/>
    <w:rsid w:val="006C04EB"/>
    <w:rsid w:val="006C1008"/>
    <w:rsid w:val="006C125F"/>
    <w:rsid w:val="006C129C"/>
    <w:rsid w:val="006C1762"/>
    <w:rsid w:val="006C1EBB"/>
    <w:rsid w:val="006C207A"/>
    <w:rsid w:val="006C2A5D"/>
    <w:rsid w:val="006C2B14"/>
    <w:rsid w:val="006C3AD4"/>
    <w:rsid w:val="006C411E"/>
    <w:rsid w:val="006C41F4"/>
    <w:rsid w:val="006C455B"/>
    <w:rsid w:val="006C4587"/>
    <w:rsid w:val="006C6A68"/>
    <w:rsid w:val="006C6CB2"/>
    <w:rsid w:val="006C7275"/>
    <w:rsid w:val="006C74FF"/>
    <w:rsid w:val="006C76D1"/>
    <w:rsid w:val="006C77F4"/>
    <w:rsid w:val="006C7933"/>
    <w:rsid w:val="006C7DCC"/>
    <w:rsid w:val="006C7E5C"/>
    <w:rsid w:val="006C7EAD"/>
    <w:rsid w:val="006C7FB4"/>
    <w:rsid w:val="006D082B"/>
    <w:rsid w:val="006D08C5"/>
    <w:rsid w:val="006D0B69"/>
    <w:rsid w:val="006D0FCF"/>
    <w:rsid w:val="006D10C3"/>
    <w:rsid w:val="006D1535"/>
    <w:rsid w:val="006D2323"/>
    <w:rsid w:val="006D2932"/>
    <w:rsid w:val="006D2BA6"/>
    <w:rsid w:val="006D2E59"/>
    <w:rsid w:val="006D31A7"/>
    <w:rsid w:val="006D3630"/>
    <w:rsid w:val="006D393D"/>
    <w:rsid w:val="006D462D"/>
    <w:rsid w:val="006D4883"/>
    <w:rsid w:val="006D4A53"/>
    <w:rsid w:val="006D4A7C"/>
    <w:rsid w:val="006D4A7E"/>
    <w:rsid w:val="006D4AA3"/>
    <w:rsid w:val="006D4F7E"/>
    <w:rsid w:val="006D5BE4"/>
    <w:rsid w:val="006D5C64"/>
    <w:rsid w:val="006D5D35"/>
    <w:rsid w:val="006D5E33"/>
    <w:rsid w:val="006D7088"/>
    <w:rsid w:val="006D7406"/>
    <w:rsid w:val="006D78A1"/>
    <w:rsid w:val="006E156A"/>
    <w:rsid w:val="006E230D"/>
    <w:rsid w:val="006E2311"/>
    <w:rsid w:val="006E2C0E"/>
    <w:rsid w:val="006E2E2B"/>
    <w:rsid w:val="006E35DA"/>
    <w:rsid w:val="006E3E23"/>
    <w:rsid w:val="006E407D"/>
    <w:rsid w:val="006E40C6"/>
    <w:rsid w:val="006E44B1"/>
    <w:rsid w:val="006E53DD"/>
    <w:rsid w:val="006E5BCB"/>
    <w:rsid w:val="006E5D02"/>
    <w:rsid w:val="006E5D04"/>
    <w:rsid w:val="006E6A99"/>
    <w:rsid w:val="006E6D45"/>
    <w:rsid w:val="006E73B1"/>
    <w:rsid w:val="006E7C43"/>
    <w:rsid w:val="006F06CF"/>
    <w:rsid w:val="006F1841"/>
    <w:rsid w:val="006F1A74"/>
    <w:rsid w:val="006F1AD9"/>
    <w:rsid w:val="006F1BF3"/>
    <w:rsid w:val="006F1F36"/>
    <w:rsid w:val="006F2493"/>
    <w:rsid w:val="006F274C"/>
    <w:rsid w:val="006F28BF"/>
    <w:rsid w:val="006F2AE4"/>
    <w:rsid w:val="006F3075"/>
    <w:rsid w:val="006F3B38"/>
    <w:rsid w:val="006F4742"/>
    <w:rsid w:val="006F5BFA"/>
    <w:rsid w:val="006F62C5"/>
    <w:rsid w:val="006F64D3"/>
    <w:rsid w:val="006F682C"/>
    <w:rsid w:val="006F735D"/>
    <w:rsid w:val="006F73AA"/>
    <w:rsid w:val="006F7B15"/>
    <w:rsid w:val="00700329"/>
    <w:rsid w:val="00700954"/>
    <w:rsid w:val="00700E30"/>
    <w:rsid w:val="007018DD"/>
    <w:rsid w:val="00702221"/>
    <w:rsid w:val="0070282E"/>
    <w:rsid w:val="007029E6"/>
    <w:rsid w:val="00702A07"/>
    <w:rsid w:val="0070362B"/>
    <w:rsid w:val="00704A72"/>
    <w:rsid w:val="00705638"/>
    <w:rsid w:val="00705CAE"/>
    <w:rsid w:val="00705FD5"/>
    <w:rsid w:val="00706464"/>
    <w:rsid w:val="00707305"/>
    <w:rsid w:val="007074E1"/>
    <w:rsid w:val="00707833"/>
    <w:rsid w:val="00710321"/>
    <w:rsid w:val="00710A09"/>
    <w:rsid w:val="00710BA0"/>
    <w:rsid w:val="0071131B"/>
    <w:rsid w:val="007115AE"/>
    <w:rsid w:val="00711C8C"/>
    <w:rsid w:val="0071209D"/>
    <w:rsid w:val="0071256F"/>
    <w:rsid w:val="00712A64"/>
    <w:rsid w:val="00712A6B"/>
    <w:rsid w:val="00712FB7"/>
    <w:rsid w:val="00713754"/>
    <w:rsid w:val="00713ADC"/>
    <w:rsid w:val="00713CB3"/>
    <w:rsid w:val="0071410E"/>
    <w:rsid w:val="007146A5"/>
    <w:rsid w:val="00714895"/>
    <w:rsid w:val="00714AA2"/>
    <w:rsid w:val="00715405"/>
    <w:rsid w:val="0071648B"/>
    <w:rsid w:val="0071724F"/>
    <w:rsid w:val="007172B4"/>
    <w:rsid w:val="00717467"/>
    <w:rsid w:val="00717A50"/>
    <w:rsid w:val="00720294"/>
    <w:rsid w:val="0072065D"/>
    <w:rsid w:val="00720CA0"/>
    <w:rsid w:val="00720ED6"/>
    <w:rsid w:val="0072173F"/>
    <w:rsid w:val="0072192C"/>
    <w:rsid w:val="00722A44"/>
    <w:rsid w:val="00722C92"/>
    <w:rsid w:val="00723A7E"/>
    <w:rsid w:val="00723B80"/>
    <w:rsid w:val="00723F2F"/>
    <w:rsid w:val="00723F47"/>
    <w:rsid w:val="007243B7"/>
    <w:rsid w:val="007245A4"/>
    <w:rsid w:val="00724865"/>
    <w:rsid w:val="00725015"/>
    <w:rsid w:val="0072554F"/>
    <w:rsid w:val="00725D61"/>
    <w:rsid w:val="00726563"/>
    <w:rsid w:val="00726B65"/>
    <w:rsid w:val="00727147"/>
    <w:rsid w:val="007271E8"/>
    <w:rsid w:val="0072723A"/>
    <w:rsid w:val="00727288"/>
    <w:rsid w:val="0073070C"/>
    <w:rsid w:val="007308B9"/>
    <w:rsid w:val="007317CC"/>
    <w:rsid w:val="00731E37"/>
    <w:rsid w:val="00731F6E"/>
    <w:rsid w:val="00732281"/>
    <w:rsid w:val="00732E3A"/>
    <w:rsid w:val="00733354"/>
    <w:rsid w:val="00733889"/>
    <w:rsid w:val="0073448A"/>
    <w:rsid w:val="00735E36"/>
    <w:rsid w:val="00736CDA"/>
    <w:rsid w:val="007379A1"/>
    <w:rsid w:val="007408E4"/>
    <w:rsid w:val="00740CE9"/>
    <w:rsid w:val="0074132A"/>
    <w:rsid w:val="00741ED4"/>
    <w:rsid w:val="007427CF"/>
    <w:rsid w:val="00742A71"/>
    <w:rsid w:val="00743340"/>
    <w:rsid w:val="00743811"/>
    <w:rsid w:val="00744B96"/>
    <w:rsid w:val="00744BCF"/>
    <w:rsid w:val="00744CE2"/>
    <w:rsid w:val="00744F52"/>
    <w:rsid w:val="007457E0"/>
    <w:rsid w:val="00746F68"/>
    <w:rsid w:val="007471B0"/>
    <w:rsid w:val="00747361"/>
    <w:rsid w:val="00747BBC"/>
    <w:rsid w:val="00750207"/>
    <w:rsid w:val="007503A3"/>
    <w:rsid w:val="00751122"/>
    <w:rsid w:val="00752476"/>
    <w:rsid w:val="007527F4"/>
    <w:rsid w:val="00752CA6"/>
    <w:rsid w:val="00753ADD"/>
    <w:rsid w:val="00753EE9"/>
    <w:rsid w:val="00753FDD"/>
    <w:rsid w:val="00754F09"/>
    <w:rsid w:val="00754FB0"/>
    <w:rsid w:val="007552C8"/>
    <w:rsid w:val="007557F2"/>
    <w:rsid w:val="00756582"/>
    <w:rsid w:val="0075692C"/>
    <w:rsid w:val="00756EE2"/>
    <w:rsid w:val="00757CD0"/>
    <w:rsid w:val="00757CD8"/>
    <w:rsid w:val="007602C0"/>
    <w:rsid w:val="0076053F"/>
    <w:rsid w:val="007607AB"/>
    <w:rsid w:val="00760C30"/>
    <w:rsid w:val="00760C62"/>
    <w:rsid w:val="00760D84"/>
    <w:rsid w:val="00760FA1"/>
    <w:rsid w:val="0076132E"/>
    <w:rsid w:val="00761779"/>
    <w:rsid w:val="007619DA"/>
    <w:rsid w:val="00761D54"/>
    <w:rsid w:val="007625D1"/>
    <w:rsid w:val="00762C1E"/>
    <w:rsid w:val="00762C6F"/>
    <w:rsid w:val="00763A36"/>
    <w:rsid w:val="00763C0E"/>
    <w:rsid w:val="00763DD8"/>
    <w:rsid w:val="00764DEB"/>
    <w:rsid w:val="0076571A"/>
    <w:rsid w:val="00766907"/>
    <w:rsid w:val="00766B41"/>
    <w:rsid w:val="00766D28"/>
    <w:rsid w:val="00767391"/>
    <w:rsid w:val="007674BC"/>
    <w:rsid w:val="0076795D"/>
    <w:rsid w:val="00770062"/>
    <w:rsid w:val="00770853"/>
    <w:rsid w:val="00770946"/>
    <w:rsid w:val="00771770"/>
    <w:rsid w:val="0077280F"/>
    <w:rsid w:val="0077298E"/>
    <w:rsid w:val="00772E20"/>
    <w:rsid w:val="00773908"/>
    <w:rsid w:val="00773A46"/>
    <w:rsid w:val="00773D22"/>
    <w:rsid w:val="007740F2"/>
    <w:rsid w:val="00774C27"/>
    <w:rsid w:val="00774D55"/>
    <w:rsid w:val="00774FB8"/>
    <w:rsid w:val="00775870"/>
    <w:rsid w:val="00775DE2"/>
    <w:rsid w:val="00775FCC"/>
    <w:rsid w:val="00776A61"/>
    <w:rsid w:val="007771E8"/>
    <w:rsid w:val="00777571"/>
    <w:rsid w:val="00777692"/>
    <w:rsid w:val="007778E8"/>
    <w:rsid w:val="00777E4A"/>
    <w:rsid w:val="007803A8"/>
    <w:rsid w:val="00780910"/>
    <w:rsid w:val="0078131B"/>
    <w:rsid w:val="0078152E"/>
    <w:rsid w:val="0078167D"/>
    <w:rsid w:val="00781DD1"/>
    <w:rsid w:val="007828F9"/>
    <w:rsid w:val="007833B9"/>
    <w:rsid w:val="00783C8A"/>
    <w:rsid w:val="00783D06"/>
    <w:rsid w:val="007849A0"/>
    <w:rsid w:val="00784C25"/>
    <w:rsid w:val="00784F43"/>
    <w:rsid w:val="00785681"/>
    <w:rsid w:val="00785ADF"/>
    <w:rsid w:val="00785B72"/>
    <w:rsid w:val="0078614F"/>
    <w:rsid w:val="00786458"/>
    <w:rsid w:val="00786C4B"/>
    <w:rsid w:val="00787EA2"/>
    <w:rsid w:val="00790AE7"/>
    <w:rsid w:val="00790E3C"/>
    <w:rsid w:val="00791A6B"/>
    <w:rsid w:val="00791E68"/>
    <w:rsid w:val="0079228D"/>
    <w:rsid w:val="007923C5"/>
    <w:rsid w:val="00792CB6"/>
    <w:rsid w:val="0079331E"/>
    <w:rsid w:val="00793B7E"/>
    <w:rsid w:val="00793D1F"/>
    <w:rsid w:val="00794FC0"/>
    <w:rsid w:val="00795285"/>
    <w:rsid w:val="00795AAA"/>
    <w:rsid w:val="007962A8"/>
    <w:rsid w:val="007967B6"/>
    <w:rsid w:val="0079704B"/>
    <w:rsid w:val="00797AC4"/>
    <w:rsid w:val="00797E18"/>
    <w:rsid w:val="007A1012"/>
    <w:rsid w:val="007A14CC"/>
    <w:rsid w:val="007A1A16"/>
    <w:rsid w:val="007A1F27"/>
    <w:rsid w:val="007A2108"/>
    <w:rsid w:val="007A2B89"/>
    <w:rsid w:val="007A2D81"/>
    <w:rsid w:val="007A2E48"/>
    <w:rsid w:val="007A4390"/>
    <w:rsid w:val="007A4DE4"/>
    <w:rsid w:val="007A4E54"/>
    <w:rsid w:val="007A4F0D"/>
    <w:rsid w:val="007A589F"/>
    <w:rsid w:val="007A5A89"/>
    <w:rsid w:val="007A5DCA"/>
    <w:rsid w:val="007A5F80"/>
    <w:rsid w:val="007A670D"/>
    <w:rsid w:val="007A68ED"/>
    <w:rsid w:val="007A725C"/>
    <w:rsid w:val="007A7712"/>
    <w:rsid w:val="007A7B4C"/>
    <w:rsid w:val="007B0142"/>
    <w:rsid w:val="007B065D"/>
    <w:rsid w:val="007B07C1"/>
    <w:rsid w:val="007B0989"/>
    <w:rsid w:val="007B16C3"/>
    <w:rsid w:val="007B18A8"/>
    <w:rsid w:val="007B2359"/>
    <w:rsid w:val="007B3411"/>
    <w:rsid w:val="007B3B86"/>
    <w:rsid w:val="007B53E5"/>
    <w:rsid w:val="007B57C8"/>
    <w:rsid w:val="007B5915"/>
    <w:rsid w:val="007B6BA8"/>
    <w:rsid w:val="007B6CAC"/>
    <w:rsid w:val="007B6EBB"/>
    <w:rsid w:val="007B6FE4"/>
    <w:rsid w:val="007B7338"/>
    <w:rsid w:val="007B77F4"/>
    <w:rsid w:val="007B787D"/>
    <w:rsid w:val="007B78E6"/>
    <w:rsid w:val="007B7A4C"/>
    <w:rsid w:val="007C07AA"/>
    <w:rsid w:val="007C0F1A"/>
    <w:rsid w:val="007C105A"/>
    <w:rsid w:val="007C1302"/>
    <w:rsid w:val="007C18B4"/>
    <w:rsid w:val="007C1A9E"/>
    <w:rsid w:val="007C1C15"/>
    <w:rsid w:val="007C1F5E"/>
    <w:rsid w:val="007C21D8"/>
    <w:rsid w:val="007C2351"/>
    <w:rsid w:val="007C25BC"/>
    <w:rsid w:val="007C369C"/>
    <w:rsid w:val="007C3AEA"/>
    <w:rsid w:val="007C3B66"/>
    <w:rsid w:val="007C4172"/>
    <w:rsid w:val="007C4A71"/>
    <w:rsid w:val="007C59FE"/>
    <w:rsid w:val="007C5D45"/>
    <w:rsid w:val="007C5D54"/>
    <w:rsid w:val="007C5F5F"/>
    <w:rsid w:val="007C6012"/>
    <w:rsid w:val="007C6204"/>
    <w:rsid w:val="007C6A02"/>
    <w:rsid w:val="007C6BB7"/>
    <w:rsid w:val="007C7843"/>
    <w:rsid w:val="007C7982"/>
    <w:rsid w:val="007C7B3D"/>
    <w:rsid w:val="007D040D"/>
    <w:rsid w:val="007D13E9"/>
    <w:rsid w:val="007D1E88"/>
    <w:rsid w:val="007D1F53"/>
    <w:rsid w:val="007D2D09"/>
    <w:rsid w:val="007D301B"/>
    <w:rsid w:val="007D342D"/>
    <w:rsid w:val="007D34E3"/>
    <w:rsid w:val="007D37C8"/>
    <w:rsid w:val="007D3B0D"/>
    <w:rsid w:val="007D467E"/>
    <w:rsid w:val="007D46A8"/>
    <w:rsid w:val="007D46C6"/>
    <w:rsid w:val="007D4906"/>
    <w:rsid w:val="007D4F10"/>
    <w:rsid w:val="007D50AA"/>
    <w:rsid w:val="007D54E1"/>
    <w:rsid w:val="007D5824"/>
    <w:rsid w:val="007D59F3"/>
    <w:rsid w:val="007D5E75"/>
    <w:rsid w:val="007D675C"/>
    <w:rsid w:val="007D68E0"/>
    <w:rsid w:val="007D7657"/>
    <w:rsid w:val="007D76CF"/>
    <w:rsid w:val="007D776E"/>
    <w:rsid w:val="007D788F"/>
    <w:rsid w:val="007D7B52"/>
    <w:rsid w:val="007E0660"/>
    <w:rsid w:val="007E0C46"/>
    <w:rsid w:val="007E12F7"/>
    <w:rsid w:val="007E33D4"/>
    <w:rsid w:val="007E3607"/>
    <w:rsid w:val="007E3973"/>
    <w:rsid w:val="007E3D48"/>
    <w:rsid w:val="007E41B4"/>
    <w:rsid w:val="007E4865"/>
    <w:rsid w:val="007E4B9C"/>
    <w:rsid w:val="007E4EC2"/>
    <w:rsid w:val="007E5412"/>
    <w:rsid w:val="007E592B"/>
    <w:rsid w:val="007E5BD1"/>
    <w:rsid w:val="007E5C70"/>
    <w:rsid w:val="007E5D0F"/>
    <w:rsid w:val="007E603A"/>
    <w:rsid w:val="007E6B64"/>
    <w:rsid w:val="007E736E"/>
    <w:rsid w:val="007E75C9"/>
    <w:rsid w:val="007F1D83"/>
    <w:rsid w:val="007F1E02"/>
    <w:rsid w:val="007F2D34"/>
    <w:rsid w:val="007F2D86"/>
    <w:rsid w:val="007F2F2C"/>
    <w:rsid w:val="007F2F45"/>
    <w:rsid w:val="007F3893"/>
    <w:rsid w:val="007F41BB"/>
    <w:rsid w:val="007F45A7"/>
    <w:rsid w:val="007F49AF"/>
    <w:rsid w:val="007F4B53"/>
    <w:rsid w:val="007F5450"/>
    <w:rsid w:val="007F624B"/>
    <w:rsid w:val="007F6A63"/>
    <w:rsid w:val="007F6CFE"/>
    <w:rsid w:val="007F6F91"/>
    <w:rsid w:val="007F7046"/>
    <w:rsid w:val="0080000F"/>
    <w:rsid w:val="0080037E"/>
    <w:rsid w:val="00800DE3"/>
    <w:rsid w:val="00800FD9"/>
    <w:rsid w:val="008012B8"/>
    <w:rsid w:val="00801447"/>
    <w:rsid w:val="00801547"/>
    <w:rsid w:val="00801AB6"/>
    <w:rsid w:val="0080217D"/>
    <w:rsid w:val="00802CF9"/>
    <w:rsid w:val="008030D6"/>
    <w:rsid w:val="008039B9"/>
    <w:rsid w:val="00803B3E"/>
    <w:rsid w:val="00803F00"/>
    <w:rsid w:val="0080405D"/>
    <w:rsid w:val="008046B0"/>
    <w:rsid w:val="00804875"/>
    <w:rsid w:val="008051A6"/>
    <w:rsid w:val="008052AD"/>
    <w:rsid w:val="00805309"/>
    <w:rsid w:val="0080541E"/>
    <w:rsid w:val="00805AEE"/>
    <w:rsid w:val="00805BFA"/>
    <w:rsid w:val="0080646D"/>
    <w:rsid w:val="0080654E"/>
    <w:rsid w:val="00806A8F"/>
    <w:rsid w:val="00806E80"/>
    <w:rsid w:val="00806EB0"/>
    <w:rsid w:val="00806F18"/>
    <w:rsid w:val="0080774F"/>
    <w:rsid w:val="00807B0F"/>
    <w:rsid w:val="0081074A"/>
    <w:rsid w:val="00811EE7"/>
    <w:rsid w:val="00811EF4"/>
    <w:rsid w:val="00812108"/>
    <w:rsid w:val="00812642"/>
    <w:rsid w:val="00813641"/>
    <w:rsid w:val="0081382B"/>
    <w:rsid w:val="00813E48"/>
    <w:rsid w:val="00814112"/>
    <w:rsid w:val="008165F4"/>
    <w:rsid w:val="00816666"/>
    <w:rsid w:val="0081680D"/>
    <w:rsid w:val="00817BB1"/>
    <w:rsid w:val="00817C0D"/>
    <w:rsid w:val="00820AD5"/>
    <w:rsid w:val="00820D9C"/>
    <w:rsid w:val="00820F80"/>
    <w:rsid w:val="0082184F"/>
    <w:rsid w:val="0082269A"/>
    <w:rsid w:val="008228E2"/>
    <w:rsid w:val="008231EB"/>
    <w:rsid w:val="008235C4"/>
    <w:rsid w:val="0082362D"/>
    <w:rsid w:val="00824100"/>
    <w:rsid w:val="00824883"/>
    <w:rsid w:val="00824E44"/>
    <w:rsid w:val="00826224"/>
    <w:rsid w:val="008262E9"/>
    <w:rsid w:val="008269B7"/>
    <w:rsid w:val="00826C5F"/>
    <w:rsid w:val="008276A4"/>
    <w:rsid w:val="00827944"/>
    <w:rsid w:val="00827D6B"/>
    <w:rsid w:val="00827D7B"/>
    <w:rsid w:val="00830565"/>
    <w:rsid w:val="00830BB6"/>
    <w:rsid w:val="008319E1"/>
    <w:rsid w:val="00831AA5"/>
    <w:rsid w:val="00831AC1"/>
    <w:rsid w:val="00832186"/>
    <w:rsid w:val="0083277F"/>
    <w:rsid w:val="0083304B"/>
    <w:rsid w:val="008346CA"/>
    <w:rsid w:val="00835DCD"/>
    <w:rsid w:val="008361C6"/>
    <w:rsid w:val="008363DB"/>
    <w:rsid w:val="008367D2"/>
    <w:rsid w:val="00837F87"/>
    <w:rsid w:val="00840FD9"/>
    <w:rsid w:val="008415F0"/>
    <w:rsid w:val="0084195F"/>
    <w:rsid w:val="00841F5F"/>
    <w:rsid w:val="00841F9D"/>
    <w:rsid w:val="00842132"/>
    <w:rsid w:val="0084261B"/>
    <w:rsid w:val="00842636"/>
    <w:rsid w:val="0084272B"/>
    <w:rsid w:val="00842AC3"/>
    <w:rsid w:val="00842F65"/>
    <w:rsid w:val="00843A40"/>
    <w:rsid w:val="0084416A"/>
    <w:rsid w:val="00844425"/>
    <w:rsid w:val="00844EB5"/>
    <w:rsid w:val="00845CB8"/>
    <w:rsid w:val="0084625C"/>
    <w:rsid w:val="00846BA0"/>
    <w:rsid w:val="008473B9"/>
    <w:rsid w:val="00847553"/>
    <w:rsid w:val="008478A8"/>
    <w:rsid w:val="00847DE4"/>
    <w:rsid w:val="00847E63"/>
    <w:rsid w:val="00847EA2"/>
    <w:rsid w:val="0085031F"/>
    <w:rsid w:val="0085061F"/>
    <w:rsid w:val="008506BE"/>
    <w:rsid w:val="008508CE"/>
    <w:rsid w:val="008516CF"/>
    <w:rsid w:val="0085182C"/>
    <w:rsid w:val="00851C69"/>
    <w:rsid w:val="00852241"/>
    <w:rsid w:val="008532CB"/>
    <w:rsid w:val="0085378D"/>
    <w:rsid w:val="008538E9"/>
    <w:rsid w:val="00853EBE"/>
    <w:rsid w:val="008546D4"/>
    <w:rsid w:val="0085479E"/>
    <w:rsid w:val="0085561B"/>
    <w:rsid w:val="00855BC5"/>
    <w:rsid w:val="008564A4"/>
    <w:rsid w:val="00856617"/>
    <w:rsid w:val="00856756"/>
    <w:rsid w:val="00857449"/>
    <w:rsid w:val="008579BA"/>
    <w:rsid w:val="008601F6"/>
    <w:rsid w:val="008616AA"/>
    <w:rsid w:val="00861F77"/>
    <w:rsid w:val="0086306E"/>
    <w:rsid w:val="00864048"/>
    <w:rsid w:val="008643CA"/>
    <w:rsid w:val="00864536"/>
    <w:rsid w:val="008659AC"/>
    <w:rsid w:val="00865D10"/>
    <w:rsid w:val="00866161"/>
    <w:rsid w:val="00870293"/>
    <w:rsid w:val="0087135D"/>
    <w:rsid w:val="00871AA5"/>
    <w:rsid w:val="00871B25"/>
    <w:rsid w:val="00873403"/>
    <w:rsid w:val="008736E4"/>
    <w:rsid w:val="00873CA9"/>
    <w:rsid w:val="00873FCB"/>
    <w:rsid w:val="0087582D"/>
    <w:rsid w:val="00876341"/>
    <w:rsid w:val="00876604"/>
    <w:rsid w:val="00876DF7"/>
    <w:rsid w:val="00876F0E"/>
    <w:rsid w:val="0087751D"/>
    <w:rsid w:val="0087786A"/>
    <w:rsid w:val="0088022B"/>
    <w:rsid w:val="00880951"/>
    <w:rsid w:val="008809BC"/>
    <w:rsid w:val="008813DC"/>
    <w:rsid w:val="0088163E"/>
    <w:rsid w:val="0088206B"/>
    <w:rsid w:val="008827B6"/>
    <w:rsid w:val="00882B72"/>
    <w:rsid w:val="00882CC0"/>
    <w:rsid w:val="00882DE7"/>
    <w:rsid w:val="00882E69"/>
    <w:rsid w:val="0088307A"/>
    <w:rsid w:val="00883426"/>
    <w:rsid w:val="00883817"/>
    <w:rsid w:val="00883F69"/>
    <w:rsid w:val="0088406E"/>
    <w:rsid w:val="008840F8"/>
    <w:rsid w:val="0088486B"/>
    <w:rsid w:val="00884BD5"/>
    <w:rsid w:val="00885F38"/>
    <w:rsid w:val="00886534"/>
    <w:rsid w:val="00886987"/>
    <w:rsid w:val="00887375"/>
    <w:rsid w:val="00887EF7"/>
    <w:rsid w:val="00890A1B"/>
    <w:rsid w:val="00890D48"/>
    <w:rsid w:val="00891B61"/>
    <w:rsid w:val="008920CF"/>
    <w:rsid w:val="00892D50"/>
    <w:rsid w:val="00893542"/>
    <w:rsid w:val="00893568"/>
    <w:rsid w:val="008937CA"/>
    <w:rsid w:val="00893D76"/>
    <w:rsid w:val="00894088"/>
    <w:rsid w:val="00894447"/>
    <w:rsid w:val="008944CC"/>
    <w:rsid w:val="00894E63"/>
    <w:rsid w:val="00894FCD"/>
    <w:rsid w:val="008950B1"/>
    <w:rsid w:val="008956BB"/>
    <w:rsid w:val="008960C4"/>
    <w:rsid w:val="008975DE"/>
    <w:rsid w:val="00897788"/>
    <w:rsid w:val="008978E2"/>
    <w:rsid w:val="00897DAF"/>
    <w:rsid w:val="00897DB5"/>
    <w:rsid w:val="008A0555"/>
    <w:rsid w:val="008A19CF"/>
    <w:rsid w:val="008A27CA"/>
    <w:rsid w:val="008A3292"/>
    <w:rsid w:val="008A39BD"/>
    <w:rsid w:val="008A3D24"/>
    <w:rsid w:val="008A4379"/>
    <w:rsid w:val="008A4541"/>
    <w:rsid w:val="008A5214"/>
    <w:rsid w:val="008A52E0"/>
    <w:rsid w:val="008A5A25"/>
    <w:rsid w:val="008A5F52"/>
    <w:rsid w:val="008A6082"/>
    <w:rsid w:val="008A617F"/>
    <w:rsid w:val="008A6BB7"/>
    <w:rsid w:val="008A7292"/>
    <w:rsid w:val="008A72C3"/>
    <w:rsid w:val="008A749E"/>
    <w:rsid w:val="008A76FC"/>
    <w:rsid w:val="008A7849"/>
    <w:rsid w:val="008A7BA3"/>
    <w:rsid w:val="008B01C8"/>
    <w:rsid w:val="008B0A83"/>
    <w:rsid w:val="008B0AC5"/>
    <w:rsid w:val="008B10DE"/>
    <w:rsid w:val="008B1286"/>
    <w:rsid w:val="008B1B97"/>
    <w:rsid w:val="008B1D49"/>
    <w:rsid w:val="008B2F6D"/>
    <w:rsid w:val="008B358D"/>
    <w:rsid w:val="008B35F6"/>
    <w:rsid w:val="008B3864"/>
    <w:rsid w:val="008B4282"/>
    <w:rsid w:val="008B46A0"/>
    <w:rsid w:val="008B4967"/>
    <w:rsid w:val="008B5C6F"/>
    <w:rsid w:val="008B616D"/>
    <w:rsid w:val="008B6992"/>
    <w:rsid w:val="008B69BB"/>
    <w:rsid w:val="008B7766"/>
    <w:rsid w:val="008C0FB5"/>
    <w:rsid w:val="008C15BF"/>
    <w:rsid w:val="008C16E9"/>
    <w:rsid w:val="008C2492"/>
    <w:rsid w:val="008C295F"/>
    <w:rsid w:val="008C2E05"/>
    <w:rsid w:val="008C3013"/>
    <w:rsid w:val="008C3171"/>
    <w:rsid w:val="008C326E"/>
    <w:rsid w:val="008C3585"/>
    <w:rsid w:val="008C3CA0"/>
    <w:rsid w:val="008C3E83"/>
    <w:rsid w:val="008C431B"/>
    <w:rsid w:val="008C4935"/>
    <w:rsid w:val="008C51A1"/>
    <w:rsid w:val="008C561A"/>
    <w:rsid w:val="008C5865"/>
    <w:rsid w:val="008C6F79"/>
    <w:rsid w:val="008C727B"/>
    <w:rsid w:val="008C7CC4"/>
    <w:rsid w:val="008D00E9"/>
    <w:rsid w:val="008D032E"/>
    <w:rsid w:val="008D1535"/>
    <w:rsid w:val="008D1620"/>
    <w:rsid w:val="008D1811"/>
    <w:rsid w:val="008D271E"/>
    <w:rsid w:val="008D28DC"/>
    <w:rsid w:val="008D2FC6"/>
    <w:rsid w:val="008D324B"/>
    <w:rsid w:val="008D3E35"/>
    <w:rsid w:val="008D4693"/>
    <w:rsid w:val="008D494A"/>
    <w:rsid w:val="008D4B5A"/>
    <w:rsid w:val="008D5140"/>
    <w:rsid w:val="008D54C7"/>
    <w:rsid w:val="008D6491"/>
    <w:rsid w:val="008D6B45"/>
    <w:rsid w:val="008D6FA3"/>
    <w:rsid w:val="008D7F64"/>
    <w:rsid w:val="008E04A8"/>
    <w:rsid w:val="008E0952"/>
    <w:rsid w:val="008E14EA"/>
    <w:rsid w:val="008E161E"/>
    <w:rsid w:val="008E1C0F"/>
    <w:rsid w:val="008E2193"/>
    <w:rsid w:val="008E2E22"/>
    <w:rsid w:val="008E3A57"/>
    <w:rsid w:val="008E3BA2"/>
    <w:rsid w:val="008E4AA9"/>
    <w:rsid w:val="008E4C4A"/>
    <w:rsid w:val="008E5036"/>
    <w:rsid w:val="008E5288"/>
    <w:rsid w:val="008E5CA1"/>
    <w:rsid w:val="008E664B"/>
    <w:rsid w:val="008E6652"/>
    <w:rsid w:val="008E6DD6"/>
    <w:rsid w:val="008E6EC7"/>
    <w:rsid w:val="008E701F"/>
    <w:rsid w:val="008E715D"/>
    <w:rsid w:val="008E721A"/>
    <w:rsid w:val="008E7461"/>
    <w:rsid w:val="008E7FB5"/>
    <w:rsid w:val="008F004B"/>
    <w:rsid w:val="008F08EB"/>
    <w:rsid w:val="008F0FF9"/>
    <w:rsid w:val="008F139B"/>
    <w:rsid w:val="008F162A"/>
    <w:rsid w:val="008F1BE6"/>
    <w:rsid w:val="008F20CD"/>
    <w:rsid w:val="008F242A"/>
    <w:rsid w:val="008F24A2"/>
    <w:rsid w:val="008F389F"/>
    <w:rsid w:val="008F3CB3"/>
    <w:rsid w:val="008F3F48"/>
    <w:rsid w:val="008F42C5"/>
    <w:rsid w:val="008F4EDA"/>
    <w:rsid w:val="008F50BD"/>
    <w:rsid w:val="008F56CB"/>
    <w:rsid w:val="008F6A0B"/>
    <w:rsid w:val="008F6BDB"/>
    <w:rsid w:val="008F6F69"/>
    <w:rsid w:val="008F776B"/>
    <w:rsid w:val="00900783"/>
    <w:rsid w:val="009015A5"/>
    <w:rsid w:val="00901E66"/>
    <w:rsid w:val="009025DF"/>
    <w:rsid w:val="00902F06"/>
    <w:rsid w:val="00903292"/>
    <w:rsid w:val="0090367C"/>
    <w:rsid w:val="00904981"/>
    <w:rsid w:val="00905887"/>
    <w:rsid w:val="00905BA4"/>
    <w:rsid w:val="00905CC7"/>
    <w:rsid w:val="00906D87"/>
    <w:rsid w:val="00906EB4"/>
    <w:rsid w:val="00906F12"/>
    <w:rsid w:val="00906F78"/>
    <w:rsid w:val="009074D6"/>
    <w:rsid w:val="00907A83"/>
    <w:rsid w:val="0091121A"/>
    <w:rsid w:val="009112A7"/>
    <w:rsid w:val="00911A45"/>
    <w:rsid w:val="009120DE"/>
    <w:rsid w:val="009121BE"/>
    <w:rsid w:val="00912807"/>
    <w:rsid w:val="00912999"/>
    <w:rsid w:val="00912ACB"/>
    <w:rsid w:val="00912ADC"/>
    <w:rsid w:val="00912B9F"/>
    <w:rsid w:val="009132DE"/>
    <w:rsid w:val="009134D6"/>
    <w:rsid w:val="009134E7"/>
    <w:rsid w:val="0091400D"/>
    <w:rsid w:val="0091432D"/>
    <w:rsid w:val="009152E7"/>
    <w:rsid w:val="00915666"/>
    <w:rsid w:val="009156C3"/>
    <w:rsid w:val="00916B6B"/>
    <w:rsid w:val="00916D18"/>
    <w:rsid w:val="009201FF"/>
    <w:rsid w:val="00920627"/>
    <w:rsid w:val="00920C4A"/>
    <w:rsid w:val="0092105F"/>
    <w:rsid w:val="00921CD3"/>
    <w:rsid w:val="00922C43"/>
    <w:rsid w:val="009230AB"/>
    <w:rsid w:val="009234AD"/>
    <w:rsid w:val="0092420A"/>
    <w:rsid w:val="00925039"/>
    <w:rsid w:val="00925096"/>
    <w:rsid w:val="00925374"/>
    <w:rsid w:val="00925574"/>
    <w:rsid w:val="009261AE"/>
    <w:rsid w:val="0092664A"/>
    <w:rsid w:val="00926820"/>
    <w:rsid w:val="00926A35"/>
    <w:rsid w:val="00926E2D"/>
    <w:rsid w:val="009271AA"/>
    <w:rsid w:val="00927990"/>
    <w:rsid w:val="00931529"/>
    <w:rsid w:val="00931BDD"/>
    <w:rsid w:val="009327BF"/>
    <w:rsid w:val="00932BEC"/>
    <w:rsid w:val="00933422"/>
    <w:rsid w:val="0093369D"/>
    <w:rsid w:val="00934072"/>
    <w:rsid w:val="00934216"/>
    <w:rsid w:val="00934322"/>
    <w:rsid w:val="009351E0"/>
    <w:rsid w:val="00935534"/>
    <w:rsid w:val="00935AA5"/>
    <w:rsid w:val="00935B59"/>
    <w:rsid w:val="00935BC2"/>
    <w:rsid w:val="0093667A"/>
    <w:rsid w:val="00936747"/>
    <w:rsid w:val="0093772D"/>
    <w:rsid w:val="00937F89"/>
    <w:rsid w:val="0094086C"/>
    <w:rsid w:val="00940ED3"/>
    <w:rsid w:val="0094170E"/>
    <w:rsid w:val="009433D6"/>
    <w:rsid w:val="009437D1"/>
    <w:rsid w:val="00943CDD"/>
    <w:rsid w:val="009445B2"/>
    <w:rsid w:val="009448B7"/>
    <w:rsid w:val="00944E6A"/>
    <w:rsid w:val="00944FE5"/>
    <w:rsid w:val="00945288"/>
    <w:rsid w:val="00945C84"/>
    <w:rsid w:val="00946639"/>
    <w:rsid w:val="00946D05"/>
    <w:rsid w:val="009506CA"/>
    <w:rsid w:val="00950A89"/>
    <w:rsid w:val="0095119D"/>
    <w:rsid w:val="00951553"/>
    <w:rsid w:val="00951A72"/>
    <w:rsid w:val="00951B4B"/>
    <w:rsid w:val="00951D64"/>
    <w:rsid w:val="00952310"/>
    <w:rsid w:val="009523FD"/>
    <w:rsid w:val="009525CF"/>
    <w:rsid w:val="00952905"/>
    <w:rsid w:val="00952E73"/>
    <w:rsid w:val="009531B4"/>
    <w:rsid w:val="009534FC"/>
    <w:rsid w:val="00953704"/>
    <w:rsid w:val="00953A6C"/>
    <w:rsid w:val="00953EA4"/>
    <w:rsid w:val="00953FF3"/>
    <w:rsid w:val="00954109"/>
    <w:rsid w:val="009543A8"/>
    <w:rsid w:val="00954476"/>
    <w:rsid w:val="009550C5"/>
    <w:rsid w:val="009551F4"/>
    <w:rsid w:val="00955845"/>
    <w:rsid w:val="00955B69"/>
    <w:rsid w:val="00955D1B"/>
    <w:rsid w:val="009560FF"/>
    <w:rsid w:val="00957F7D"/>
    <w:rsid w:val="0096016D"/>
    <w:rsid w:val="009602A8"/>
    <w:rsid w:val="00960437"/>
    <w:rsid w:val="0096098C"/>
    <w:rsid w:val="00960BF5"/>
    <w:rsid w:val="0096137D"/>
    <w:rsid w:val="00961677"/>
    <w:rsid w:val="00961B2D"/>
    <w:rsid w:val="00962315"/>
    <w:rsid w:val="009623FA"/>
    <w:rsid w:val="0096327D"/>
    <w:rsid w:val="0096374C"/>
    <w:rsid w:val="00963C0B"/>
    <w:rsid w:val="00964D9A"/>
    <w:rsid w:val="00964FB2"/>
    <w:rsid w:val="00965545"/>
    <w:rsid w:val="00966F9C"/>
    <w:rsid w:val="009671E3"/>
    <w:rsid w:val="00967200"/>
    <w:rsid w:val="009673FF"/>
    <w:rsid w:val="00967AF3"/>
    <w:rsid w:val="00971452"/>
    <w:rsid w:val="00971A1A"/>
    <w:rsid w:val="00972B48"/>
    <w:rsid w:val="00972D30"/>
    <w:rsid w:val="00972FAB"/>
    <w:rsid w:val="00973530"/>
    <w:rsid w:val="00973C05"/>
    <w:rsid w:val="00973CFC"/>
    <w:rsid w:val="00973FFA"/>
    <w:rsid w:val="009751A3"/>
    <w:rsid w:val="0097542A"/>
    <w:rsid w:val="009755CC"/>
    <w:rsid w:val="00976F31"/>
    <w:rsid w:val="0097743A"/>
    <w:rsid w:val="00977EAE"/>
    <w:rsid w:val="009804FE"/>
    <w:rsid w:val="0098052E"/>
    <w:rsid w:val="0098053B"/>
    <w:rsid w:val="00980665"/>
    <w:rsid w:val="00980CA1"/>
    <w:rsid w:val="00980DAA"/>
    <w:rsid w:val="00981314"/>
    <w:rsid w:val="0098236A"/>
    <w:rsid w:val="00982529"/>
    <w:rsid w:val="0098252C"/>
    <w:rsid w:val="009828B5"/>
    <w:rsid w:val="009830A1"/>
    <w:rsid w:val="00983729"/>
    <w:rsid w:val="00984039"/>
    <w:rsid w:val="00984138"/>
    <w:rsid w:val="00985324"/>
    <w:rsid w:val="00985341"/>
    <w:rsid w:val="00985CDC"/>
    <w:rsid w:val="009871ED"/>
    <w:rsid w:val="009874AA"/>
    <w:rsid w:val="0098751C"/>
    <w:rsid w:val="00987775"/>
    <w:rsid w:val="00987A05"/>
    <w:rsid w:val="00987EEF"/>
    <w:rsid w:val="00990B4B"/>
    <w:rsid w:val="00991050"/>
    <w:rsid w:val="009910FF"/>
    <w:rsid w:val="00991234"/>
    <w:rsid w:val="0099127B"/>
    <w:rsid w:val="00991372"/>
    <w:rsid w:val="009922AC"/>
    <w:rsid w:val="00992EFA"/>
    <w:rsid w:val="0099390F"/>
    <w:rsid w:val="00993C71"/>
    <w:rsid w:val="009942A0"/>
    <w:rsid w:val="009957A2"/>
    <w:rsid w:val="009958A5"/>
    <w:rsid w:val="00995B6E"/>
    <w:rsid w:val="009961C1"/>
    <w:rsid w:val="0099652A"/>
    <w:rsid w:val="009967FE"/>
    <w:rsid w:val="00996891"/>
    <w:rsid w:val="00996F44"/>
    <w:rsid w:val="00997A05"/>
    <w:rsid w:val="009A01C3"/>
    <w:rsid w:val="009A023E"/>
    <w:rsid w:val="009A04E4"/>
    <w:rsid w:val="009A097A"/>
    <w:rsid w:val="009A0DF4"/>
    <w:rsid w:val="009A0FA6"/>
    <w:rsid w:val="009A0FB4"/>
    <w:rsid w:val="009A11E2"/>
    <w:rsid w:val="009A21DE"/>
    <w:rsid w:val="009A2616"/>
    <w:rsid w:val="009A2BDE"/>
    <w:rsid w:val="009A2E7B"/>
    <w:rsid w:val="009A307D"/>
    <w:rsid w:val="009A33A1"/>
    <w:rsid w:val="009A3E60"/>
    <w:rsid w:val="009A46E9"/>
    <w:rsid w:val="009A474F"/>
    <w:rsid w:val="009A4770"/>
    <w:rsid w:val="009A482E"/>
    <w:rsid w:val="009A5A61"/>
    <w:rsid w:val="009A5EB4"/>
    <w:rsid w:val="009A5EDE"/>
    <w:rsid w:val="009A5F7A"/>
    <w:rsid w:val="009A60A1"/>
    <w:rsid w:val="009A75D4"/>
    <w:rsid w:val="009B07BD"/>
    <w:rsid w:val="009B16F2"/>
    <w:rsid w:val="009B17D8"/>
    <w:rsid w:val="009B1E4F"/>
    <w:rsid w:val="009B339C"/>
    <w:rsid w:val="009B3E1C"/>
    <w:rsid w:val="009B4889"/>
    <w:rsid w:val="009B4A26"/>
    <w:rsid w:val="009B4B29"/>
    <w:rsid w:val="009B59B1"/>
    <w:rsid w:val="009B5D9B"/>
    <w:rsid w:val="009B6197"/>
    <w:rsid w:val="009B61A1"/>
    <w:rsid w:val="009B65B0"/>
    <w:rsid w:val="009B6F2C"/>
    <w:rsid w:val="009C17B2"/>
    <w:rsid w:val="009C2A56"/>
    <w:rsid w:val="009C311D"/>
    <w:rsid w:val="009C3384"/>
    <w:rsid w:val="009C391C"/>
    <w:rsid w:val="009C3A77"/>
    <w:rsid w:val="009C3BA7"/>
    <w:rsid w:val="009C3CA2"/>
    <w:rsid w:val="009C3CDE"/>
    <w:rsid w:val="009C4150"/>
    <w:rsid w:val="009C429C"/>
    <w:rsid w:val="009C4716"/>
    <w:rsid w:val="009C6DFE"/>
    <w:rsid w:val="009C6F11"/>
    <w:rsid w:val="009C7D2E"/>
    <w:rsid w:val="009D056F"/>
    <w:rsid w:val="009D17A6"/>
    <w:rsid w:val="009D17B2"/>
    <w:rsid w:val="009D1941"/>
    <w:rsid w:val="009D19C6"/>
    <w:rsid w:val="009D2420"/>
    <w:rsid w:val="009D26E1"/>
    <w:rsid w:val="009D28C1"/>
    <w:rsid w:val="009D367A"/>
    <w:rsid w:val="009D37E6"/>
    <w:rsid w:val="009D3D3A"/>
    <w:rsid w:val="009D4188"/>
    <w:rsid w:val="009D49DA"/>
    <w:rsid w:val="009D4E17"/>
    <w:rsid w:val="009D547F"/>
    <w:rsid w:val="009D5481"/>
    <w:rsid w:val="009D56C8"/>
    <w:rsid w:val="009D598E"/>
    <w:rsid w:val="009D5B7E"/>
    <w:rsid w:val="009D5CB1"/>
    <w:rsid w:val="009D5D2B"/>
    <w:rsid w:val="009D5F00"/>
    <w:rsid w:val="009D5FB9"/>
    <w:rsid w:val="009D64D8"/>
    <w:rsid w:val="009D6A2A"/>
    <w:rsid w:val="009D7B07"/>
    <w:rsid w:val="009D7C38"/>
    <w:rsid w:val="009D7F32"/>
    <w:rsid w:val="009E0233"/>
    <w:rsid w:val="009E186D"/>
    <w:rsid w:val="009E1CDB"/>
    <w:rsid w:val="009E28B4"/>
    <w:rsid w:val="009E2FB5"/>
    <w:rsid w:val="009E34C4"/>
    <w:rsid w:val="009E3B43"/>
    <w:rsid w:val="009E3FEE"/>
    <w:rsid w:val="009E4D81"/>
    <w:rsid w:val="009E5083"/>
    <w:rsid w:val="009E58F7"/>
    <w:rsid w:val="009E5E4F"/>
    <w:rsid w:val="009E61C4"/>
    <w:rsid w:val="009E662E"/>
    <w:rsid w:val="009E798F"/>
    <w:rsid w:val="009E7EDD"/>
    <w:rsid w:val="009F1289"/>
    <w:rsid w:val="009F1849"/>
    <w:rsid w:val="009F18D9"/>
    <w:rsid w:val="009F196A"/>
    <w:rsid w:val="009F1BE7"/>
    <w:rsid w:val="009F27AE"/>
    <w:rsid w:val="009F28EA"/>
    <w:rsid w:val="009F2D34"/>
    <w:rsid w:val="009F2D70"/>
    <w:rsid w:val="009F3133"/>
    <w:rsid w:val="009F3807"/>
    <w:rsid w:val="009F3AB9"/>
    <w:rsid w:val="009F3C84"/>
    <w:rsid w:val="009F3D23"/>
    <w:rsid w:val="009F3F3C"/>
    <w:rsid w:val="009F403E"/>
    <w:rsid w:val="009F4169"/>
    <w:rsid w:val="009F4593"/>
    <w:rsid w:val="009F492D"/>
    <w:rsid w:val="009F4DB8"/>
    <w:rsid w:val="009F4EFF"/>
    <w:rsid w:val="009F5021"/>
    <w:rsid w:val="009F5904"/>
    <w:rsid w:val="009F5D02"/>
    <w:rsid w:val="009F5E36"/>
    <w:rsid w:val="009F675D"/>
    <w:rsid w:val="009F688F"/>
    <w:rsid w:val="009F72AE"/>
    <w:rsid w:val="00A00144"/>
    <w:rsid w:val="00A00345"/>
    <w:rsid w:val="00A00748"/>
    <w:rsid w:val="00A01AD8"/>
    <w:rsid w:val="00A01B1A"/>
    <w:rsid w:val="00A01CC9"/>
    <w:rsid w:val="00A01DFB"/>
    <w:rsid w:val="00A023A9"/>
    <w:rsid w:val="00A02824"/>
    <w:rsid w:val="00A02D5F"/>
    <w:rsid w:val="00A0336A"/>
    <w:rsid w:val="00A04478"/>
    <w:rsid w:val="00A04590"/>
    <w:rsid w:val="00A048AB"/>
    <w:rsid w:val="00A04A4D"/>
    <w:rsid w:val="00A04BDC"/>
    <w:rsid w:val="00A04C28"/>
    <w:rsid w:val="00A0527F"/>
    <w:rsid w:val="00A05526"/>
    <w:rsid w:val="00A055CC"/>
    <w:rsid w:val="00A05C5B"/>
    <w:rsid w:val="00A05E0B"/>
    <w:rsid w:val="00A06D48"/>
    <w:rsid w:val="00A07C5E"/>
    <w:rsid w:val="00A10B38"/>
    <w:rsid w:val="00A10DCC"/>
    <w:rsid w:val="00A111CD"/>
    <w:rsid w:val="00A11602"/>
    <w:rsid w:val="00A116A3"/>
    <w:rsid w:val="00A11FAC"/>
    <w:rsid w:val="00A12818"/>
    <w:rsid w:val="00A12AFC"/>
    <w:rsid w:val="00A13287"/>
    <w:rsid w:val="00A132AD"/>
    <w:rsid w:val="00A133BC"/>
    <w:rsid w:val="00A140E7"/>
    <w:rsid w:val="00A14444"/>
    <w:rsid w:val="00A14AF2"/>
    <w:rsid w:val="00A14C0D"/>
    <w:rsid w:val="00A15172"/>
    <w:rsid w:val="00A152EA"/>
    <w:rsid w:val="00A1572A"/>
    <w:rsid w:val="00A158A7"/>
    <w:rsid w:val="00A170E7"/>
    <w:rsid w:val="00A17208"/>
    <w:rsid w:val="00A1757B"/>
    <w:rsid w:val="00A203B9"/>
    <w:rsid w:val="00A2075C"/>
    <w:rsid w:val="00A20DFE"/>
    <w:rsid w:val="00A21007"/>
    <w:rsid w:val="00A21371"/>
    <w:rsid w:val="00A213B5"/>
    <w:rsid w:val="00A21884"/>
    <w:rsid w:val="00A21905"/>
    <w:rsid w:val="00A21BC3"/>
    <w:rsid w:val="00A2286D"/>
    <w:rsid w:val="00A22DDE"/>
    <w:rsid w:val="00A2318F"/>
    <w:rsid w:val="00A2395D"/>
    <w:rsid w:val="00A23BB7"/>
    <w:rsid w:val="00A23EB6"/>
    <w:rsid w:val="00A24346"/>
    <w:rsid w:val="00A2509A"/>
    <w:rsid w:val="00A252D2"/>
    <w:rsid w:val="00A26F2F"/>
    <w:rsid w:val="00A270B2"/>
    <w:rsid w:val="00A2729C"/>
    <w:rsid w:val="00A27646"/>
    <w:rsid w:val="00A27845"/>
    <w:rsid w:val="00A27B0A"/>
    <w:rsid w:val="00A27F1E"/>
    <w:rsid w:val="00A30264"/>
    <w:rsid w:val="00A3070C"/>
    <w:rsid w:val="00A30B51"/>
    <w:rsid w:val="00A31F58"/>
    <w:rsid w:val="00A3209F"/>
    <w:rsid w:val="00A32402"/>
    <w:rsid w:val="00A3273B"/>
    <w:rsid w:val="00A331B7"/>
    <w:rsid w:val="00A33435"/>
    <w:rsid w:val="00A33477"/>
    <w:rsid w:val="00A336CC"/>
    <w:rsid w:val="00A3370D"/>
    <w:rsid w:val="00A337A2"/>
    <w:rsid w:val="00A33BB5"/>
    <w:rsid w:val="00A340AC"/>
    <w:rsid w:val="00A34AEE"/>
    <w:rsid w:val="00A34B8B"/>
    <w:rsid w:val="00A363D5"/>
    <w:rsid w:val="00A3660E"/>
    <w:rsid w:val="00A36D59"/>
    <w:rsid w:val="00A3771A"/>
    <w:rsid w:val="00A37740"/>
    <w:rsid w:val="00A37846"/>
    <w:rsid w:val="00A37BCE"/>
    <w:rsid w:val="00A406E8"/>
    <w:rsid w:val="00A41154"/>
    <w:rsid w:val="00A41745"/>
    <w:rsid w:val="00A41F96"/>
    <w:rsid w:val="00A4269A"/>
    <w:rsid w:val="00A42950"/>
    <w:rsid w:val="00A4298C"/>
    <w:rsid w:val="00A42D0B"/>
    <w:rsid w:val="00A42F18"/>
    <w:rsid w:val="00A438BD"/>
    <w:rsid w:val="00A43D3F"/>
    <w:rsid w:val="00A44540"/>
    <w:rsid w:val="00A446C4"/>
    <w:rsid w:val="00A44812"/>
    <w:rsid w:val="00A44C7F"/>
    <w:rsid w:val="00A46A29"/>
    <w:rsid w:val="00A46DA5"/>
    <w:rsid w:val="00A4778D"/>
    <w:rsid w:val="00A47EA3"/>
    <w:rsid w:val="00A47FF2"/>
    <w:rsid w:val="00A50379"/>
    <w:rsid w:val="00A509A2"/>
    <w:rsid w:val="00A50EFC"/>
    <w:rsid w:val="00A5268E"/>
    <w:rsid w:val="00A52C6C"/>
    <w:rsid w:val="00A52FC8"/>
    <w:rsid w:val="00A5312F"/>
    <w:rsid w:val="00A5366B"/>
    <w:rsid w:val="00A53673"/>
    <w:rsid w:val="00A53946"/>
    <w:rsid w:val="00A53EF6"/>
    <w:rsid w:val="00A5498D"/>
    <w:rsid w:val="00A55418"/>
    <w:rsid w:val="00A55462"/>
    <w:rsid w:val="00A55712"/>
    <w:rsid w:val="00A5587B"/>
    <w:rsid w:val="00A5592C"/>
    <w:rsid w:val="00A561F8"/>
    <w:rsid w:val="00A5652B"/>
    <w:rsid w:val="00A56B03"/>
    <w:rsid w:val="00A5729C"/>
    <w:rsid w:val="00A57763"/>
    <w:rsid w:val="00A6039E"/>
    <w:rsid w:val="00A609D5"/>
    <w:rsid w:val="00A61123"/>
    <w:rsid w:val="00A61721"/>
    <w:rsid w:val="00A626CB"/>
    <w:rsid w:val="00A62761"/>
    <w:rsid w:val="00A637D5"/>
    <w:rsid w:val="00A63995"/>
    <w:rsid w:val="00A6493B"/>
    <w:rsid w:val="00A64999"/>
    <w:rsid w:val="00A65956"/>
    <w:rsid w:val="00A660A9"/>
    <w:rsid w:val="00A6654C"/>
    <w:rsid w:val="00A66FC2"/>
    <w:rsid w:val="00A67CFC"/>
    <w:rsid w:val="00A706CD"/>
    <w:rsid w:val="00A708E0"/>
    <w:rsid w:val="00A70B2B"/>
    <w:rsid w:val="00A711E3"/>
    <w:rsid w:val="00A7177C"/>
    <w:rsid w:val="00A7191A"/>
    <w:rsid w:val="00A719B1"/>
    <w:rsid w:val="00A71D3E"/>
    <w:rsid w:val="00A71D6C"/>
    <w:rsid w:val="00A71DD0"/>
    <w:rsid w:val="00A72BA4"/>
    <w:rsid w:val="00A72CEF"/>
    <w:rsid w:val="00A72E20"/>
    <w:rsid w:val="00A72E66"/>
    <w:rsid w:val="00A72FCC"/>
    <w:rsid w:val="00A736A8"/>
    <w:rsid w:val="00A73DE7"/>
    <w:rsid w:val="00A742BA"/>
    <w:rsid w:val="00A74686"/>
    <w:rsid w:val="00A74A8D"/>
    <w:rsid w:val="00A75C15"/>
    <w:rsid w:val="00A75E52"/>
    <w:rsid w:val="00A76820"/>
    <w:rsid w:val="00A76E92"/>
    <w:rsid w:val="00A77E93"/>
    <w:rsid w:val="00A80F1D"/>
    <w:rsid w:val="00A810E2"/>
    <w:rsid w:val="00A81CFE"/>
    <w:rsid w:val="00A81F08"/>
    <w:rsid w:val="00A81F48"/>
    <w:rsid w:val="00A824C5"/>
    <w:rsid w:val="00A83A9B"/>
    <w:rsid w:val="00A84282"/>
    <w:rsid w:val="00A85543"/>
    <w:rsid w:val="00A8581C"/>
    <w:rsid w:val="00A859C7"/>
    <w:rsid w:val="00A859CF"/>
    <w:rsid w:val="00A85B18"/>
    <w:rsid w:val="00A85BD4"/>
    <w:rsid w:val="00A85DF0"/>
    <w:rsid w:val="00A863FC"/>
    <w:rsid w:val="00A86ACA"/>
    <w:rsid w:val="00A86ACC"/>
    <w:rsid w:val="00A87691"/>
    <w:rsid w:val="00A90A2E"/>
    <w:rsid w:val="00A91CAF"/>
    <w:rsid w:val="00A92072"/>
    <w:rsid w:val="00A9211A"/>
    <w:rsid w:val="00A92651"/>
    <w:rsid w:val="00A92A39"/>
    <w:rsid w:val="00A92BE9"/>
    <w:rsid w:val="00A9365F"/>
    <w:rsid w:val="00A939FF"/>
    <w:rsid w:val="00A93C6E"/>
    <w:rsid w:val="00A94B63"/>
    <w:rsid w:val="00A955A5"/>
    <w:rsid w:val="00A955B2"/>
    <w:rsid w:val="00A95943"/>
    <w:rsid w:val="00A95DC3"/>
    <w:rsid w:val="00A9658E"/>
    <w:rsid w:val="00A9662B"/>
    <w:rsid w:val="00A967F1"/>
    <w:rsid w:val="00A96984"/>
    <w:rsid w:val="00A96A62"/>
    <w:rsid w:val="00A96AA8"/>
    <w:rsid w:val="00A96BD0"/>
    <w:rsid w:val="00A96E31"/>
    <w:rsid w:val="00A9724B"/>
    <w:rsid w:val="00A97502"/>
    <w:rsid w:val="00A97C84"/>
    <w:rsid w:val="00A97F59"/>
    <w:rsid w:val="00AA024B"/>
    <w:rsid w:val="00AA06F8"/>
    <w:rsid w:val="00AA07FF"/>
    <w:rsid w:val="00AA1BDD"/>
    <w:rsid w:val="00AA1F8C"/>
    <w:rsid w:val="00AA2118"/>
    <w:rsid w:val="00AA2137"/>
    <w:rsid w:val="00AA2893"/>
    <w:rsid w:val="00AA2CF7"/>
    <w:rsid w:val="00AA2D96"/>
    <w:rsid w:val="00AA2E46"/>
    <w:rsid w:val="00AA303F"/>
    <w:rsid w:val="00AA32A5"/>
    <w:rsid w:val="00AA3A23"/>
    <w:rsid w:val="00AA3AEF"/>
    <w:rsid w:val="00AA3EF1"/>
    <w:rsid w:val="00AA3F7B"/>
    <w:rsid w:val="00AA3F96"/>
    <w:rsid w:val="00AA4EAB"/>
    <w:rsid w:val="00AA4F3E"/>
    <w:rsid w:val="00AA50D8"/>
    <w:rsid w:val="00AA55FF"/>
    <w:rsid w:val="00AA56A9"/>
    <w:rsid w:val="00AA5974"/>
    <w:rsid w:val="00AA5C17"/>
    <w:rsid w:val="00AA61EF"/>
    <w:rsid w:val="00AA674A"/>
    <w:rsid w:val="00AA712F"/>
    <w:rsid w:val="00AA72A8"/>
    <w:rsid w:val="00AA73C1"/>
    <w:rsid w:val="00AA76FC"/>
    <w:rsid w:val="00AA7BF8"/>
    <w:rsid w:val="00AB19A6"/>
    <w:rsid w:val="00AB210E"/>
    <w:rsid w:val="00AB265B"/>
    <w:rsid w:val="00AB2CAD"/>
    <w:rsid w:val="00AB2DA8"/>
    <w:rsid w:val="00AB2E20"/>
    <w:rsid w:val="00AB3232"/>
    <w:rsid w:val="00AB4168"/>
    <w:rsid w:val="00AB4636"/>
    <w:rsid w:val="00AB48CF"/>
    <w:rsid w:val="00AB5A29"/>
    <w:rsid w:val="00AB5F17"/>
    <w:rsid w:val="00AB659D"/>
    <w:rsid w:val="00AB6A9E"/>
    <w:rsid w:val="00AB7C03"/>
    <w:rsid w:val="00AB7D3C"/>
    <w:rsid w:val="00AB7E52"/>
    <w:rsid w:val="00AC03F3"/>
    <w:rsid w:val="00AC0D85"/>
    <w:rsid w:val="00AC12CE"/>
    <w:rsid w:val="00AC12DF"/>
    <w:rsid w:val="00AC1BDC"/>
    <w:rsid w:val="00AC1F2E"/>
    <w:rsid w:val="00AC2214"/>
    <w:rsid w:val="00AC24E9"/>
    <w:rsid w:val="00AC267B"/>
    <w:rsid w:val="00AC2C15"/>
    <w:rsid w:val="00AC3355"/>
    <w:rsid w:val="00AC38B6"/>
    <w:rsid w:val="00AC490D"/>
    <w:rsid w:val="00AC4B3F"/>
    <w:rsid w:val="00AC54B4"/>
    <w:rsid w:val="00AC54F2"/>
    <w:rsid w:val="00AC5856"/>
    <w:rsid w:val="00AC5E71"/>
    <w:rsid w:val="00AC62C3"/>
    <w:rsid w:val="00AC66E6"/>
    <w:rsid w:val="00AC70BA"/>
    <w:rsid w:val="00AC7922"/>
    <w:rsid w:val="00AC7966"/>
    <w:rsid w:val="00AC7D9C"/>
    <w:rsid w:val="00AD0A08"/>
    <w:rsid w:val="00AD0B8E"/>
    <w:rsid w:val="00AD1670"/>
    <w:rsid w:val="00AD1BFF"/>
    <w:rsid w:val="00AD1F97"/>
    <w:rsid w:val="00AD3162"/>
    <w:rsid w:val="00AD380F"/>
    <w:rsid w:val="00AD3995"/>
    <w:rsid w:val="00AD6355"/>
    <w:rsid w:val="00AD681B"/>
    <w:rsid w:val="00AD6C27"/>
    <w:rsid w:val="00AD71F1"/>
    <w:rsid w:val="00AD731F"/>
    <w:rsid w:val="00AD76D0"/>
    <w:rsid w:val="00AD7AB1"/>
    <w:rsid w:val="00AE044F"/>
    <w:rsid w:val="00AE06F6"/>
    <w:rsid w:val="00AE0B01"/>
    <w:rsid w:val="00AE14D1"/>
    <w:rsid w:val="00AE1535"/>
    <w:rsid w:val="00AE1C24"/>
    <w:rsid w:val="00AE23A0"/>
    <w:rsid w:val="00AE2499"/>
    <w:rsid w:val="00AE29B6"/>
    <w:rsid w:val="00AE2ACB"/>
    <w:rsid w:val="00AE420D"/>
    <w:rsid w:val="00AE44C8"/>
    <w:rsid w:val="00AE460D"/>
    <w:rsid w:val="00AE46D5"/>
    <w:rsid w:val="00AE628A"/>
    <w:rsid w:val="00AE6780"/>
    <w:rsid w:val="00AE71EE"/>
    <w:rsid w:val="00AF012E"/>
    <w:rsid w:val="00AF283A"/>
    <w:rsid w:val="00AF2C6F"/>
    <w:rsid w:val="00AF32BD"/>
    <w:rsid w:val="00AF34C3"/>
    <w:rsid w:val="00AF36F1"/>
    <w:rsid w:val="00AF4503"/>
    <w:rsid w:val="00AF4679"/>
    <w:rsid w:val="00AF4FAE"/>
    <w:rsid w:val="00AF53D0"/>
    <w:rsid w:val="00AF619C"/>
    <w:rsid w:val="00AF61F8"/>
    <w:rsid w:val="00AF625E"/>
    <w:rsid w:val="00AF62BE"/>
    <w:rsid w:val="00AF6867"/>
    <w:rsid w:val="00AF760A"/>
    <w:rsid w:val="00B00669"/>
    <w:rsid w:val="00B006D0"/>
    <w:rsid w:val="00B009FD"/>
    <w:rsid w:val="00B013D2"/>
    <w:rsid w:val="00B03132"/>
    <w:rsid w:val="00B03D6E"/>
    <w:rsid w:val="00B03D6F"/>
    <w:rsid w:val="00B04B7C"/>
    <w:rsid w:val="00B05538"/>
    <w:rsid w:val="00B06615"/>
    <w:rsid w:val="00B0730E"/>
    <w:rsid w:val="00B073FB"/>
    <w:rsid w:val="00B07915"/>
    <w:rsid w:val="00B07D7E"/>
    <w:rsid w:val="00B10677"/>
    <w:rsid w:val="00B1079B"/>
    <w:rsid w:val="00B10B43"/>
    <w:rsid w:val="00B10EA9"/>
    <w:rsid w:val="00B10FC5"/>
    <w:rsid w:val="00B11844"/>
    <w:rsid w:val="00B1217C"/>
    <w:rsid w:val="00B1326E"/>
    <w:rsid w:val="00B13F14"/>
    <w:rsid w:val="00B1419A"/>
    <w:rsid w:val="00B149D3"/>
    <w:rsid w:val="00B15457"/>
    <w:rsid w:val="00B15469"/>
    <w:rsid w:val="00B16066"/>
    <w:rsid w:val="00B161DF"/>
    <w:rsid w:val="00B1639D"/>
    <w:rsid w:val="00B17012"/>
    <w:rsid w:val="00B1709E"/>
    <w:rsid w:val="00B208BA"/>
    <w:rsid w:val="00B20DD9"/>
    <w:rsid w:val="00B21061"/>
    <w:rsid w:val="00B210E9"/>
    <w:rsid w:val="00B2222A"/>
    <w:rsid w:val="00B223BD"/>
    <w:rsid w:val="00B24809"/>
    <w:rsid w:val="00B2558C"/>
    <w:rsid w:val="00B257BC"/>
    <w:rsid w:val="00B2595E"/>
    <w:rsid w:val="00B25F89"/>
    <w:rsid w:val="00B2602B"/>
    <w:rsid w:val="00B2609F"/>
    <w:rsid w:val="00B262AC"/>
    <w:rsid w:val="00B278E1"/>
    <w:rsid w:val="00B30619"/>
    <w:rsid w:val="00B31968"/>
    <w:rsid w:val="00B3197D"/>
    <w:rsid w:val="00B3239A"/>
    <w:rsid w:val="00B32418"/>
    <w:rsid w:val="00B32768"/>
    <w:rsid w:val="00B3302B"/>
    <w:rsid w:val="00B3343B"/>
    <w:rsid w:val="00B33490"/>
    <w:rsid w:val="00B33633"/>
    <w:rsid w:val="00B3384C"/>
    <w:rsid w:val="00B33C4F"/>
    <w:rsid w:val="00B33E29"/>
    <w:rsid w:val="00B33FBD"/>
    <w:rsid w:val="00B35C6A"/>
    <w:rsid w:val="00B36405"/>
    <w:rsid w:val="00B36779"/>
    <w:rsid w:val="00B36DB0"/>
    <w:rsid w:val="00B36E91"/>
    <w:rsid w:val="00B371B0"/>
    <w:rsid w:val="00B376E5"/>
    <w:rsid w:val="00B37A1A"/>
    <w:rsid w:val="00B37FA7"/>
    <w:rsid w:val="00B40067"/>
    <w:rsid w:val="00B4013E"/>
    <w:rsid w:val="00B4136A"/>
    <w:rsid w:val="00B415E9"/>
    <w:rsid w:val="00B4176F"/>
    <w:rsid w:val="00B4195B"/>
    <w:rsid w:val="00B41F86"/>
    <w:rsid w:val="00B421CF"/>
    <w:rsid w:val="00B42467"/>
    <w:rsid w:val="00B429F6"/>
    <w:rsid w:val="00B42A26"/>
    <w:rsid w:val="00B42A96"/>
    <w:rsid w:val="00B42F78"/>
    <w:rsid w:val="00B43592"/>
    <w:rsid w:val="00B43646"/>
    <w:rsid w:val="00B43785"/>
    <w:rsid w:val="00B44280"/>
    <w:rsid w:val="00B4542C"/>
    <w:rsid w:val="00B45BB0"/>
    <w:rsid w:val="00B45CF2"/>
    <w:rsid w:val="00B462ED"/>
    <w:rsid w:val="00B466D3"/>
    <w:rsid w:val="00B466F3"/>
    <w:rsid w:val="00B4685E"/>
    <w:rsid w:val="00B4689B"/>
    <w:rsid w:val="00B46EAD"/>
    <w:rsid w:val="00B47494"/>
    <w:rsid w:val="00B5033F"/>
    <w:rsid w:val="00B503CA"/>
    <w:rsid w:val="00B5041D"/>
    <w:rsid w:val="00B516D6"/>
    <w:rsid w:val="00B517D1"/>
    <w:rsid w:val="00B51AEF"/>
    <w:rsid w:val="00B527E9"/>
    <w:rsid w:val="00B52C08"/>
    <w:rsid w:val="00B52D85"/>
    <w:rsid w:val="00B52EA4"/>
    <w:rsid w:val="00B52EB3"/>
    <w:rsid w:val="00B53598"/>
    <w:rsid w:val="00B538A4"/>
    <w:rsid w:val="00B5394D"/>
    <w:rsid w:val="00B53E5C"/>
    <w:rsid w:val="00B54158"/>
    <w:rsid w:val="00B54959"/>
    <w:rsid w:val="00B54EB5"/>
    <w:rsid w:val="00B5567A"/>
    <w:rsid w:val="00B557FA"/>
    <w:rsid w:val="00B55FEE"/>
    <w:rsid w:val="00B56699"/>
    <w:rsid w:val="00B568FE"/>
    <w:rsid w:val="00B5763F"/>
    <w:rsid w:val="00B57BD1"/>
    <w:rsid w:val="00B60502"/>
    <w:rsid w:val="00B60747"/>
    <w:rsid w:val="00B61989"/>
    <w:rsid w:val="00B619A0"/>
    <w:rsid w:val="00B61E8A"/>
    <w:rsid w:val="00B622D8"/>
    <w:rsid w:val="00B633FB"/>
    <w:rsid w:val="00B6368F"/>
    <w:rsid w:val="00B65FDF"/>
    <w:rsid w:val="00B66032"/>
    <w:rsid w:val="00B6701B"/>
    <w:rsid w:val="00B6706F"/>
    <w:rsid w:val="00B671D9"/>
    <w:rsid w:val="00B67A45"/>
    <w:rsid w:val="00B67B2D"/>
    <w:rsid w:val="00B70D4B"/>
    <w:rsid w:val="00B71028"/>
    <w:rsid w:val="00B71EBC"/>
    <w:rsid w:val="00B722DE"/>
    <w:rsid w:val="00B72E17"/>
    <w:rsid w:val="00B73565"/>
    <w:rsid w:val="00B7363C"/>
    <w:rsid w:val="00B73684"/>
    <w:rsid w:val="00B73E3E"/>
    <w:rsid w:val="00B743C2"/>
    <w:rsid w:val="00B74D2E"/>
    <w:rsid w:val="00B7515C"/>
    <w:rsid w:val="00B75ECD"/>
    <w:rsid w:val="00B761A6"/>
    <w:rsid w:val="00B769C9"/>
    <w:rsid w:val="00B770EF"/>
    <w:rsid w:val="00B777CC"/>
    <w:rsid w:val="00B778D1"/>
    <w:rsid w:val="00B8018F"/>
    <w:rsid w:val="00B80388"/>
    <w:rsid w:val="00B809A4"/>
    <w:rsid w:val="00B80CCC"/>
    <w:rsid w:val="00B818DD"/>
    <w:rsid w:val="00B81EAA"/>
    <w:rsid w:val="00B8206A"/>
    <w:rsid w:val="00B82099"/>
    <w:rsid w:val="00B820DA"/>
    <w:rsid w:val="00B825AE"/>
    <w:rsid w:val="00B82D95"/>
    <w:rsid w:val="00B83055"/>
    <w:rsid w:val="00B8321F"/>
    <w:rsid w:val="00B837F5"/>
    <w:rsid w:val="00B83B75"/>
    <w:rsid w:val="00B849BD"/>
    <w:rsid w:val="00B84BA6"/>
    <w:rsid w:val="00B857F3"/>
    <w:rsid w:val="00B85F65"/>
    <w:rsid w:val="00B86A7C"/>
    <w:rsid w:val="00B870CF"/>
    <w:rsid w:val="00B8746D"/>
    <w:rsid w:val="00B878F1"/>
    <w:rsid w:val="00B87DC5"/>
    <w:rsid w:val="00B87F37"/>
    <w:rsid w:val="00B90E1A"/>
    <w:rsid w:val="00B90ECD"/>
    <w:rsid w:val="00B910FB"/>
    <w:rsid w:val="00B91AAE"/>
    <w:rsid w:val="00B91B42"/>
    <w:rsid w:val="00B9215C"/>
    <w:rsid w:val="00B92EB3"/>
    <w:rsid w:val="00B92F2D"/>
    <w:rsid w:val="00B932AA"/>
    <w:rsid w:val="00B93D60"/>
    <w:rsid w:val="00B941CA"/>
    <w:rsid w:val="00B945DC"/>
    <w:rsid w:val="00B94DF1"/>
    <w:rsid w:val="00B96C5A"/>
    <w:rsid w:val="00B97663"/>
    <w:rsid w:val="00B97AE0"/>
    <w:rsid w:val="00B97F92"/>
    <w:rsid w:val="00BA0C22"/>
    <w:rsid w:val="00BA42AA"/>
    <w:rsid w:val="00BA458B"/>
    <w:rsid w:val="00BA48E7"/>
    <w:rsid w:val="00BA4AE0"/>
    <w:rsid w:val="00BA4EBB"/>
    <w:rsid w:val="00BA50E4"/>
    <w:rsid w:val="00BA5171"/>
    <w:rsid w:val="00BA5C1B"/>
    <w:rsid w:val="00BA6164"/>
    <w:rsid w:val="00BA68C3"/>
    <w:rsid w:val="00BA6A0F"/>
    <w:rsid w:val="00BA6A6F"/>
    <w:rsid w:val="00BA6BD3"/>
    <w:rsid w:val="00BA7190"/>
    <w:rsid w:val="00BA7260"/>
    <w:rsid w:val="00BA74A1"/>
    <w:rsid w:val="00BA7580"/>
    <w:rsid w:val="00BA76B8"/>
    <w:rsid w:val="00BA7783"/>
    <w:rsid w:val="00BB1577"/>
    <w:rsid w:val="00BB1DE9"/>
    <w:rsid w:val="00BB1F73"/>
    <w:rsid w:val="00BB24C8"/>
    <w:rsid w:val="00BB269C"/>
    <w:rsid w:val="00BB2E7D"/>
    <w:rsid w:val="00BB2EEC"/>
    <w:rsid w:val="00BB3360"/>
    <w:rsid w:val="00BB384F"/>
    <w:rsid w:val="00BB3F5C"/>
    <w:rsid w:val="00BB46BA"/>
    <w:rsid w:val="00BB5017"/>
    <w:rsid w:val="00BB54FC"/>
    <w:rsid w:val="00BB5725"/>
    <w:rsid w:val="00BB6B50"/>
    <w:rsid w:val="00BB6B6A"/>
    <w:rsid w:val="00BB7503"/>
    <w:rsid w:val="00BB7AEC"/>
    <w:rsid w:val="00BB7BF6"/>
    <w:rsid w:val="00BB7E52"/>
    <w:rsid w:val="00BC03C2"/>
    <w:rsid w:val="00BC09E7"/>
    <w:rsid w:val="00BC0C95"/>
    <w:rsid w:val="00BC1BF0"/>
    <w:rsid w:val="00BC2D1E"/>
    <w:rsid w:val="00BC3E20"/>
    <w:rsid w:val="00BC45E5"/>
    <w:rsid w:val="00BC474E"/>
    <w:rsid w:val="00BC532A"/>
    <w:rsid w:val="00BC5364"/>
    <w:rsid w:val="00BC565F"/>
    <w:rsid w:val="00BC58F5"/>
    <w:rsid w:val="00BC5AE4"/>
    <w:rsid w:val="00BC5D7F"/>
    <w:rsid w:val="00BC701C"/>
    <w:rsid w:val="00BD0025"/>
    <w:rsid w:val="00BD0333"/>
    <w:rsid w:val="00BD0A2A"/>
    <w:rsid w:val="00BD0E1F"/>
    <w:rsid w:val="00BD2BB1"/>
    <w:rsid w:val="00BD3508"/>
    <w:rsid w:val="00BD3979"/>
    <w:rsid w:val="00BD435E"/>
    <w:rsid w:val="00BD4CF7"/>
    <w:rsid w:val="00BD4D61"/>
    <w:rsid w:val="00BD4E7A"/>
    <w:rsid w:val="00BD56D6"/>
    <w:rsid w:val="00BD5A6D"/>
    <w:rsid w:val="00BD6FE8"/>
    <w:rsid w:val="00BD7148"/>
    <w:rsid w:val="00BD75F6"/>
    <w:rsid w:val="00BE0078"/>
    <w:rsid w:val="00BE07A4"/>
    <w:rsid w:val="00BE0C18"/>
    <w:rsid w:val="00BE0DF8"/>
    <w:rsid w:val="00BE0E3C"/>
    <w:rsid w:val="00BE152D"/>
    <w:rsid w:val="00BE1CA1"/>
    <w:rsid w:val="00BE1D61"/>
    <w:rsid w:val="00BE1F1F"/>
    <w:rsid w:val="00BE27BD"/>
    <w:rsid w:val="00BE2BDD"/>
    <w:rsid w:val="00BE2E04"/>
    <w:rsid w:val="00BE3F1C"/>
    <w:rsid w:val="00BE3F8A"/>
    <w:rsid w:val="00BE4AA6"/>
    <w:rsid w:val="00BE4FA3"/>
    <w:rsid w:val="00BE527B"/>
    <w:rsid w:val="00BE55E7"/>
    <w:rsid w:val="00BE5751"/>
    <w:rsid w:val="00BE5E11"/>
    <w:rsid w:val="00BE6871"/>
    <w:rsid w:val="00BE7129"/>
    <w:rsid w:val="00BF0219"/>
    <w:rsid w:val="00BF0262"/>
    <w:rsid w:val="00BF1C44"/>
    <w:rsid w:val="00BF2354"/>
    <w:rsid w:val="00BF2647"/>
    <w:rsid w:val="00BF2D95"/>
    <w:rsid w:val="00BF4859"/>
    <w:rsid w:val="00BF496B"/>
    <w:rsid w:val="00BF4A42"/>
    <w:rsid w:val="00BF4B4C"/>
    <w:rsid w:val="00BF4E49"/>
    <w:rsid w:val="00BF4FCA"/>
    <w:rsid w:val="00BF51EE"/>
    <w:rsid w:val="00BF5CFA"/>
    <w:rsid w:val="00BF66B0"/>
    <w:rsid w:val="00BF7255"/>
    <w:rsid w:val="00BF7EF8"/>
    <w:rsid w:val="00C001D8"/>
    <w:rsid w:val="00C01026"/>
    <w:rsid w:val="00C0155B"/>
    <w:rsid w:val="00C01D4C"/>
    <w:rsid w:val="00C0220B"/>
    <w:rsid w:val="00C027E0"/>
    <w:rsid w:val="00C02E52"/>
    <w:rsid w:val="00C03017"/>
    <w:rsid w:val="00C04089"/>
    <w:rsid w:val="00C042FB"/>
    <w:rsid w:val="00C0431D"/>
    <w:rsid w:val="00C0502F"/>
    <w:rsid w:val="00C05307"/>
    <w:rsid w:val="00C05808"/>
    <w:rsid w:val="00C067CC"/>
    <w:rsid w:val="00C06BA2"/>
    <w:rsid w:val="00C06D49"/>
    <w:rsid w:val="00C0701E"/>
    <w:rsid w:val="00C0725D"/>
    <w:rsid w:val="00C075E0"/>
    <w:rsid w:val="00C07609"/>
    <w:rsid w:val="00C07A9A"/>
    <w:rsid w:val="00C10372"/>
    <w:rsid w:val="00C10AB4"/>
    <w:rsid w:val="00C11C51"/>
    <w:rsid w:val="00C11F19"/>
    <w:rsid w:val="00C121C1"/>
    <w:rsid w:val="00C1236C"/>
    <w:rsid w:val="00C12565"/>
    <w:rsid w:val="00C12811"/>
    <w:rsid w:val="00C13026"/>
    <w:rsid w:val="00C1312D"/>
    <w:rsid w:val="00C134F5"/>
    <w:rsid w:val="00C137B6"/>
    <w:rsid w:val="00C13A06"/>
    <w:rsid w:val="00C13FC5"/>
    <w:rsid w:val="00C1419A"/>
    <w:rsid w:val="00C149A6"/>
    <w:rsid w:val="00C15686"/>
    <w:rsid w:val="00C15F5C"/>
    <w:rsid w:val="00C1615F"/>
    <w:rsid w:val="00C16341"/>
    <w:rsid w:val="00C16439"/>
    <w:rsid w:val="00C16B2E"/>
    <w:rsid w:val="00C16C90"/>
    <w:rsid w:val="00C174DC"/>
    <w:rsid w:val="00C17574"/>
    <w:rsid w:val="00C17887"/>
    <w:rsid w:val="00C17CD8"/>
    <w:rsid w:val="00C17E89"/>
    <w:rsid w:val="00C201E0"/>
    <w:rsid w:val="00C20203"/>
    <w:rsid w:val="00C208B5"/>
    <w:rsid w:val="00C21255"/>
    <w:rsid w:val="00C21370"/>
    <w:rsid w:val="00C21536"/>
    <w:rsid w:val="00C21E05"/>
    <w:rsid w:val="00C221DA"/>
    <w:rsid w:val="00C228A3"/>
    <w:rsid w:val="00C23D70"/>
    <w:rsid w:val="00C2419D"/>
    <w:rsid w:val="00C24F3B"/>
    <w:rsid w:val="00C24FEF"/>
    <w:rsid w:val="00C250FB"/>
    <w:rsid w:val="00C255EF"/>
    <w:rsid w:val="00C25669"/>
    <w:rsid w:val="00C25E92"/>
    <w:rsid w:val="00C261BA"/>
    <w:rsid w:val="00C274D9"/>
    <w:rsid w:val="00C27D7B"/>
    <w:rsid w:val="00C30E73"/>
    <w:rsid w:val="00C3146F"/>
    <w:rsid w:val="00C324B9"/>
    <w:rsid w:val="00C32D53"/>
    <w:rsid w:val="00C34A1B"/>
    <w:rsid w:val="00C35038"/>
    <w:rsid w:val="00C359B1"/>
    <w:rsid w:val="00C35E07"/>
    <w:rsid w:val="00C35F6A"/>
    <w:rsid w:val="00C361AB"/>
    <w:rsid w:val="00C36669"/>
    <w:rsid w:val="00C36B7B"/>
    <w:rsid w:val="00C37A19"/>
    <w:rsid w:val="00C37E25"/>
    <w:rsid w:val="00C37E67"/>
    <w:rsid w:val="00C37E78"/>
    <w:rsid w:val="00C404BB"/>
    <w:rsid w:val="00C406E0"/>
    <w:rsid w:val="00C4070D"/>
    <w:rsid w:val="00C40875"/>
    <w:rsid w:val="00C40E14"/>
    <w:rsid w:val="00C41383"/>
    <w:rsid w:val="00C424B1"/>
    <w:rsid w:val="00C42845"/>
    <w:rsid w:val="00C42BD7"/>
    <w:rsid w:val="00C42E44"/>
    <w:rsid w:val="00C43561"/>
    <w:rsid w:val="00C43FF3"/>
    <w:rsid w:val="00C442EA"/>
    <w:rsid w:val="00C44610"/>
    <w:rsid w:val="00C45090"/>
    <w:rsid w:val="00C45BE0"/>
    <w:rsid w:val="00C4609A"/>
    <w:rsid w:val="00C46288"/>
    <w:rsid w:val="00C462E4"/>
    <w:rsid w:val="00C46A7A"/>
    <w:rsid w:val="00C47855"/>
    <w:rsid w:val="00C478DE"/>
    <w:rsid w:val="00C47BA2"/>
    <w:rsid w:val="00C47D77"/>
    <w:rsid w:val="00C47E6B"/>
    <w:rsid w:val="00C47EA8"/>
    <w:rsid w:val="00C5012D"/>
    <w:rsid w:val="00C50332"/>
    <w:rsid w:val="00C50AD8"/>
    <w:rsid w:val="00C50DF2"/>
    <w:rsid w:val="00C51276"/>
    <w:rsid w:val="00C5127C"/>
    <w:rsid w:val="00C5166B"/>
    <w:rsid w:val="00C51B18"/>
    <w:rsid w:val="00C51B7B"/>
    <w:rsid w:val="00C51C6A"/>
    <w:rsid w:val="00C51CC8"/>
    <w:rsid w:val="00C51FD8"/>
    <w:rsid w:val="00C520BD"/>
    <w:rsid w:val="00C52878"/>
    <w:rsid w:val="00C52D5E"/>
    <w:rsid w:val="00C52F49"/>
    <w:rsid w:val="00C53083"/>
    <w:rsid w:val="00C53C5E"/>
    <w:rsid w:val="00C551EA"/>
    <w:rsid w:val="00C5693B"/>
    <w:rsid w:val="00C56D30"/>
    <w:rsid w:val="00C57501"/>
    <w:rsid w:val="00C5758A"/>
    <w:rsid w:val="00C57636"/>
    <w:rsid w:val="00C57B61"/>
    <w:rsid w:val="00C57FAA"/>
    <w:rsid w:val="00C60236"/>
    <w:rsid w:val="00C603B4"/>
    <w:rsid w:val="00C61B54"/>
    <w:rsid w:val="00C61DD4"/>
    <w:rsid w:val="00C62C7F"/>
    <w:rsid w:val="00C6368F"/>
    <w:rsid w:val="00C637AE"/>
    <w:rsid w:val="00C641DA"/>
    <w:rsid w:val="00C6456A"/>
    <w:rsid w:val="00C6466B"/>
    <w:rsid w:val="00C65EC9"/>
    <w:rsid w:val="00C661A0"/>
    <w:rsid w:val="00C66347"/>
    <w:rsid w:val="00C66FCA"/>
    <w:rsid w:val="00C672D1"/>
    <w:rsid w:val="00C715E0"/>
    <w:rsid w:val="00C715E2"/>
    <w:rsid w:val="00C72128"/>
    <w:rsid w:val="00C723E9"/>
    <w:rsid w:val="00C72688"/>
    <w:rsid w:val="00C72B04"/>
    <w:rsid w:val="00C72C8A"/>
    <w:rsid w:val="00C73030"/>
    <w:rsid w:val="00C733C3"/>
    <w:rsid w:val="00C7381D"/>
    <w:rsid w:val="00C74540"/>
    <w:rsid w:val="00C745B1"/>
    <w:rsid w:val="00C74695"/>
    <w:rsid w:val="00C74DD9"/>
    <w:rsid w:val="00C755B5"/>
    <w:rsid w:val="00C757E9"/>
    <w:rsid w:val="00C75EB7"/>
    <w:rsid w:val="00C763B1"/>
    <w:rsid w:val="00C772AE"/>
    <w:rsid w:val="00C77344"/>
    <w:rsid w:val="00C775B9"/>
    <w:rsid w:val="00C77B1C"/>
    <w:rsid w:val="00C77BEF"/>
    <w:rsid w:val="00C77ED5"/>
    <w:rsid w:val="00C8108A"/>
    <w:rsid w:val="00C81346"/>
    <w:rsid w:val="00C816D1"/>
    <w:rsid w:val="00C81E9D"/>
    <w:rsid w:val="00C81F97"/>
    <w:rsid w:val="00C82196"/>
    <w:rsid w:val="00C832CE"/>
    <w:rsid w:val="00C833C1"/>
    <w:rsid w:val="00C83E0C"/>
    <w:rsid w:val="00C83F43"/>
    <w:rsid w:val="00C84189"/>
    <w:rsid w:val="00C84BC0"/>
    <w:rsid w:val="00C854D7"/>
    <w:rsid w:val="00C856D2"/>
    <w:rsid w:val="00C867A4"/>
    <w:rsid w:val="00C869F6"/>
    <w:rsid w:val="00C86FF3"/>
    <w:rsid w:val="00C872A1"/>
    <w:rsid w:val="00C87959"/>
    <w:rsid w:val="00C8795C"/>
    <w:rsid w:val="00C902C9"/>
    <w:rsid w:val="00C90AE8"/>
    <w:rsid w:val="00C90C8C"/>
    <w:rsid w:val="00C91530"/>
    <w:rsid w:val="00C91E12"/>
    <w:rsid w:val="00C921B4"/>
    <w:rsid w:val="00C92269"/>
    <w:rsid w:val="00C923FA"/>
    <w:rsid w:val="00C92A2E"/>
    <w:rsid w:val="00C9327D"/>
    <w:rsid w:val="00C93FA0"/>
    <w:rsid w:val="00C9435A"/>
    <w:rsid w:val="00C94EFE"/>
    <w:rsid w:val="00C95FE0"/>
    <w:rsid w:val="00C962B4"/>
    <w:rsid w:val="00C9648A"/>
    <w:rsid w:val="00C96C41"/>
    <w:rsid w:val="00C96E3C"/>
    <w:rsid w:val="00C9733B"/>
    <w:rsid w:val="00CA0240"/>
    <w:rsid w:val="00CA0690"/>
    <w:rsid w:val="00CA0DC0"/>
    <w:rsid w:val="00CA16C3"/>
    <w:rsid w:val="00CA1AA8"/>
    <w:rsid w:val="00CA1F5A"/>
    <w:rsid w:val="00CA25AA"/>
    <w:rsid w:val="00CA2D83"/>
    <w:rsid w:val="00CA2E7C"/>
    <w:rsid w:val="00CA3AD9"/>
    <w:rsid w:val="00CA3CB9"/>
    <w:rsid w:val="00CA418C"/>
    <w:rsid w:val="00CA449A"/>
    <w:rsid w:val="00CA4AB7"/>
    <w:rsid w:val="00CA4B44"/>
    <w:rsid w:val="00CA4BAF"/>
    <w:rsid w:val="00CA4E4D"/>
    <w:rsid w:val="00CA5431"/>
    <w:rsid w:val="00CA5A77"/>
    <w:rsid w:val="00CA5BDD"/>
    <w:rsid w:val="00CA6743"/>
    <w:rsid w:val="00CA6B52"/>
    <w:rsid w:val="00CA6DB7"/>
    <w:rsid w:val="00CA6E17"/>
    <w:rsid w:val="00CA75DD"/>
    <w:rsid w:val="00CB09F3"/>
    <w:rsid w:val="00CB0A19"/>
    <w:rsid w:val="00CB0C19"/>
    <w:rsid w:val="00CB116D"/>
    <w:rsid w:val="00CB1242"/>
    <w:rsid w:val="00CB2233"/>
    <w:rsid w:val="00CB224E"/>
    <w:rsid w:val="00CB2777"/>
    <w:rsid w:val="00CB4411"/>
    <w:rsid w:val="00CB4802"/>
    <w:rsid w:val="00CB556B"/>
    <w:rsid w:val="00CB598F"/>
    <w:rsid w:val="00CB5BE7"/>
    <w:rsid w:val="00CB60FB"/>
    <w:rsid w:val="00CB6D58"/>
    <w:rsid w:val="00CB713E"/>
    <w:rsid w:val="00CB72AE"/>
    <w:rsid w:val="00CB733D"/>
    <w:rsid w:val="00CB7965"/>
    <w:rsid w:val="00CB7FAC"/>
    <w:rsid w:val="00CC0375"/>
    <w:rsid w:val="00CC05A1"/>
    <w:rsid w:val="00CC0BD0"/>
    <w:rsid w:val="00CC13AC"/>
    <w:rsid w:val="00CC1872"/>
    <w:rsid w:val="00CC1A7E"/>
    <w:rsid w:val="00CC1C9D"/>
    <w:rsid w:val="00CC1E12"/>
    <w:rsid w:val="00CC35CC"/>
    <w:rsid w:val="00CC36E9"/>
    <w:rsid w:val="00CC40AF"/>
    <w:rsid w:val="00CC481E"/>
    <w:rsid w:val="00CC62A1"/>
    <w:rsid w:val="00CC6431"/>
    <w:rsid w:val="00CC6C1E"/>
    <w:rsid w:val="00CC6ED8"/>
    <w:rsid w:val="00CC7407"/>
    <w:rsid w:val="00CC7A33"/>
    <w:rsid w:val="00CD1B0A"/>
    <w:rsid w:val="00CD1F3A"/>
    <w:rsid w:val="00CD2140"/>
    <w:rsid w:val="00CD218F"/>
    <w:rsid w:val="00CD235B"/>
    <w:rsid w:val="00CD2548"/>
    <w:rsid w:val="00CD290B"/>
    <w:rsid w:val="00CD2C25"/>
    <w:rsid w:val="00CD374F"/>
    <w:rsid w:val="00CD38B5"/>
    <w:rsid w:val="00CD394E"/>
    <w:rsid w:val="00CD3F4A"/>
    <w:rsid w:val="00CD47F2"/>
    <w:rsid w:val="00CD4D04"/>
    <w:rsid w:val="00CD4F92"/>
    <w:rsid w:val="00CD4FE9"/>
    <w:rsid w:val="00CD5EDC"/>
    <w:rsid w:val="00CD629D"/>
    <w:rsid w:val="00CD697C"/>
    <w:rsid w:val="00CD6996"/>
    <w:rsid w:val="00CE029E"/>
    <w:rsid w:val="00CE0424"/>
    <w:rsid w:val="00CE049B"/>
    <w:rsid w:val="00CE0B02"/>
    <w:rsid w:val="00CE0C9A"/>
    <w:rsid w:val="00CE195E"/>
    <w:rsid w:val="00CE281B"/>
    <w:rsid w:val="00CE28FC"/>
    <w:rsid w:val="00CE3342"/>
    <w:rsid w:val="00CE3992"/>
    <w:rsid w:val="00CE4305"/>
    <w:rsid w:val="00CE490F"/>
    <w:rsid w:val="00CE4931"/>
    <w:rsid w:val="00CE4ACC"/>
    <w:rsid w:val="00CE5DC5"/>
    <w:rsid w:val="00CE6DDB"/>
    <w:rsid w:val="00CE6ED8"/>
    <w:rsid w:val="00CE744B"/>
    <w:rsid w:val="00CE7BDB"/>
    <w:rsid w:val="00CE7C37"/>
    <w:rsid w:val="00CF048B"/>
    <w:rsid w:val="00CF0D01"/>
    <w:rsid w:val="00CF1FEE"/>
    <w:rsid w:val="00CF2B50"/>
    <w:rsid w:val="00CF317E"/>
    <w:rsid w:val="00CF327E"/>
    <w:rsid w:val="00CF34C2"/>
    <w:rsid w:val="00CF380A"/>
    <w:rsid w:val="00CF3BDE"/>
    <w:rsid w:val="00CF4290"/>
    <w:rsid w:val="00CF462B"/>
    <w:rsid w:val="00CF46B1"/>
    <w:rsid w:val="00CF5C8B"/>
    <w:rsid w:val="00CF654E"/>
    <w:rsid w:val="00CF6575"/>
    <w:rsid w:val="00CF68A9"/>
    <w:rsid w:val="00CF7045"/>
    <w:rsid w:val="00D002D6"/>
    <w:rsid w:val="00D0043A"/>
    <w:rsid w:val="00D004BD"/>
    <w:rsid w:val="00D008DE"/>
    <w:rsid w:val="00D00982"/>
    <w:rsid w:val="00D00CA8"/>
    <w:rsid w:val="00D00DB7"/>
    <w:rsid w:val="00D023B8"/>
    <w:rsid w:val="00D0240A"/>
    <w:rsid w:val="00D026A0"/>
    <w:rsid w:val="00D02AA4"/>
    <w:rsid w:val="00D02B7D"/>
    <w:rsid w:val="00D03168"/>
    <w:rsid w:val="00D035E4"/>
    <w:rsid w:val="00D03815"/>
    <w:rsid w:val="00D040DD"/>
    <w:rsid w:val="00D04642"/>
    <w:rsid w:val="00D04A84"/>
    <w:rsid w:val="00D05B49"/>
    <w:rsid w:val="00D062A7"/>
    <w:rsid w:val="00D07087"/>
    <w:rsid w:val="00D0758A"/>
    <w:rsid w:val="00D07A30"/>
    <w:rsid w:val="00D1002D"/>
    <w:rsid w:val="00D11097"/>
    <w:rsid w:val="00D11A45"/>
    <w:rsid w:val="00D11F56"/>
    <w:rsid w:val="00D12890"/>
    <w:rsid w:val="00D12FD6"/>
    <w:rsid w:val="00D131C7"/>
    <w:rsid w:val="00D133A9"/>
    <w:rsid w:val="00D1373F"/>
    <w:rsid w:val="00D13927"/>
    <w:rsid w:val="00D13E59"/>
    <w:rsid w:val="00D14058"/>
    <w:rsid w:val="00D14599"/>
    <w:rsid w:val="00D14727"/>
    <w:rsid w:val="00D14CBB"/>
    <w:rsid w:val="00D15447"/>
    <w:rsid w:val="00D15B62"/>
    <w:rsid w:val="00D16698"/>
    <w:rsid w:val="00D16D57"/>
    <w:rsid w:val="00D17374"/>
    <w:rsid w:val="00D17607"/>
    <w:rsid w:val="00D17C08"/>
    <w:rsid w:val="00D200B5"/>
    <w:rsid w:val="00D2012F"/>
    <w:rsid w:val="00D20130"/>
    <w:rsid w:val="00D201A0"/>
    <w:rsid w:val="00D20E33"/>
    <w:rsid w:val="00D212A2"/>
    <w:rsid w:val="00D212C4"/>
    <w:rsid w:val="00D2139F"/>
    <w:rsid w:val="00D2140C"/>
    <w:rsid w:val="00D216BD"/>
    <w:rsid w:val="00D22CFC"/>
    <w:rsid w:val="00D22E61"/>
    <w:rsid w:val="00D23145"/>
    <w:rsid w:val="00D234C1"/>
    <w:rsid w:val="00D23B17"/>
    <w:rsid w:val="00D251C3"/>
    <w:rsid w:val="00D254A2"/>
    <w:rsid w:val="00D26370"/>
    <w:rsid w:val="00D272D7"/>
    <w:rsid w:val="00D27710"/>
    <w:rsid w:val="00D30979"/>
    <w:rsid w:val="00D30D04"/>
    <w:rsid w:val="00D31185"/>
    <w:rsid w:val="00D31CF0"/>
    <w:rsid w:val="00D33196"/>
    <w:rsid w:val="00D332A1"/>
    <w:rsid w:val="00D33884"/>
    <w:rsid w:val="00D33E63"/>
    <w:rsid w:val="00D34357"/>
    <w:rsid w:val="00D34366"/>
    <w:rsid w:val="00D34BC1"/>
    <w:rsid w:val="00D34E38"/>
    <w:rsid w:val="00D350CD"/>
    <w:rsid w:val="00D350E8"/>
    <w:rsid w:val="00D36359"/>
    <w:rsid w:val="00D36B88"/>
    <w:rsid w:val="00D36F90"/>
    <w:rsid w:val="00D37F88"/>
    <w:rsid w:val="00D4016B"/>
    <w:rsid w:val="00D401F1"/>
    <w:rsid w:val="00D403B5"/>
    <w:rsid w:val="00D405DC"/>
    <w:rsid w:val="00D40790"/>
    <w:rsid w:val="00D416D3"/>
    <w:rsid w:val="00D4175B"/>
    <w:rsid w:val="00D4175E"/>
    <w:rsid w:val="00D430F9"/>
    <w:rsid w:val="00D436E3"/>
    <w:rsid w:val="00D43A3C"/>
    <w:rsid w:val="00D43FED"/>
    <w:rsid w:val="00D44619"/>
    <w:rsid w:val="00D44B43"/>
    <w:rsid w:val="00D45582"/>
    <w:rsid w:val="00D46113"/>
    <w:rsid w:val="00D4704D"/>
    <w:rsid w:val="00D47440"/>
    <w:rsid w:val="00D4757F"/>
    <w:rsid w:val="00D5000D"/>
    <w:rsid w:val="00D502A1"/>
    <w:rsid w:val="00D50822"/>
    <w:rsid w:val="00D5101B"/>
    <w:rsid w:val="00D510A3"/>
    <w:rsid w:val="00D51DAB"/>
    <w:rsid w:val="00D51DEA"/>
    <w:rsid w:val="00D52AFA"/>
    <w:rsid w:val="00D52F37"/>
    <w:rsid w:val="00D532EB"/>
    <w:rsid w:val="00D53ADD"/>
    <w:rsid w:val="00D5449B"/>
    <w:rsid w:val="00D55065"/>
    <w:rsid w:val="00D556A1"/>
    <w:rsid w:val="00D5570A"/>
    <w:rsid w:val="00D557D7"/>
    <w:rsid w:val="00D55AFE"/>
    <w:rsid w:val="00D55CF6"/>
    <w:rsid w:val="00D562DC"/>
    <w:rsid w:val="00D56314"/>
    <w:rsid w:val="00D56744"/>
    <w:rsid w:val="00D569E7"/>
    <w:rsid w:val="00D60172"/>
    <w:rsid w:val="00D60234"/>
    <w:rsid w:val="00D607DC"/>
    <w:rsid w:val="00D60C11"/>
    <w:rsid w:val="00D60CE8"/>
    <w:rsid w:val="00D61152"/>
    <w:rsid w:val="00D61F22"/>
    <w:rsid w:val="00D6266F"/>
    <w:rsid w:val="00D64F45"/>
    <w:rsid w:val="00D6531F"/>
    <w:rsid w:val="00D6573E"/>
    <w:rsid w:val="00D66880"/>
    <w:rsid w:val="00D66B82"/>
    <w:rsid w:val="00D67879"/>
    <w:rsid w:val="00D67E97"/>
    <w:rsid w:val="00D705B0"/>
    <w:rsid w:val="00D70965"/>
    <w:rsid w:val="00D71278"/>
    <w:rsid w:val="00D712A3"/>
    <w:rsid w:val="00D71C99"/>
    <w:rsid w:val="00D72826"/>
    <w:rsid w:val="00D72FEB"/>
    <w:rsid w:val="00D73DDD"/>
    <w:rsid w:val="00D742FA"/>
    <w:rsid w:val="00D74314"/>
    <w:rsid w:val="00D7497E"/>
    <w:rsid w:val="00D749C9"/>
    <w:rsid w:val="00D74C84"/>
    <w:rsid w:val="00D7567D"/>
    <w:rsid w:val="00D75AD9"/>
    <w:rsid w:val="00D75F11"/>
    <w:rsid w:val="00D76170"/>
    <w:rsid w:val="00D76347"/>
    <w:rsid w:val="00D80E9B"/>
    <w:rsid w:val="00D80F8E"/>
    <w:rsid w:val="00D810DD"/>
    <w:rsid w:val="00D813DE"/>
    <w:rsid w:val="00D81896"/>
    <w:rsid w:val="00D818F7"/>
    <w:rsid w:val="00D8324D"/>
    <w:rsid w:val="00D8332B"/>
    <w:rsid w:val="00D834CE"/>
    <w:rsid w:val="00D83D36"/>
    <w:rsid w:val="00D84A6A"/>
    <w:rsid w:val="00D85293"/>
    <w:rsid w:val="00D85565"/>
    <w:rsid w:val="00D85A51"/>
    <w:rsid w:val="00D85C58"/>
    <w:rsid w:val="00D86105"/>
    <w:rsid w:val="00D867E9"/>
    <w:rsid w:val="00D869A2"/>
    <w:rsid w:val="00D86AC8"/>
    <w:rsid w:val="00D870E3"/>
    <w:rsid w:val="00D8728A"/>
    <w:rsid w:val="00D87F79"/>
    <w:rsid w:val="00D900B8"/>
    <w:rsid w:val="00D9014D"/>
    <w:rsid w:val="00D907E8"/>
    <w:rsid w:val="00D92710"/>
    <w:rsid w:val="00D92D7C"/>
    <w:rsid w:val="00D935F7"/>
    <w:rsid w:val="00D93654"/>
    <w:rsid w:val="00D9376F"/>
    <w:rsid w:val="00D9391B"/>
    <w:rsid w:val="00D93954"/>
    <w:rsid w:val="00D94016"/>
    <w:rsid w:val="00D94205"/>
    <w:rsid w:val="00D9465D"/>
    <w:rsid w:val="00D95329"/>
    <w:rsid w:val="00D9541B"/>
    <w:rsid w:val="00D954C0"/>
    <w:rsid w:val="00D9593A"/>
    <w:rsid w:val="00D95A13"/>
    <w:rsid w:val="00D9663E"/>
    <w:rsid w:val="00D96B89"/>
    <w:rsid w:val="00D96C5F"/>
    <w:rsid w:val="00D96D00"/>
    <w:rsid w:val="00D9765E"/>
    <w:rsid w:val="00D978D7"/>
    <w:rsid w:val="00D979A7"/>
    <w:rsid w:val="00D97C08"/>
    <w:rsid w:val="00DA0017"/>
    <w:rsid w:val="00DA039F"/>
    <w:rsid w:val="00DA0614"/>
    <w:rsid w:val="00DA0B29"/>
    <w:rsid w:val="00DA0B6E"/>
    <w:rsid w:val="00DA1A2B"/>
    <w:rsid w:val="00DA1AD2"/>
    <w:rsid w:val="00DA1E29"/>
    <w:rsid w:val="00DA2107"/>
    <w:rsid w:val="00DA2529"/>
    <w:rsid w:val="00DA25D9"/>
    <w:rsid w:val="00DA28F7"/>
    <w:rsid w:val="00DA32D9"/>
    <w:rsid w:val="00DA4895"/>
    <w:rsid w:val="00DA4B77"/>
    <w:rsid w:val="00DA4DE1"/>
    <w:rsid w:val="00DA5666"/>
    <w:rsid w:val="00DA5DDC"/>
    <w:rsid w:val="00DA62CE"/>
    <w:rsid w:val="00DA67E6"/>
    <w:rsid w:val="00DA6B06"/>
    <w:rsid w:val="00DA6CE6"/>
    <w:rsid w:val="00DA6E04"/>
    <w:rsid w:val="00DA7062"/>
    <w:rsid w:val="00DA7962"/>
    <w:rsid w:val="00DA79C9"/>
    <w:rsid w:val="00DA7A75"/>
    <w:rsid w:val="00DA7DED"/>
    <w:rsid w:val="00DB10A3"/>
    <w:rsid w:val="00DB1ECC"/>
    <w:rsid w:val="00DB378F"/>
    <w:rsid w:val="00DB3A2C"/>
    <w:rsid w:val="00DB41CC"/>
    <w:rsid w:val="00DB556C"/>
    <w:rsid w:val="00DB6CF3"/>
    <w:rsid w:val="00DB726C"/>
    <w:rsid w:val="00DC00BD"/>
    <w:rsid w:val="00DC04E7"/>
    <w:rsid w:val="00DC0771"/>
    <w:rsid w:val="00DC0C2D"/>
    <w:rsid w:val="00DC0CED"/>
    <w:rsid w:val="00DC0D77"/>
    <w:rsid w:val="00DC1005"/>
    <w:rsid w:val="00DC10E2"/>
    <w:rsid w:val="00DC1133"/>
    <w:rsid w:val="00DC17AA"/>
    <w:rsid w:val="00DC1853"/>
    <w:rsid w:val="00DC21C9"/>
    <w:rsid w:val="00DC28F0"/>
    <w:rsid w:val="00DC31B5"/>
    <w:rsid w:val="00DC383B"/>
    <w:rsid w:val="00DC3937"/>
    <w:rsid w:val="00DC3944"/>
    <w:rsid w:val="00DC3DB2"/>
    <w:rsid w:val="00DC4416"/>
    <w:rsid w:val="00DC482B"/>
    <w:rsid w:val="00DC4894"/>
    <w:rsid w:val="00DC4CC1"/>
    <w:rsid w:val="00DC4E02"/>
    <w:rsid w:val="00DC5229"/>
    <w:rsid w:val="00DC52FF"/>
    <w:rsid w:val="00DC5EC0"/>
    <w:rsid w:val="00DC68B1"/>
    <w:rsid w:val="00DC6ADD"/>
    <w:rsid w:val="00DC6E91"/>
    <w:rsid w:val="00DC71B8"/>
    <w:rsid w:val="00DC7A8D"/>
    <w:rsid w:val="00DC7F5D"/>
    <w:rsid w:val="00DD018C"/>
    <w:rsid w:val="00DD05E3"/>
    <w:rsid w:val="00DD0975"/>
    <w:rsid w:val="00DD1CEF"/>
    <w:rsid w:val="00DD25F4"/>
    <w:rsid w:val="00DD285D"/>
    <w:rsid w:val="00DD2E2A"/>
    <w:rsid w:val="00DD2E5E"/>
    <w:rsid w:val="00DD3272"/>
    <w:rsid w:val="00DD3495"/>
    <w:rsid w:val="00DD34B2"/>
    <w:rsid w:val="00DD4BB3"/>
    <w:rsid w:val="00DD4C84"/>
    <w:rsid w:val="00DD5237"/>
    <w:rsid w:val="00DD5475"/>
    <w:rsid w:val="00DD583D"/>
    <w:rsid w:val="00DD5B82"/>
    <w:rsid w:val="00DD6480"/>
    <w:rsid w:val="00DD67C3"/>
    <w:rsid w:val="00DD68C3"/>
    <w:rsid w:val="00DD68E3"/>
    <w:rsid w:val="00DE0392"/>
    <w:rsid w:val="00DE04E7"/>
    <w:rsid w:val="00DE12AC"/>
    <w:rsid w:val="00DE18C6"/>
    <w:rsid w:val="00DE1BA7"/>
    <w:rsid w:val="00DE1E64"/>
    <w:rsid w:val="00DE1EBD"/>
    <w:rsid w:val="00DE1F0B"/>
    <w:rsid w:val="00DE21EE"/>
    <w:rsid w:val="00DE2247"/>
    <w:rsid w:val="00DE3C34"/>
    <w:rsid w:val="00DE3E79"/>
    <w:rsid w:val="00DE42A9"/>
    <w:rsid w:val="00DE5436"/>
    <w:rsid w:val="00DE5614"/>
    <w:rsid w:val="00DE5E49"/>
    <w:rsid w:val="00DE5E8F"/>
    <w:rsid w:val="00DE5EA4"/>
    <w:rsid w:val="00DE66D5"/>
    <w:rsid w:val="00DE6964"/>
    <w:rsid w:val="00DE7E3F"/>
    <w:rsid w:val="00DF0216"/>
    <w:rsid w:val="00DF08D8"/>
    <w:rsid w:val="00DF0FD6"/>
    <w:rsid w:val="00DF15F9"/>
    <w:rsid w:val="00DF1BE5"/>
    <w:rsid w:val="00DF23CF"/>
    <w:rsid w:val="00DF2F83"/>
    <w:rsid w:val="00DF3011"/>
    <w:rsid w:val="00DF3579"/>
    <w:rsid w:val="00DF3893"/>
    <w:rsid w:val="00DF3930"/>
    <w:rsid w:val="00DF3BC6"/>
    <w:rsid w:val="00DF40FC"/>
    <w:rsid w:val="00DF42E3"/>
    <w:rsid w:val="00DF4303"/>
    <w:rsid w:val="00DF4BDD"/>
    <w:rsid w:val="00DF4E49"/>
    <w:rsid w:val="00DF52C1"/>
    <w:rsid w:val="00DF5916"/>
    <w:rsid w:val="00DF612A"/>
    <w:rsid w:val="00DF6735"/>
    <w:rsid w:val="00DF757C"/>
    <w:rsid w:val="00DF7868"/>
    <w:rsid w:val="00DF7AA3"/>
    <w:rsid w:val="00E004E3"/>
    <w:rsid w:val="00E00D3E"/>
    <w:rsid w:val="00E01491"/>
    <w:rsid w:val="00E01AF1"/>
    <w:rsid w:val="00E01DB4"/>
    <w:rsid w:val="00E02E5D"/>
    <w:rsid w:val="00E0327C"/>
    <w:rsid w:val="00E03670"/>
    <w:rsid w:val="00E0385E"/>
    <w:rsid w:val="00E03EC3"/>
    <w:rsid w:val="00E04173"/>
    <w:rsid w:val="00E042C2"/>
    <w:rsid w:val="00E0485F"/>
    <w:rsid w:val="00E04CE4"/>
    <w:rsid w:val="00E05803"/>
    <w:rsid w:val="00E06AC5"/>
    <w:rsid w:val="00E06E5B"/>
    <w:rsid w:val="00E077FC"/>
    <w:rsid w:val="00E07E02"/>
    <w:rsid w:val="00E10044"/>
    <w:rsid w:val="00E10665"/>
    <w:rsid w:val="00E108B7"/>
    <w:rsid w:val="00E10D76"/>
    <w:rsid w:val="00E111EC"/>
    <w:rsid w:val="00E1124A"/>
    <w:rsid w:val="00E11375"/>
    <w:rsid w:val="00E116F7"/>
    <w:rsid w:val="00E11A39"/>
    <w:rsid w:val="00E11AD7"/>
    <w:rsid w:val="00E12F41"/>
    <w:rsid w:val="00E13CD1"/>
    <w:rsid w:val="00E14EA3"/>
    <w:rsid w:val="00E14F4E"/>
    <w:rsid w:val="00E14FDB"/>
    <w:rsid w:val="00E151BD"/>
    <w:rsid w:val="00E169CA"/>
    <w:rsid w:val="00E16B09"/>
    <w:rsid w:val="00E16C71"/>
    <w:rsid w:val="00E171AB"/>
    <w:rsid w:val="00E175E4"/>
    <w:rsid w:val="00E20715"/>
    <w:rsid w:val="00E20802"/>
    <w:rsid w:val="00E21318"/>
    <w:rsid w:val="00E21344"/>
    <w:rsid w:val="00E214C4"/>
    <w:rsid w:val="00E214C9"/>
    <w:rsid w:val="00E22056"/>
    <w:rsid w:val="00E22171"/>
    <w:rsid w:val="00E24586"/>
    <w:rsid w:val="00E2546B"/>
    <w:rsid w:val="00E25B72"/>
    <w:rsid w:val="00E275C5"/>
    <w:rsid w:val="00E30A42"/>
    <w:rsid w:val="00E3138C"/>
    <w:rsid w:val="00E317F1"/>
    <w:rsid w:val="00E31E78"/>
    <w:rsid w:val="00E32377"/>
    <w:rsid w:val="00E335DC"/>
    <w:rsid w:val="00E338A8"/>
    <w:rsid w:val="00E3480D"/>
    <w:rsid w:val="00E34AA7"/>
    <w:rsid w:val="00E3504A"/>
    <w:rsid w:val="00E3587F"/>
    <w:rsid w:val="00E358E6"/>
    <w:rsid w:val="00E35922"/>
    <w:rsid w:val="00E359E5"/>
    <w:rsid w:val="00E35CE7"/>
    <w:rsid w:val="00E35E26"/>
    <w:rsid w:val="00E36A87"/>
    <w:rsid w:val="00E37443"/>
    <w:rsid w:val="00E37F38"/>
    <w:rsid w:val="00E40054"/>
    <w:rsid w:val="00E40C56"/>
    <w:rsid w:val="00E40DBB"/>
    <w:rsid w:val="00E40DE9"/>
    <w:rsid w:val="00E4177D"/>
    <w:rsid w:val="00E427FC"/>
    <w:rsid w:val="00E42DA3"/>
    <w:rsid w:val="00E43636"/>
    <w:rsid w:val="00E439AD"/>
    <w:rsid w:val="00E4425E"/>
    <w:rsid w:val="00E44909"/>
    <w:rsid w:val="00E44C83"/>
    <w:rsid w:val="00E45855"/>
    <w:rsid w:val="00E4593B"/>
    <w:rsid w:val="00E460BE"/>
    <w:rsid w:val="00E46182"/>
    <w:rsid w:val="00E46470"/>
    <w:rsid w:val="00E46AB8"/>
    <w:rsid w:val="00E477DA"/>
    <w:rsid w:val="00E479A1"/>
    <w:rsid w:val="00E47B04"/>
    <w:rsid w:val="00E5052C"/>
    <w:rsid w:val="00E51D6A"/>
    <w:rsid w:val="00E52140"/>
    <w:rsid w:val="00E527DE"/>
    <w:rsid w:val="00E52900"/>
    <w:rsid w:val="00E53BD4"/>
    <w:rsid w:val="00E550E7"/>
    <w:rsid w:val="00E551F1"/>
    <w:rsid w:val="00E556F0"/>
    <w:rsid w:val="00E55837"/>
    <w:rsid w:val="00E56726"/>
    <w:rsid w:val="00E569CF"/>
    <w:rsid w:val="00E571B6"/>
    <w:rsid w:val="00E57B68"/>
    <w:rsid w:val="00E57CE1"/>
    <w:rsid w:val="00E6030F"/>
    <w:rsid w:val="00E60C03"/>
    <w:rsid w:val="00E61448"/>
    <w:rsid w:val="00E61636"/>
    <w:rsid w:val="00E621F3"/>
    <w:rsid w:val="00E6312E"/>
    <w:rsid w:val="00E6314C"/>
    <w:rsid w:val="00E63715"/>
    <w:rsid w:val="00E63B8F"/>
    <w:rsid w:val="00E64413"/>
    <w:rsid w:val="00E64570"/>
    <w:rsid w:val="00E64A1B"/>
    <w:rsid w:val="00E64C4A"/>
    <w:rsid w:val="00E6536C"/>
    <w:rsid w:val="00E660B8"/>
    <w:rsid w:val="00E668A8"/>
    <w:rsid w:val="00E66901"/>
    <w:rsid w:val="00E6694E"/>
    <w:rsid w:val="00E66AAB"/>
    <w:rsid w:val="00E67056"/>
    <w:rsid w:val="00E67573"/>
    <w:rsid w:val="00E67B28"/>
    <w:rsid w:val="00E705AF"/>
    <w:rsid w:val="00E70EA1"/>
    <w:rsid w:val="00E710CB"/>
    <w:rsid w:val="00E72252"/>
    <w:rsid w:val="00E728D3"/>
    <w:rsid w:val="00E72AAB"/>
    <w:rsid w:val="00E72B66"/>
    <w:rsid w:val="00E73777"/>
    <w:rsid w:val="00E73CBB"/>
    <w:rsid w:val="00E73D8A"/>
    <w:rsid w:val="00E73D9D"/>
    <w:rsid w:val="00E74932"/>
    <w:rsid w:val="00E74C7F"/>
    <w:rsid w:val="00E74E5A"/>
    <w:rsid w:val="00E74E98"/>
    <w:rsid w:val="00E75D63"/>
    <w:rsid w:val="00E76BC3"/>
    <w:rsid w:val="00E80053"/>
    <w:rsid w:val="00E80885"/>
    <w:rsid w:val="00E80903"/>
    <w:rsid w:val="00E810AD"/>
    <w:rsid w:val="00E81594"/>
    <w:rsid w:val="00E817C0"/>
    <w:rsid w:val="00E82930"/>
    <w:rsid w:val="00E83017"/>
    <w:rsid w:val="00E8327D"/>
    <w:rsid w:val="00E83943"/>
    <w:rsid w:val="00E83A98"/>
    <w:rsid w:val="00E83B64"/>
    <w:rsid w:val="00E841D9"/>
    <w:rsid w:val="00E848BD"/>
    <w:rsid w:val="00E84C73"/>
    <w:rsid w:val="00E85589"/>
    <w:rsid w:val="00E85D2A"/>
    <w:rsid w:val="00E8692D"/>
    <w:rsid w:val="00E86C73"/>
    <w:rsid w:val="00E86D13"/>
    <w:rsid w:val="00E87333"/>
    <w:rsid w:val="00E87796"/>
    <w:rsid w:val="00E87C1B"/>
    <w:rsid w:val="00E87C22"/>
    <w:rsid w:val="00E9020B"/>
    <w:rsid w:val="00E90D76"/>
    <w:rsid w:val="00E924F4"/>
    <w:rsid w:val="00E926BD"/>
    <w:rsid w:val="00E92D39"/>
    <w:rsid w:val="00E93774"/>
    <w:rsid w:val="00E939B7"/>
    <w:rsid w:val="00E93AB6"/>
    <w:rsid w:val="00E93E0D"/>
    <w:rsid w:val="00E946B5"/>
    <w:rsid w:val="00E95034"/>
    <w:rsid w:val="00E954A3"/>
    <w:rsid w:val="00E95A65"/>
    <w:rsid w:val="00E95B27"/>
    <w:rsid w:val="00E96098"/>
    <w:rsid w:val="00E964DD"/>
    <w:rsid w:val="00E9672A"/>
    <w:rsid w:val="00E96AD2"/>
    <w:rsid w:val="00E97026"/>
    <w:rsid w:val="00E97054"/>
    <w:rsid w:val="00E9772E"/>
    <w:rsid w:val="00E9782B"/>
    <w:rsid w:val="00E97F5F"/>
    <w:rsid w:val="00EA0114"/>
    <w:rsid w:val="00EA04F9"/>
    <w:rsid w:val="00EA06F9"/>
    <w:rsid w:val="00EA0B28"/>
    <w:rsid w:val="00EA0E9F"/>
    <w:rsid w:val="00EA1037"/>
    <w:rsid w:val="00EA2AC3"/>
    <w:rsid w:val="00EA4198"/>
    <w:rsid w:val="00EA4317"/>
    <w:rsid w:val="00EA43C6"/>
    <w:rsid w:val="00EA57FF"/>
    <w:rsid w:val="00EA60E8"/>
    <w:rsid w:val="00EA6148"/>
    <w:rsid w:val="00EA638C"/>
    <w:rsid w:val="00EA64D1"/>
    <w:rsid w:val="00EA6A9E"/>
    <w:rsid w:val="00EA6F2D"/>
    <w:rsid w:val="00EA75B9"/>
    <w:rsid w:val="00EB04E4"/>
    <w:rsid w:val="00EB1070"/>
    <w:rsid w:val="00EB11C2"/>
    <w:rsid w:val="00EB1FDC"/>
    <w:rsid w:val="00EB20E2"/>
    <w:rsid w:val="00EB2246"/>
    <w:rsid w:val="00EB3CAB"/>
    <w:rsid w:val="00EB3EAF"/>
    <w:rsid w:val="00EB44F0"/>
    <w:rsid w:val="00EB4E50"/>
    <w:rsid w:val="00EB6101"/>
    <w:rsid w:val="00EB67CE"/>
    <w:rsid w:val="00EB6972"/>
    <w:rsid w:val="00EB6E4B"/>
    <w:rsid w:val="00EB6FED"/>
    <w:rsid w:val="00EB78E1"/>
    <w:rsid w:val="00EB7E03"/>
    <w:rsid w:val="00EC0043"/>
    <w:rsid w:val="00EC0733"/>
    <w:rsid w:val="00EC14DC"/>
    <w:rsid w:val="00EC2269"/>
    <w:rsid w:val="00EC3AEF"/>
    <w:rsid w:val="00EC45A5"/>
    <w:rsid w:val="00EC4C4E"/>
    <w:rsid w:val="00EC5A9B"/>
    <w:rsid w:val="00EC5BEB"/>
    <w:rsid w:val="00EC5F90"/>
    <w:rsid w:val="00EC62FB"/>
    <w:rsid w:val="00EC7014"/>
    <w:rsid w:val="00EC774E"/>
    <w:rsid w:val="00EC7778"/>
    <w:rsid w:val="00EC7791"/>
    <w:rsid w:val="00EC7F71"/>
    <w:rsid w:val="00ED0AFD"/>
    <w:rsid w:val="00ED13FC"/>
    <w:rsid w:val="00ED1541"/>
    <w:rsid w:val="00ED1C57"/>
    <w:rsid w:val="00ED2291"/>
    <w:rsid w:val="00ED2BFD"/>
    <w:rsid w:val="00ED3329"/>
    <w:rsid w:val="00ED38CE"/>
    <w:rsid w:val="00ED4A66"/>
    <w:rsid w:val="00ED4FEF"/>
    <w:rsid w:val="00ED543D"/>
    <w:rsid w:val="00ED5699"/>
    <w:rsid w:val="00ED6F53"/>
    <w:rsid w:val="00ED7851"/>
    <w:rsid w:val="00ED7901"/>
    <w:rsid w:val="00ED7E6F"/>
    <w:rsid w:val="00EE0220"/>
    <w:rsid w:val="00EE0FDB"/>
    <w:rsid w:val="00EE1293"/>
    <w:rsid w:val="00EE177A"/>
    <w:rsid w:val="00EE23D0"/>
    <w:rsid w:val="00EE2430"/>
    <w:rsid w:val="00EE274E"/>
    <w:rsid w:val="00EE2ED7"/>
    <w:rsid w:val="00EE30DD"/>
    <w:rsid w:val="00EE38A2"/>
    <w:rsid w:val="00EE39CA"/>
    <w:rsid w:val="00EE461D"/>
    <w:rsid w:val="00EE49A3"/>
    <w:rsid w:val="00EE4A04"/>
    <w:rsid w:val="00EE4E3F"/>
    <w:rsid w:val="00EE5BFB"/>
    <w:rsid w:val="00EE69E9"/>
    <w:rsid w:val="00EE6A37"/>
    <w:rsid w:val="00EE708C"/>
    <w:rsid w:val="00EE70BB"/>
    <w:rsid w:val="00EE7B9D"/>
    <w:rsid w:val="00EE7F53"/>
    <w:rsid w:val="00EF01B3"/>
    <w:rsid w:val="00EF0A1A"/>
    <w:rsid w:val="00EF0D1C"/>
    <w:rsid w:val="00EF0F9A"/>
    <w:rsid w:val="00EF10B8"/>
    <w:rsid w:val="00EF19DE"/>
    <w:rsid w:val="00EF2189"/>
    <w:rsid w:val="00EF293D"/>
    <w:rsid w:val="00EF3643"/>
    <w:rsid w:val="00EF4695"/>
    <w:rsid w:val="00EF46EE"/>
    <w:rsid w:val="00EF5EDF"/>
    <w:rsid w:val="00EF6DD3"/>
    <w:rsid w:val="00EF6E06"/>
    <w:rsid w:val="00F008DA"/>
    <w:rsid w:val="00F00997"/>
    <w:rsid w:val="00F00F51"/>
    <w:rsid w:val="00F0135E"/>
    <w:rsid w:val="00F01428"/>
    <w:rsid w:val="00F01ECE"/>
    <w:rsid w:val="00F01EF1"/>
    <w:rsid w:val="00F025D2"/>
    <w:rsid w:val="00F02EBB"/>
    <w:rsid w:val="00F0341C"/>
    <w:rsid w:val="00F0429E"/>
    <w:rsid w:val="00F049B6"/>
    <w:rsid w:val="00F059A3"/>
    <w:rsid w:val="00F0605B"/>
    <w:rsid w:val="00F066A2"/>
    <w:rsid w:val="00F06C7C"/>
    <w:rsid w:val="00F070E6"/>
    <w:rsid w:val="00F07114"/>
    <w:rsid w:val="00F07582"/>
    <w:rsid w:val="00F0784E"/>
    <w:rsid w:val="00F07A75"/>
    <w:rsid w:val="00F07B5E"/>
    <w:rsid w:val="00F07CCA"/>
    <w:rsid w:val="00F07E5B"/>
    <w:rsid w:val="00F07EBA"/>
    <w:rsid w:val="00F07F20"/>
    <w:rsid w:val="00F1051B"/>
    <w:rsid w:val="00F10955"/>
    <w:rsid w:val="00F10DD8"/>
    <w:rsid w:val="00F10DEB"/>
    <w:rsid w:val="00F11445"/>
    <w:rsid w:val="00F1194B"/>
    <w:rsid w:val="00F12688"/>
    <w:rsid w:val="00F12832"/>
    <w:rsid w:val="00F132E8"/>
    <w:rsid w:val="00F14846"/>
    <w:rsid w:val="00F14FAE"/>
    <w:rsid w:val="00F15FA0"/>
    <w:rsid w:val="00F165A4"/>
    <w:rsid w:val="00F17469"/>
    <w:rsid w:val="00F17816"/>
    <w:rsid w:val="00F20AE9"/>
    <w:rsid w:val="00F210A1"/>
    <w:rsid w:val="00F210E3"/>
    <w:rsid w:val="00F21663"/>
    <w:rsid w:val="00F219BF"/>
    <w:rsid w:val="00F21A1C"/>
    <w:rsid w:val="00F21D7F"/>
    <w:rsid w:val="00F23BCB"/>
    <w:rsid w:val="00F23DDB"/>
    <w:rsid w:val="00F23EFE"/>
    <w:rsid w:val="00F23F16"/>
    <w:rsid w:val="00F25380"/>
    <w:rsid w:val="00F255BE"/>
    <w:rsid w:val="00F258FF"/>
    <w:rsid w:val="00F25BDD"/>
    <w:rsid w:val="00F264AB"/>
    <w:rsid w:val="00F26B58"/>
    <w:rsid w:val="00F26CAE"/>
    <w:rsid w:val="00F26CC0"/>
    <w:rsid w:val="00F26F29"/>
    <w:rsid w:val="00F271F1"/>
    <w:rsid w:val="00F27AEA"/>
    <w:rsid w:val="00F3045B"/>
    <w:rsid w:val="00F30AB8"/>
    <w:rsid w:val="00F315EA"/>
    <w:rsid w:val="00F32081"/>
    <w:rsid w:val="00F32743"/>
    <w:rsid w:val="00F32CF0"/>
    <w:rsid w:val="00F33138"/>
    <w:rsid w:val="00F33B00"/>
    <w:rsid w:val="00F33C87"/>
    <w:rsid w:val="00F341A0"/>
    <w:rsid w:val="00F348A8"/>
    <w:rsid w:val="00F34D38"/>
    <w:rsid w:val="00F351D6"/>
    <w:rsid w:val="00F35746"/>
    <w:rsid w:val="00F358FF"/>
    <w:rsid w:val="00F35BA5"/>
    <w:rsid w:val="00F36031"/>
    <w:rsid w:val="00F363EC"/>
    <w:rsid w:val="00F3662F"/>
    <w:rsid w:val="00F37131"/>
    <w:rsid w:val="00F3753F"/>
    <w:rsid w:val="00F37564"/>
    <w:rsid w:val="00F404E1"/>
    <w:rsid w:val="00F407A9"/>
    <w:rsid w:val="00F40D21"/>
    <w:rsid w:val="00F431DE"/>
    <w:rsid w:val="00F45030"/>
    <w:rsid w:val="00F4568B"/>
    <w:rsid w:val="00F46764"/>
    <w:rsid w:val="00F46AD1"/>
    <w:rsid w:val="00F470C1"/>
    <w:rsid w:val="00F50815"/>
    <w:rsid w:val="00F510A6"/>
    <w:rsid w:val="00F51336"/>
    <w:rsid w:val="00F517C7"/>
    <w:rsid w:val="00F51C9E"/>
    <w:rsid w:val="00F51CA5"/>
    <w:rsid w:val="00F526A1"/>
    <w:rsid w:val="00F5364C"/>
    <w:rsid w:val="00F537CE"/>
    <w:rsid w:val="00F53BA8"/>
    <w:rsid w:val="00F53CF6"/>
    <w:rsid w:val="00F545CC"/>
    <w:rsid w:val="00F548F1"/>
    <w:rsid w:val="00F55CDF"/>
    <w:rsid w:val="00F573F7"/>
    <w:rsid w:val="00F57FAC"/>
    <w:rsid w:val="00F6027F"/>
    <w:rsid w:val="00F603E1"/>
    <w:rsid w:val="00F606BB"/>
    <w:rsid w:val="00F61C51"/>
    <w:rsid w:val="00F63220"/>
    <w:rsid w:val="00F63A19"/>
    <w:rsid w:val="00F63D1C"/>
    <w:rsid w:val="00F646D5"/>
    <w:rsid w:val="00F64C73"/>
    <w:rsid w:val="00F64EAC"/>
    <w:rsid w:val="00F65377"/>
    <w:rsid w:val="00F65899"/>
    <w:rsid w:val="00F65FAB"/>
    <w:rsid w:val="00F6681E"/>
    <w:rsid w:val="00F66AA1"/>
    <w:rsid w:val="00F66EB5"/>
    <w:rsid w:val="00F67E42"/>
    <w:rsid w:val="00F700B5"/>
    <w:rsid w:val="00F7085E"/>
    <w:rsid w:val="00F70B95"/>
    <w:rsid w:val="00F7115F"/>
    <w:rsid w:val="00F71A5E"/>
    <w:rsid w:val="00F71C5D"/>
    <w:rsid w:val="00F71E32"/>
    <w:rsid w:val="00F72874"/>
    <w:rsid w:val="00F72921"/>
    <w:rsid w:val="00F72EDB"/>
    <w:rsid w:val="00F740BD"/>
    <w:rsid w:val="00F74647"/>
    <w:rsid w:val="00F74732"/>
    <w:rsid w:val="00F7569A"/>
    <w:rsid w:val="00F76AFC"/>
    <w:rsid w:val="00F76BC4"/>
    <w:rsid w:val="00F76DAB"/>
    <w:rsid w:val="00F76E00"/>
    <w:rsid w:val="00F7762D"/>
    <w:rsid w:val="00F77669"/>
    <w:rsid w:val="00F77EC9"/>
    <w:rsid w:val="00F8054F"/>
    <w:rsid w:val="00F819D9"/>
    <w:rsid w:val="00F82590"/>
    <w:rsid w:val="00F82736"/>
    <w:rsid w:val="00F82DC3"/>
    <w:rsid w:val="00F83519"/>
    <w:rsid w:val="00F83B45"/>
    <w:rsid w:val="00F84020"/>
    <w:rsid w:val="00F840B7"/>
    <w:rsid w:val="00F8441A"/>
    <w:rsid w:val="00F84492"/>
    <w:rsid w:val="00F84B0F"/>
    <w:rsid w:val="00F864B1"/>
    <w:rsid w:val="00F86502"/>
    <w:rsid w:val="00F86D3D"/>
    <w:rsid w:val="00F87195"/>
    <w:rsid w:val="00F87A3F"/>
    <w:rsid w:val="00F87F17"/>
    <w:rsid w:val="00F90476"/>
    <w:rsid w:val="00F90554"/>
    <w:rsid w:val="00F90916"/>
    <w:rsid w:val="00F91C40"/>
    <w:rsid w:val="00F930C4"/>
    <w:rsid w:val="00F93698"/>
    <w:rsid w:val="00F9369C"/>
    <w:rsid w:val="00F94A34"/>
    <w:rsid w:val="00F94D01"/>
    <w:rsid w:val="00F9511E"/>
    <w:rsid w:val="00F9515A"/>
    <w:rsid w:val="00F9588C"/>
    <w:rsid w:val="00F962CD"/>
    <w:rsid w:val="00F973B3"/>
    <w:rsid w:val="00F97A10"/>
    <w:rsid w:val="00FA021E"/>
    <w:rsid w:val="00FA02F8"/>
    <w:rsid w:val="00FA116F"/>
    <w:rsid w:val="00FA1387"/>
    <w:rsid w:val="00FA18BD"/>
    <w:rsid w:val="00FA1912"/>
    <w:rsid w:val="00FA1AFF"/>
    <w:rsid w:val="00FA34BF"/>
    <w:rsid w:val="00FA36AE"/>
    <w:rsid w:val="00FA3C15"/>
    <w:rsid w:val="00FA4C03"/>
    <w:rsid w:val="00FA52AB"/>
    <w:rsid w:val="00FA54FF"/>
    <w:rsid w:val="00FA5668"/>
    <w:rsid w:val="00FA5DD4"/>
    <w:rsid w:val="00FA6891"/>
    <w:rsid w:val="00FA69B3"/>
    <w:rsid w:val="00FA6C5D"/>
    <w:rsid w:val="00FA7BC1"/>
    <w:rsid w:val="00FB01C8"/>
    <w:rsid w:val="00FB0B75"/>
    <w:rsid w:val="00FB0DBB"/>
    <w:rsid w:val="00FB16EA"/>
    <w:rsid w:val="00FB1E01"/>
    <w:rsid w:val="00FB349B"/>
    <w:rsid w:val="00FB34AD"/>
    <w:rsid w:val="00FB39AF"/>
    <w:rsid w:val="00FB3E5B"/>
    <w:rsid w:val="00FB4655"/>
    <w:rsid w:val="00FB485B"/>
    <w:rsid w:val="00FB553C"/>
    <w:rsid w:val="00FB55D6"/>
    <w:rsid w:val="00FB55DC"/>
    <w:rsid w:val="00FB6422"/>
    <w:rsid w:val="00FB6F62"/>
    <w:rsid w:val="00FB7DB0"/>
    <w:rsid w:val="00FC0A5C"/>
    <w:rsid w:val="00FC0DC2"/>
    <w:rsid w:val="00FC0E05"/>
    <w:rsid w:val="00FC0F9B"/>
    <w:rsid w:val="00FC1098"/>
    <w:rsid w:val="00FC10D6"/>
    <w:rsid w:val="00FC17B4"/>
    <w:rsid w:val="00FC1C5F"/>
    <w:rsid w:val="00FC1D6F"/>
    <w:rsid w:val="00FC23FE"/>
    <w:rsid w:val="00FC264E"/>
    <w:rsid w:val="00FC269C"/>
    <w:rsid w:val="00FC2EA5"/>
    <w:rsid w:val="00FC39DE"/>
    <w:rsid w:val="00FC3F14"/>
    <w:rsid w:val="00FC4F51"/>
    <w:rsid w:val="00FC5453"/>
    <w:rsid w:val="00FC5DE6"/>
    <w:rsid w:val="00FC6152"/>
    <w:rsid w:val="00FC7077"/>
    <w:rsid w:val="00FC71F7"/>
    <w:rsid w:val="00FC7243"/>
    <w:rsid w:val="00FC7525"/>
    <w:rsid w:val="00FC755B"/>
    <w:rsid w:val="00FC7889"/>
    <w:rsid w:val="00FC7B1E"/>
    <w:rsid w:val="00FD04DA"/>
    <w:rsid w:val="00FD06D3"/>
    <w:rsid w:val="00FD14D6"/>
    <w:rsid w:val="00FD173E"/>
    <w:rsid w:val="00FD1C5A"/>
    <w:rsid w:val="00FD1DCD"/>
    <w:rsid w:val="00FD2706"/>
    <w:rsid w:val="00FD3001"/>
    <w:rsid w:val="00FD3BD8"/>
    <w:rsid w:val="00FD4201"/>
    <w:rsid w:val="00FD43F0"/>
    <w:rsid w:val="00FD5204"/>
    <w:rsid w:val="00FD6051"/>
    <w:rsid w:val="00FD6181"/>
    <w:rsid w:val="00FD6502"/>
    <w:rsid w:val="00FD67CE"/>
    <w:rsid w:val="00FD76F6"/>
    <w:rsid w:val="00FD7A75"/>
    <w:rsid w:val="00FE1526"/>
    <w:rsid w:val="00FE15C3"/>
    <w:rsid w:val="00FE2A54"/>
    <w:rsid w:val="00FE30D4"/>
    <w:rsid w:val="00FE4537"/>
    <w:rsid w:val="00FE4628"/>
    <w:rsid w:val="00FE6615"/>
    <w:rsid w:val="00FE6BD1"/>
    <w:rsid w:val="00FE6DBC"/>
    <w:rsid w:val="00FE71AD"/>
    <w:rsid w:val="00FE762A"/>
    <w:rsid w:val="00FE792E"/>
    <w:rsid w:val="00FE795F"/>
    <w:rsid w:val="00FF0757"/>
    <w:rsid w:val="00FF0A0E"/>
    <w:rsid w:val="00FF13C8"/>
    <w:rsid w:val="00FF1AC1"/>
    <w:rsid w:val="00FF247C"/>
    <w:rsid w:val="00FF2B0E"/>
    <w:rsid w:val="00FF2B6A"/>
    <w:rsid w:val="00FF3134"/>
    <w:rsid w:val="00FF4074"/>
    <w:rsid w:val="00FF4172"/>
    <w:rsid w:val="00FF4545"/>
    <w:rsid w:val="00FF4D31"/>
    <w:rsid w:val="00FF569F"/>
    <w:rsid w:val="00FF5ADE"/>
    <w:rsid w:val="00FF5D6D"/>
    <w:rsid w:val="00FF5F67"/>
    <w:rsid w:val="00FF6386"/>
    <w:rsid w:val="00FF666F"/>
    <w:rsid w:val="00FF694F"/>
    <w:rsid w:val="00FF770F"/>
    <w:rsid w:val="00FF7F6C"/>
    <w:rsid w:val="015C1FB5"/>
    <w:rsid w:val="01895F7C"/>
    <w:rsid w:val="01DF38E1"/>
    <w:rsid w:val="03580DA6"/>
    <w:rsid w:val="036707C5"/>
    <w:rsid w:val="03BF18AB"/>
    <w:rsid w:val="03EF1D96"/>
    <w:rsid w:val="044010F5"/>
    <w:rsid w:val="0567744D"/>
    <w:rsid w:val="06401246"/>
    <w:rsid w:val="065C0B36"/>
    <w:rsid w:val="06EB4017"/>
    <w:rsid w:val="084830E7"/>
    <w:rsid w:val="088440DC"/>
    <w:rsid w:val="089A31A2"/>
    <w:rsid w:val="0A167202"/>
    <w:rsid w:val="0AFE7BE9"/>
    <w:rsid w:val="0B11785C"/>
    <w:rsid w:val="0BB2746F"/>
    <w:rsid w:val="0CA12BE0"/>
    <w:rsid w:val="0DB8768A"/>
    <w:rsid w:val="0DE135A9"/>
    <w:rsid w:val="0DFC7B8E"/>
    <w:rsid w:val="0E081F00"/>
    <w:rsid w:val="0EF03FF0"/>
    <w:rsid w:val="0EF9559A"/>
    <w:rsid w:val="107416DA"/>
    <w:rsid w:val="10C546BB"/>
    <w:rsid w:val="116A465C"/>
    <w:rsid w:val="11E229D5"/>
    <w:rsid w:val="129B4C67"/>
    <w:rsid w:val="12B24E31"/>
    <w:rsid w:val="12CC64F3"/>
    <w:rsid w:val="131E755E"/>
    <w:rsid w:val="132F2701"/>
    <w:rsid w:val="13854A71"/>
    <w:rsid w:val="14971BF9"/>
    <w:rsid w:val="14E330E8"/>
    <w:rsid w:val="158615A2"/>
    <w:rsid w:val="173A495B"/>
    <w:rsid w:val="18316568"/>
    <w:rsid w:val="190A0C26"/>
    <w:rsid w:val="19DF594D"/>
    <w:rsid w:val="1A325CC5"/>
    <w:rsid w:val="1A45756D"/>
    <w:rsid w:val="1B490183"/>
    <w:rsid w:val="1C362DA7"/>
    <w:rsid w:val="1C904FC7"/>
    <w:rsid w:val="1D962180"/>
    <w:rsid w:val="1DD77D62"/>
    <w:rsid w:val="1E114A6C"/>
    <w:rsid w:val="1E6B4C1A"/>
    <w:rsid w:val="1FD1360F"/>
    <w:rsid w:val="2017393B"/>
    <w:rsid w:val="23D636AF"/>
    <w:rsid w:val="23EE0C01"/>
    <w:rsid w:val="24AA3EB6"/>
    <w:rsid w:val="25087B24"/>
    <w:rsid w:val="253F1791"/>
    <w:rsid w:val="25D65804"/>
    <w:rsid w:val="266261FE"/>
    <w:rsid w:val="26695C4E"/>
    <w:rsid w:val="268C1374"/>
    <w:rsid w:val="26A2071E"/>
    <w:rsid w:val="26ED7870"/>
    <w:rsid w:val="274B6D69"/>
    <w:rsid w:val="289A2508"/>
    <w:rsid w:val="29106D21"/>
    <w:rsid w:val="2A1B7FBB"/>
    <w:rsid w:val="2A6C59E8"/>
    <w:rsid w:val="2AE84D49"/>
    <w:rsid w:val="2BE60086"/>
    <w:rsid w:val="2C0F7CCA"/>
    <w:rsid w:val="2C306CE3"/>
    <w:rsid w:val="2D574FA0"/>
    <w:rsid w:val="2E447A72"/>
    <w:rsid w:val="2F6F29DC"/>
    <w:rsid w:val="30320E5D"/>
    <w:rsid w:val="30F13AEB"/>
    <w:rsid w:val="31722F4A"/>
    <w:rsid w:val="31B24749"/>
    <w:rsid w:val="31F033D3"/>
    <w:rsid w:val="32332E2E"/>
    <w:rsid w:val="338B17D9"/>
    <w:rsid w:val="33B178F7"/>
    <w:rsid w:val="33F23EEF"/>
    <w:rsid w:val="388466D3"/>
    <w:rsid w:val="38956B0F"/>
    <w:rsid w:val="38B20E9C"/>
    <w:rsid w:val="39810D70"/>
    <w:rsid w:val="3AA01DD9"/>
    <w:rsid w:val="3B5271AB"/>
    <w:rsid w:val="3BBB3B11"/>
    <w:rsid w:val="3BE37418"/>
    <w:rsid w:val="3BF86DCC"/>
    <w:rsid w:val="3C296F30"/>
    <w:rsid w:val="3C7E5678"/>
    <w:rsid w:val="3D726847"/>
    <w:rsid w:val="3D901CC8"/>
    <w:rsid w:val="3E785FCD"/>
    <w:rsid w:val="3F9A40E3"/>
    <w:rsid w:val="44506AC9"/>
    <w:rsid w:val="44F616DE"/>
    <w:rsid w:val="454E2356"/>
    <w:rsid w:val="45B76568"/>
    <w:rsid w:val="45EA7AEA"/>
    <w:rsid w:val="4652390B"/>
    <w:rsid w:val="47644CF8"/>
    <w:rsid w:val="47D86971"/>
    <w:rsid w:val="4815407B"/>
    <w:rsid w:val="486A31E0"/>
    <w:rsid w:val="48902A5D"/>
    <w:rsid w:val="49E15450"/>
    <w:rsid w:val="4A335264"/>
    <w:rsid w:val="4A760A54"/>
    <w:rsid w:val="4B1022ED"/>
    <w:rsid w:val="4BF101FC"/>
    <w:rsid w:val="4C3140D6"/>
    <w:rsid w:val="4C5F2AE2"/>
    <w:rsid w:val="4D1315D4"/>
    <w:rsid w:val="4D9D29CC"/>
    <w:rsid w:val="4DA3665F"/>
    <w:rsid w:val="4EFE761C"/>
    <w:rsid w:val="4F5E6D8C"/>
    <w:rsid w:val="4F6833DD"/>
    <w:rsid w:val="4F7645EA"/>
    <w:rsid w:val="4FC05F58"/>
    <w:rsid w:val="50C874F6"/>
    <w:rsid w:val="519C4DD6"/>
    <w:rsid w:val="52027FCA"/>
    <w:rsid w:val="538F0A33"/>
    <w:rsid w:val="54164440"/>
    <w:rsid w:val="54BA3C9B"/>
    <w:rsid w:val="55147A22"/>
    <w:rsid w:val="557A5E75"/>
    <w:rsid w:val="55E9714E"/>
    <w:rsid w:val="565D7666"/>
    <w:rsid w:val="57C26244"/>
    <w:rsid w:val="58F14D5F"/>
    <w:rsid w:val="59515010"/>
    <w:rsid w:val="5A1B1448"/>
    <w:rsid w:val="5BC0696F"/>
    <w:rsid w:val="5BEB061A"/>
    <w:rsid w:val="5BF43DEE"/>
    <w:rsid w:val="5C4C589E"/>
    <w:rsid w:val="5E5A6261"/>
    <w:rsid w:val="5EFD512C"/>
    <w:rsid w:val="5F0B1C9B"/>
    <w:rsid w:val="5FD12C67"/>
    <w:rsid w:val="61162323"/>
    <w:rsid w:val="6365422A"/>
    <w:rsid w:val="63736A07"/>
    <w:rsid w:val="640E4C5D"/>
    <w:rsid w:val="65286D79"/>
    <w:rsid w:val="66685235"/>
    <w:rsid w:val="66840F86"/>
    <w:rsid w:val="669B6967"/>
    <w:rsid w:val="670E34C5"/>
    <w:rsid w:val="676730EC"/>
    <w:rsid w:val="67773AFC"/>
    <w:rsid w:val="68567186"/>
    <w:rsid w:val="689A5F80"/>
    <w:rsid w:val="68BD3D9C"/>
    <w:rsid w:val="692048D4"/>
    <w:rsid w:val="692F7E4E"/>
    <w:rsid w:val="697E3DCB"/>
    <w:rsid w:val="6AE35E29"/>
    <w:rsid w:val="6B4F59F8"/>
    <w:rsid w:val="6C776323"/>
    <w:rsid w:val="6CDD631E"/>
    <w:rsid w:val="6CEF6032"/>
    <w:rsid w:val="6D571391"/>
    <w:rsid w:val="6FE5402B"/>
    <w:rsid w:val="701626D9"/>
    <w:rsid w:val="70CC587C"/>
    <w:rsid w:val="720177CD"/>
    <w:rsid w:val="722136C3"/>
    <w:rsid w:val="722E5B3C"/>
    <w:rsid w:val="72DB157D"/>
    <w:rsid w:val="737C733D"/>
    <w:rsid w:val="748B330C"/>
    <w:rsid w:val="75017954"/>
    <w:rsid w:val="753F3200"/>
    <w:rsid w:val="75E5126F"/>
    <w:rsid w:val="766F506C"/>
    <w:rsid w:val="77D23F65"/>
    <w:rsid w:val="77E34B6D"/>
    <w:rsid w:val="780E6720"/>
    <w:rsid w:val="79520E42"/>
    <w:rsid w:val="79F06425"/>
    <w:rsid w:val="7A493262"/>
    <w:rsid w:val="7B4E6A03"/>
    <w:rsid w:val="7B7D427F"/>
    <w:rsid w:val="7BB26EA2"/>
    <w:rsid w:val="7C29462E"/>
    <w:rsid w:val="7C4A29B4"/>
    <w:rsid w:val="7C77104F"/>
    <w:rsid w:val="7DFA5849"/>
    <w:rsid w:val="7E64164C"/>
    <w:rsid w:val="7F3124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iPriority="99" w:name="footnote reference"/>
    <w:lsdException w:qFormat="1" w:unhideWhenUsed="0" w:uiPriority="99" w:semiHidden="0" w:name="annotation reference"/>
    <w:lsdException w:uiPriority="0" w:name="line number"/>
    <w:lsdException w:qFormat="1" w:unhideWhenUsed="0" w:uiPriority="0" w:semiHidden="0" w:name="page number"/>
    <w:lsdException w:qFormat="1" w:uiPriority="99" w:name="endnote reference"/>
    <w:lsdException w:qFormat="1" w:uiPriority="99" w:name="endnote text"/>
    <w:lsdException w:uiPriority="0" w:name="table of authorities"/>
    <w:lsdException w:qFormat="1" w:uiPriority="0" w:name="macro"/>
    <w:lsdException w:uiPriority="0" w:name="toa heading"/>
    <w:lsdException w:qFormat="1" w:unhideWhenUsed="0" w:uiPriority="99" w:semiHidden="0" w:name="List"/>
    <w:lsdException w:qFormat="1" w:unhideWhenUsed="0" w:uiPriority="0" w:name="List Bullet"/>
    <w:lsdException w:qFormat="1" w:unhideWhenUsed="0" w:uiPriority="0" w:semiHidden="0" w:name="List Number"/>
    <w:lsdException w:qFormat="1" w:unhideWhenUsed="0" w:uiPriority="0" w:name="List 2"/>
    <w:lsdException w:qFormat="1" w:unhideWhenUsed="0" w:uiPriority="0" w:name="List 3"/>
    <w:lsdException w:uiPriority="0" w:name="List 4"/>
    <w:lsdException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uiPriority="0" w:name="List Number 2"/>
    <w:lsdException w:uiPriority="0" w:name="List Number 3"/>
    <w:lsdException w:qFormat="1" w:unhideWhenUsed="0"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iPriority="99" w:semiHidden="0" w:name="Body Text"/>
    <w:lsdException w:qFormat="1" w:uiPriority="99" w:name="Body Text Indent"/>
    <w:lsdException w:uiPriority="0" w:name="List Continue"/>
    <w:lsdException w:qFormat="1" w:unhideWhenUsed="0" w:uiPriority="0" w:name="List Continue 2"/>
    <w:lsdException w:qFormat="1" w:unhideWhenUsed="0" w:uiPriority="0" w:name="List Continue 3"/>
    <w:lsdException w:uiPriority="0" w:name="List Continue 4"/>
    <w:lsdException w:uiPriority="0" w:name="List Continue 5"/>
    <w:lsdException w:qFormat="1" w:unhideWhenUsed="0" w:uiPriority="0" w:name="Message Header"/>
    <w:lsdException w:qFormat="1" w:unhideWhenUsed="0" w:uiPriority="11" w:semiHidden="0" w:name="Subtitle"/>
    <w:lsdException w:uiPriority="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nhideWhenUsed="0" w:uiPriority="0" w:semiHidden="0" w:name="Note Heading"/>
    <w:lsdException w:qFormat="1" w:uiPriority="0" w:semiHidden="0" w:name="Body Text 2"/>
    <w:lsdException w:qFormat="1" w:unhideWhenUsed="0" w:uiPriority="0" w:name="Body Text 3"/>
    <w:lsdException w:qFormat="1" w:unhideWhenUsed="0" w:uiPriority="0" w:name="Body Text Indent 2"/>
    <w:lsdException w:qFormat="1" w:unhideWhenUsed="0" w:uiPriority="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qFormat="1" w:unhideWhenUsed="0" w:uiPriority="0" w:name="Table Grid 5"/>
    <w:lsdException w:qFormat="1" w:unhideWhenUsed="0"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80"/>
    <w:qFormat/>
    <w:uiPriority w:val="9"/>
    <w:pPr>
      <w:keepNext/>
      <w:keepLines/>
      <w:numPr>
        <w:ilvl w:val="0"/>
        <w:numId w:val="1"/>
      </w:numPr>
      <w:tabs>
        <w:tab w:val="left" w:pos="0"/>
      </w:tabs>
      <w:spacing w:line="360" w:lineRule="auto"/>
      <w:outlineLvl w:val="0"/>
    </w:pPr>
    <w:rPr>
      <w:b/>
      <w:kern w:val="44"/>
      <w:sz w:val="32"/>
      <w:szCs w:val="21"/>
    </w:rPr>
  </w:style>
  <w:style w:type="paragraph" w:styleId="4">
    <w:name w:val="heading 2"/>
    <w:basedOn w:val="1"/>
    <w:next w:val="1"/>
    <w:link w:val="81"/>
    <w:qFormat/>
    <w:uiPriority w:val="9"/>
    <w:pPr>
      <w:keepNext/>
      <w:keepLines/>
      <w:numPr>
        <w:ilvl w:val="1"/>
        <w:numId w:val="1"/>
      </w:numPr>
      <w:tabs>
        <w:tab w:val="left" w:pos="0"/>
        <w:tab w:val="left" w:pos="709"/>
      </w:tabs>
      <w:spacing w:line="360" w:lineRule="auto"/>
      <w:jc w:val="left"/>
      <w:outlineLvl w:val="1"/>
    </w:pPr>
    <w:rPr>
      <w:b/>
      <w:bCs/>
      <w:smallCaps/>
      <w:sz w:val="30"/>
      <w:szCs w:val="28"/>
    </w:rPr>
  </w:style>
  <w:style w:type="paragraph" w:styleId="5">
    <w:name w:val="heading 3"/>
    <w:basedOn w:val="1"/>
    <w:next w:val="1"/>
    <w:link w:val="84"/>
    <w:qFormat/>
    <w:uiPriority w:val="9"/>
    <w:pPr>
      <w:keepNext/>
      <w:keepLines/>
      <w:numPr>
        <w:ilvl w:val="2"/>
        <w:numId w:val="1"/>
      </w:numPr>
      <w:tabs>
        <w:tab w:val="left" w:pos="0"/>
      </w:tabs>
      <w:spacing w:line="360" w:lineRule="auto"/>
      <w:ind w:firstLine="200" w:firstLineChars="200"/>
      <w:jc w:val="left"/>
      <w:outlineLvl w:val="2"/>
    </w:pPr>
    <w:rPr>
      <w:b/>
      <w:bCs/>
      <w:sz w:val="28"/>
      <w:szCs w:val="21"/>
    </w:rPr>
  </w:style>
  <w:style w:type="paragraph" w:styleId="6">
    <w:name w:val="heading 4"/>
    <w:basedOn w:val="1"/>
    <w:next w:val="1"/>
    <w:link w:val="85"/>
    <w:qFormat/>
    <w:uiPriority w:val="9"/>
    <w:pPr>
      <w:numPr>
        <w:ilvl w:val="3"/>
        <w:numId w:val="1"/>
      </w:numPr>
      <w:tabs>
        <w:tab w:val="left" w:pos="0"/>
      </w:tabs>
      <w:adjustRightInd w:val="0"/>
      <w:spacing w:before="60" w:after="60" w:line="360" w:lineRule="auto"/>
      <w:ind w:left="0" w:firstLine="567"/>
      <w:jc w:val="left"/>
      <w:textAlignment w:val="baseline"/>
      <w:outlineLvl w:val="3"/>
    </w:pPr>
    <w:rPr>
      <w:b/>
      <w:bCs/>
      <w:smallCaps/>
      <w:sz w:val="24"/>
    </w:rPr>
  </w:style>
  <w:style w:type="paragraph" w:styleId="7">
    <w:name w:val="heading 5"/>
    <w:basedOn w:val="1"/>
    <w:next w:val="8"/>
    <w:link w:val="86"/>
    <w:qFormat/>
    <w:uiPriority w:val="9"/>
    <w:pPr>
      <w:keepNext/>
      <w:keepLines/>
      <w:spacing w:beforeLines="25" w:afterLines="25" w:line="312" w:lineRule="auto"/>
      <w:ind w:firstLine="200" w:firstLineChars="200"/>
      <w:outlineLvl w:val="4"/>
    </w:pPr>
    <w:rPr>
      <w:b/>
      <w:kern w:val="0"/>
      <w:sz w:val="24"/>
      <w:szCs w:val="21"/>
    </w:rPr>
  </w:style>
  <w:style w:type="paragraph" w:styleId="10">
    <w:name w:val="heading 6"/>
    <w:basedOn w:val="1"/>
    <w:next w:val="1"/>
    <w:link w:val="87"/>
    <w:qFormat/>
    <w:uiPriority w:val="9"/>
    <w:pPr>
      <w:keepNext/>
      <w:keepLines/>
      <w:widowControl/>
      <w:numPr>
        <w:ilvl w:val="5"/>
        <w:numId w:val="2"/>
      </w:numPr>
      <w:tabs>
        <w:tab w:val="left" w:pos="0"/>
      </w:tabs>
      <w:spacing w:before="240" w:after="64" w:line="320" w:lineRule="auto"/>
      <w:jc w:val="left"/>
      <w:outlineLvl w:val="5"/>
    </w:pPr>
    <w:rPr>
      <w:rFonts w:ascii="Arial" w:hAnsi="Arial" w:eastAsia="黑体"/>
      <w:b/>
      <w:bCs/>
      <w:kern w:val="0"/>
      <w:sz w:val="24"/>
    </w:rPr>
  </w:style>
  <w:style w:type="paragraph" w:styleId="11">
    <w:name w:val="heading 7"/>
    <w:basedOn w:val="1"/>
    <w:next w:val="1"/>
    <w:link w:val="88"/>
    <w:qFormat/>
    <w:uiPriority w:val="9"/>
    <w:pPr>
      <w:keepNext/>
      <w:keepLines/>
      <w:widowControl/>
      <w:spacing w:before="240" w:after="64" w:line="320" w:lineRule="auto"/>
      <w:jc w:val="left"/>
      <w:outlineLvl w:val="6"/>
    </w:pPr>
    <w:rPr>
      <w:b/>
      <w:bCs/>
      <w:kern w:val="0"/>
      <w:sz w:val="24"/>
    </w:rPr>
  </w:style>
  <w:style w:type="paragraph" w:styleId="12">
    <w:name w:val="heading 8"/>
    <w:basedOn w:val="1"/>
    <w:next w:val="1"/>
    <w:link w:val="89"/>
    <w:qFormat/>
    <w:uiPriority w:val="9"/>
    <w:pPr>
      <w:keepNext/>
      <w:keepLines/>
      <w:widowControl/>
      <w:spacing w:before="240" w:after="64" w:line="320" w:lineRule="auto"/>
      <w:jc w:val="left"/>
      <w:outlineLvl w:val="7"/>
    </w:pPr>
    <w:rPr>
      <w:rFonts w:ascii="Arial" w:hAnsi="Arial" w:eastAsia="黑体"/>
      <w:kern w:val="0"/>
      <w:sz w:val="24"/>
    </w:rPr>
  </w:style>
  <w:style w:type="paragraph" w:styleId="13">
    <w:name w:val="heading 9"/>
    <w:basedOn w:val="1"/>
    <w:next w:val="1"/>
    <w:link w:val="90"/>
    <w:qFormat/>
    <w:uiPriority w:val="9"/>
    <w:pPr>
      <w:keepNext/>
      <w:keepLines/>
      <w:widowControl/>
      <w:spacing w:before="240" w:after="64" w:line="320" w:lineRule="auto"/>
      <w:jc w:val="left"/>
      <w:outlineLvl w:val="8"/>
    </w:pPr>
    <w:rPr>
      <w:rFonts w:ascii="Arial" w:hAnsi="Arial" w:eastAsia="黑体"/>
      <w:kern w:val="0"/>
      <w:szCs w:val="21"/>
    </w:rPr>
  </w:style>
  <w:style w:type="character" w:default="1" w:styleId="70">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styleId="2">
    <w:name w:val="macro"/>
    <w:link w:val="228"/>
    <w:semiHidden/>
    <w:unhideWhenUsed/>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customStyle="1" w:styleId="8">
    <w:name w:val="0正文样式"/>
    <w:basedOn w:val="9"/>
    <w:link w:val="83"/>
    <w:qFormat/>
    <w:uiPriority w:val="0"/>
    <w:pPr>
      <w:tabs>
        <w:tab w:val="left" w:pos="0"/>
        <w:tab w:val="left" w:pos="870"/>
        <w:tab w:val="left" w:pos="3150"/>
      </w:tabs>
    </w:pPr>
  </w:style>
  <w:style w:type="paragraph" w:customStyle="1" w:styleId="9">
    <w:name w:val="正文首行缩进 2 + Times New Roman"/>
    <w:basedOn w:val="1"/>
    <w:link w:val="82"/>
    <w:qFormat/>
    <w:uiPriority w:val="0"/>
    <w:pPr>
      <w:tabs>
        <w:tab w:val="left" w:pos="0"/>
        <w:tab w:val="left" w:pos="870"/>
        <w:tab w:val="left" w:pos="3150"/>
      </w:tabs>
      <w:autoSpaceDE w:val="0"/>
      <w:autoSpaceDN w:val="0"/>
      <w:spacing w:line="360" w:lineRule="auto"/>
      <w:ind w:firstLine="480" w:firstLineChars="200"/>
    </w:pPr>
    <w:rPr>
      <w:kern w:val="0"/>
      <w:sz w:val="24"/>
    </w:rPr>
  </w:style>
  <w:style w:type="paragraph" w:styleId="14">
    <w:name w:val="List 3"/>
    <w:basedOn w:val="1"/>
    <w:semiHidden/>
    <w:qFormat/>
    <w:uiPriority w:val="0"/>
    <w:pPr>
      <w:spacing w:line="360" w:lineRule="auto"/>
      <w:ind w:left="100" w:leftChars="400" w:hanging="200" w:hangingChars="200"/>
    </w:pPr>
  </w:style>
  <w:style w:type="paragraph" w:styleId="15">
    <w:name w:val="toc 7"/>
    <w:basedOn w:val="1"/>
    <w:next w:val="1"/>
    <w:qFormat/>
    <w:uiPriority w:val="39"/>
    <w:pPr>
      <w:ind w:left="2520" w:leftChars="1200"/>
    </w:pPr>
  </w:style>
  <w:style w:type="paragraph" w:styleId="16">
    <w:name w:val="Note Heading"/>
    <w:basedOn w:val="1"/>
    <w:next w:val="1"/>
    <w:link w:val="282"/>
    <w:qFormat/>
    <w:uiPriority w:val="0"/>
    <w:pPr>
      <w:jc w:val="center"/>
    </w:pPr>
    <w:rPr>
      <w:rFonts w:ascii="宋体"/>
      <w:szCs w:val="20"/>
    </w:rPr>
  </w:style>
  <w:style w:type="paragraph" w:styleId="17">
    <w:name w:val="List Bullet 4"/>
    <w:basedOn w:val="1"/>
    <w:semiHidden/>
    <w:qFormat/>
    <w:uiPriority w:val="0"/>
    <w:pPr>
      <w:tabs>
        <w:tab w:val="left" w:pos="432"/>
      </w:tabs>
      <w:adjustRightInd w:val="0"/>
      <w:spacing w:line="312" w:lineRule="atLeast"/>
      <w:ind w:left="432" w:hanging="432"/>
      <w:textAlignment w:val="baseline"/>
    </w:pPr>
    <w:rPr>
      <w:kern w:val="0"/>
      <w:szCs w:val="20"/>
    </w:rPr>
  </w:style>
  <w:style w:type="paragraph" w:styleId="18">
    <w:name w:val="List Number"/>
    <w:basedOn w:val="1"/>
    <w:qFormat/>
    <w:uiPriority w:val="0"/>
    <w:pPr>
      <w:tabs>
        <w:tab w:val="left" w:pos="360"/>
      </w:tabs>
      <w:adjustRightInd w:val="0"/>
      <w:snapToGrid w:val="0"/>
      <w:spacing w:before="60" w:line="400" w:lineRule="exact"/>
      <w:ind w:left="360"/>
    </w:pPr>
    <w:rPr>
      <w:sz w:val="24"/>
      <w:szCs w:val="20"/>
    </w:rPr>
  </w:style>
  <w:style w:type="paragraph" w:styleId="19">
    <w:name w:val="Normal Indent"/>
    <w:basedOn w:val="1"/>
    <w:next w:val="1"/>
    <w:link w:val="313"/>
    <w:qFormat/>
    <w:uiPriority w:val="0"/>
    <w:pPr>
      <w:spacing w:line="360" w:lineRule="auto"/>
      <w:ind w:firstLine="420" w:firstLineChars="200"/>
    </w:pPr>
    <w:rPr>
      <w:sz w:val="24"/>
    </w:rPr>
  </w:style>
  <w:style w:type="paragraph" w:styleId="20">
    <w:name w:val="caption"/>
    <w:basedOn w:val="1"/>
    <w:next w:val="1"/>
    <w:link w:val="94"/>
    <w:qFormat/>
    <w:uiPriority w:val="0"/>
    <w:pPr>
      <w:tabs>
        <w:tab w:val="center" w:pos="10467"/>
        <w:tab w:val="left" w:pos="13095"/>
      </w:tabs>
      <w:jc w:val="center"/>
    </w:pPr>
    <w:rPr>
      <w:b/>
      <w:sz w:val="24"/>
    </w:rPr>
  </w:style>
  <w:style w:type="paragraph" w:styleId="21">
    <w:name w:val="List Bullet"/>
    <w:basedOn w:val="1"/>
    <w:semiHidden/>
    <w:qFormat/>
    <w:uiPriority w:val="0"/>
    <w:pPr>
      <w:tabs>
        <w:tab w:val="left" w:pos="420"/>
      </w:tabs>
      <w:adjustRightInd w:val="0"/>
      <w:spacing w:line="312" w:lineRule="atLeast"/>
      <w:ind w:left="420" w:hanging="420"/>
      <w:textAlignment w:val="baseline"/>
    </w:pPr>
    <w:rPr>
      <w:kern w:val="0"/>
      <w:szCs w:val="20"/>
    </w:rPr>
  </w:style>
  <w:style w:type="paragraph" w:styleId="22">
    <w:name w:val="Document Map"/>
    <w:basedOn w:val="1"/>
    <w:link w:val="95"/>
    <w:qFormat/>
    <w:uiPriority w:val="99"/>
    <w:pPr>
      <w:shd w:val="clear" w:color="auto" w:fill="000080"/>
    </w:pPr>
  </w:style>
  <w:style w:type="paragraph" w:styleId="23">
    <w:name w:val="annotation text"/>
    <w:basedOn w:val="1"/>
    <w:link w:val="91"/>
    <w:qFormat/>
    <w:uiPriority w:val="99"/>
    <w:pPr>
      <w:jc w:val="left"/>
    </w:pPr>
  </w:style>
  <w:style w:type="paragraph" w:styleId="24">
    <w:name w:val="Body Text 3"/>
    <w:basedOn w:val="1"/>
    <w:link w:val="360"/>
    <w:semiHidden/>
    <w:qFormat/>
    <w:uiPriority w:val="0"/>
    <w:pPr>
      <w:adjustRightInd w:val="0"/>
      <w:spacing w:line="360" w:lineRule="auto"/>
      <w:jc w:val="center"/>
      <w:textAlignment w:val="baseline"/>
    </w:pPr>
    <w:rPr>
      <w:rFonts w:eastAsia="楷体_GB2312"/>
      <w:color w:val="0000FF"/>
      <w:spacing w:val="16"/>
      <w:kern w:val="0"/>
      <w:sz w:val="24"/>
      <w:szCs w:val="20"/>
    </w:rPr>
  </w:style>
  <w:style w:type="paragraph" w:styleId="25">
    <w:name w:val="List Bullet 3"/>
    <w:basedOn w:val="1"/>
    <w:semiHidden/>
    <w:qFormat/>
    <w:uiPriority w:val="0"/>
    <w:pPr>
      <w:tabs>
        <w:tab w:val="left" w:pos="1200"/>
      </w:tabs>
      <w:adjustRightInd w:val="0"/>
      <w:spacing w:line="312" w:lineRule="atLeast"/>
      <w:ind w:left="1200" w:hanging="360"/>
      <w:textAlignment w:val="baseline"/>
    </w:pPr>
    <w:rPr>
      <w:kern w:val="0"/>
      <w:szCs w:val="20"/>
    </w:rPr>
  </w:style>
  <w:style w:type="paragraph" w:styleId="26">
    <w:name w:val="Body Text"/>
    <w:basedOn w:val="1"/>
    <w:link w:val="96"/>
    <w:unhideWhenUsed/>
    <w:qFormat/>
    <w:uiPriority w:val="99"/>
    <w:pPr>
      <w:spacing w:after="120"/>
    </w:pPr>
  </w:style>
  <w:style w:type="paragraph" w:styleId="27">
    <w:name w:val="Body Text Indent"/>
    <w:basedOn w:val="1"/>
    <w:link w:val="286"/>
    <w:semiHidden/>
    <w:unhideWhenUsed/>
    <w:qFormat/>
    <w:uiPriority w:val="99"/>
    <w:pPr>
      <w:spacing w:after="120" w:line="360" w:lineRule="auto"/>
      <w:ind w:left="420" w:leftChars="200" w:firstLine="200" w:firstLineChars="200"/>
    </w:pPr>
    <w:rPr>
      <w:sz w:val="24"/>
    </w:rPr>
  </w:style>
  <w:style w:type="paragraph" w:styleId="28">
    <w:name w:val="List 2"/>
    <w:basedOn w:val="1"/>
    <w:semiHidden/>
    <w:qFormat/>
    <w:uiPriority w:val="0"/>
    <w:pPr>
      <w:spacing w:line="360" w:lineRule="auto"/>
      <w:ind w:left="100" w:leftChars="200" w:hanging="200" w:hangingChars="200"/>
    </w:pPr>
  </w:style>
  <w:style w:type="paragraph" w:styleId="29">
    <w:name w:val="List Bullet 2"/>
    <w:basedOn w:val="1"/>
    <w:semiHidden/>
    <w:qFormat/>
    <w:uiPriority w:val="0"/>
    <w:pPr>
      <w:tabs>
        <w:tab w:val="left" w:pos="780"/>
      </w:tabs>
      <w:adjustRightInd w:val="0"/>
      <w:spacing w:line="312" w:lineRule="atLeast"/>
      <w:ind w:left="780" w:hanging="360"/>
      <w:textAlignment w:val="baseline"/>
    </w:pPr>
    <w:rPr>
      <w:kern w:val="0"/>
      <w:szCs w:val="20"/>
    </w:rPr>
  </w:style>
  <w:style w:type="paragraph" w:styleId="30">
    <w:name w:val="toc 5"/>
    <w:basedOn w:val="1"/>
    <w:next w:val="1"/>
    <w:qFormat/>
    <w:uiPriority w:val="39"/>
    <w:pPr>
      <w:ind w:left="1680" w:leftChars="800"/>
    </w:pPr>
  </w:style>
  <w:style w:type="paragraph" w:styleId="31">
    <w:name w:val="toc 3"/>
    <w:basedOn w:val="1"/>
    <w:next w:val="1"/>
    <w:qFormat/>
    <w:uiPriority w:val="39"/>
    <w:pPr>
      <w:tabs>
        <w:tab w:val="left" w:pos="1052"/>
        <w:tab w:val="right" w:pos="1260"/>
        <w:tab w:val="right" w:leader="dot" w:pos="8610"/>
      </w:tabs>
      <w:ind w:left="420" w:right="80" w:rightChars="38"/>
    </w:pPr>
    <w:rPr>
      <w:sz w:val="24"/>
    </w:rPr>
  </w:style>
  <w:style w:type="paragraph" w:styleId="32">
    <w:name w:val="Plain Text"/>
    <w:basedOn w:val="1"/>
    <w:link w:val="97"/>
    <w:unhideWhenUsed/>
    <w:qFormat/>
    <w:uiPriority w:val="0"/>
    <w:rPr>
      <w:rFonts w:ascii="宋体" w:hAnsi="Courier New" w:cs="Courier New"/>
    </w:rPr>
  </w:style>
  <w:style w:type="paragraph" w:styleId="33">
    <w:name w:val="List Bullet 5"/>
    <w:basedOn w:val="1"/>
    <w:semiHidden/>
    <w:qFormat/>
    <w:uiPriority w:val="0"/>
    <w:pPr>
      <w:tabs>
        <w:tab w:val="left" w:pos="425"/>
      </w:tabs>
      <w:adjustRightInd w:val="0"/>
      <w:spacing w:line="312" w:lineRule="atLeast"/>
      <w:ind w:left="425" w:hanging="425"/>
      <w:textAlignment w:val="baseline"/>
    </w:pPr>
    <w:rPr>
      <w:kern w:val="0"/>
      <w:szCs w:val="20"/>
    </w:rPr>
  </w:style>
  <w:style w:type="paragraph" w:styleId="34">
    <w:name w:val="List Number 4"/>
    <w:basedOn w:val="1"/>
    <w:semiHidden/>
    <w:qFormat/>
    <w:uiPriority w:val="0"/>
    <w:pPr>
      <w:numPr>
        <w:ilvl w:val="0"/>
        <w:numId w:val="3"/>
      </w:numPr>
      <w:spacing w:line="360" w:lineRule="auto"/>
      <w:ind w:firstLine="0"/>
    </w:pPr>
    <w:rPr>
      <w:szCs w:val="20"/>
    </w:rPr>
  </w:style>
  <w:style w:type="paragraph" w:styleId="35">
    <w:name w:val="toc 8"/>
    <w:basedOn w:val="1"/>
    <w:next w:val="1"/>
    <w:qFormat/>
    <w:uiPriority w:val="39"/>
    <w:pPr>
      <w:ind w:left="2940" w:leftChars="1400"/>
    </w:pPr>
  </w:style>
  <w:style w:type="paragraph" w:styleId="36">
    <w:name w:val="Date"/>
    <w:basedOn w:val="1"/>
    <w:next w:val="1"/>
    <w:link w:val="98"/>
    <w:qFormat/>
    <w:uiPriority w:val="0"/>
    <w:pPr>
      <w:ind w:left="100" w:leftChars="2500"/>
    </w:pPr>
  </w:style>
  <w:style w:type="paragraph" w:styleId="37">
    <w:name w:val="Body Text Indent 2"/>
    <w:basedOn w:val="1"/>
    <w:link w:val="361"/>
    <w:semiHidden/>
    <w:qFormat/>
    <w:uiPriority w:val="0"/>
    <w:pPr>
      <w:spacing w:after="120" w:line="480" w:lineRule="auto"/>
      <w:ind w:left="420" w:leftChars="200"/>
    </w:pPr>
  </w:style>
  <w:style w:type="paragraph" w:styleId="38">
    <w:name w:val="endnote text"/>
    <w:basedOn w:val="1"/>
    <w:link w:val="358"/>
    <w:semiHidden/>
    <w:unhideWhenUsed/>
    <w:qFormat/>
    <w:uiPriority w:val="99"/>
    <w:pPr>
      <w:snapToGrid w:val="0"/>
      <w:spacing w:line="360" w:lineRule="auto"/>
      <w:ind w:firstLine="200" w:firstLineChars="200"/>
      <w:jc w:val="left"/>
    </w:pPr>
    <w:rPr>
      <w:rFonts w:eastAsiaTheme="minorEastAsia" w:cstheme="minorBidi"/>
      <w:sz w:val="24"/>
      <w:szCs w:val="22"/>
    </w:rPr>
  </w:style>
  <w:style w:type="paragraph" w:styleId="39">
    <w:name w:val="Balloon Text"/>
    <w:basedOn w:val="1"/>
    <w:link w:val="99"/>
    <w:qFormat/>
    <w:uiPriority w:val="99"/>
    <w:rPr>
      <w:sz w:val="18"/>
      <w:szCs w:val="18"/>
    </w:rPr>
  </w:style>
  <w:style w:type="paragraph" w:styleId="40">
    <w:name w:val="footer"/>
    <w:basedOn w:val="1"/>
    <w:link w:val="100"/>
    <w:qFormat/>
    <w:uiPriority w:val="99"/>
    <w:pPr>
      <w:tabs>
        <w:tab w:val="center" w:pos="4153"/>
        <w:tab w:val="right" w:pos="8306"/>
      </w:tabs>
      <w:snapToGrid w:val="0"/>
      <w:jc w:val="left"/>
    </w:pPr>
    <w:rPr>
      <w:sz w:val="18"/>
      <w:szCs w:val="18"/>
    </w:rPr>
  </w:style>
  <w:style w:type="paragraph" w:styleId="41">
    <w:name w:val="header"/>
    <w:basedOn w:val="1"/>
    <w:link w:val="101"/>
    <w:qFormat/>
    <w:uiPriority w:val="99"/>
    <w:pPr>
      <w:pBdr>
        <w:bottom w:val="single" w:color="auto" w:sz="6" w:space="1"/>
      </w:pBdr>
      <w:tabs>
        <w:tab w:val="center" w:pos="4153"/>
        <w:tab w:val="right" w:pos="8306"/>
      </w:tabs>
      <w:snapToGrid w:val="0"/>
      <w:jc w:val="center"/>
    </w:pPr>
    <w:rPr>
      <w:sz w:val="18"/>
      <w:szCs w:val="18"/>
    </w:rPr>
  </w:style>
  <w:style w:type="paragraph" w:styleId="42">
    <w:name w:val="toc 1"/>
    <w:basedOn w:val="1"/>
    <w:next w:val="1"/>
    <w:qFormat/>
    <w:uiPriority w:val="39"/>
    <w:pPr>
      <w:tabs>
        <w:tab w:val="left" w:pos="420"/>
        <w:tab w:val="right" w:leader="dot" w:pos="8640"/>
      </w:tabs>
      <w:snapToGrid w:val="0"/>
      <w:spacing w:before="120"/>
      <w:jc w:val="left"/>
    </w:pPr>
    <w:rPr>
      <w:b/>
      <w:bCs/>
      <w:iCs/>
      <w:sz w:val="24"/>
      <w:szCs w:val="28"/>
    </w:rPr>
  </w:style>
  <w:style w:type="paragraph" w:styleId="43">
    <w:name w:val="toc 4"/>
    <w:basedOn w:val="1"/>
    <w:next w:val="1"/>
    <w:qFormat/>
    <w:uiPriority w:val="39"/>
    <w:pPr>
      <w:ind w:left="630"/>
      <w:jc w:val="left"/>
    </w:pPr>
    <w:rPr>
      <w:sz w:val="18"/>
      <w:szCs w:val="18"/>
    </w:rPr>
  </w:style>
  <w:style w:type="paragraph" w:styleId="44">
    <w:name w:val="Subtitle"/>
    <w:basedOn w:val="1"/>
    <w:link w:val="102"/>
    <w:qFormat/>
    <w:uiPriority w:val="11"/>
    <w:pPr>
      <w:spacing w:before="240" w:after="60" w:line="312" w:lineRule="auto"/>
      <w:jc w:val="center"/>
      <w:outlineLvl w:val="1"/>
    </w:pPr>
    <w:rPr>
      <w:rFonts w:ascii="Arial" w:hAnsi="Arial" w:cs="Arial"/>
      <w:b/>
      <w:bCs/>
      <w:kern w:val="28"/>
      <w:sz w:val="24"/>
      <w:szCs w:val="32"/>
    </w:rPr>
  </w:style>
  <w:style w:type="paragraph" w:styleId="45">
    <w:name w:val="List"/>
    <w:basedOn w:val="1"/>
    <w:link w:val="799"/>
    <w:qFormat/>
    <w:uiPriority w:val="99"/>
    <w:pPr>
      <w:spacing w:line="360" w:lineRule="auto"/>
      <w:ind w:left="200" w:hanging="200" w:hangingChars="200"/>
    </w:pPr>
  </w:style>
  <w:style w:type="paragraph" w:styleId="46">
    <w:name w:val="footnote text"/>
    <w:basedOn w:val="1"/>
    <w:link w:val="308"/>
    <w:semiHidden/>
    <w:unhideWhenUsed/>
    <w:qFormat/>
    <w:uiPriority w:val="99"/>
    <w:pPr>
      <w:snapToGrid w:val="0"/>
      <w:spacing w:line="360" w:lineRule="auto"/>
      <w:ind w:firstLine="200" w:firstLineChars="200"/>
      <w:jc w:val="left"/>
    </w:pPr>
    <w:rPr>
      <w:rFonts w:eastAsiaTheme="minorEastAsia" w:cstheme="minorBidi"/>
      <w:sz w:val="18"/>
      <w:szCs w:val="18"/>
    </w:rPr>
  </w:style>
  <w:style w:type="paragraph" w:styleId="47">
    <w:name w:val="toc 6"/>
    <w:basedOn w:val="1"/>
    <w:next w:val="1"/>
    <w:qFormat/>
    <w:uiPriority w:val="39"/>
    <w:pPr>
      <w:ind w:left="2100" w:leftChars="1000"/>
    </w:pPr>
  </w:style>
  <w:style w:type="paragraph" w:styleId="48">
    <w:name w:val="Body Text Indent 3"/>
    <w:basedOn w:val="1"/>
    <w:link w:val="362"/>
    <w:semiHidden/>
    <w:qFormat/>
    <w:uiPriority w:val="0"/>
    <w:pPr>
      <w:spacing w:after="120" w:line="360" w:lineRule="auto"/>
      <w:ind w:left="420" w:leftChars="200"/>
    </w:pPr>
    <w:rPr>
      <w:rFonts w:asciiTheme="minorHAnsi" w:hAnsiTheme="minorHAnsi" w:cstheme="minorBidi"/>
      <w:sz w:val="16"/>
      <w:szCs w:val="16"/>
    </w:rPr>
  </w:style>
  <w:style w:type="paragraph" w:styleId="49">
    <w:name w:val="table of figures"/>
    <w:basedOn w:val="1"/>
    <w:next w:val="1"/>
    <w:qFormat/>
    <w:uiPriority w:val="99"/>
    <w:pPr>
      <w:widowControl/>
      <w:tabs>
        <w:tab w:val="right" w:leader="dot" w:pos="8889"/>
      </w:tabs>
      <w:spacing w:line="360" w:lineRule="auto"/>
      <w:jc w:val="left"/>
    </w:pPr>
    <w:rPr>
      <w:kern w:val="0"/>
      <w:sz w:val="24"/>
    </w:rPr>
  </w:style>
  <w:style w:type="paragraph" w:styleId="50">
    <w:name w:val="toc 2"/>
    <w:basedOn w:val="1"/>
    <w:next w:val="1"/>
    <w:qFormat/>
    <w:uiPriority w:val="39"/>
    <w:pPr>
      <w:tabs>
        <w:tab w:val="left" w:pos="735"/>
        <w:tab w:val="right" w:leader="dot" w:pos="8610"/>
      </w:tabs>
      <w:spacing w:before="120"/>
      <w:ind w:left="210"/>
      <w:jc w:val="left"/>
    </w:pPr>
    <w:rPr>
      <w:bCs/>
      <w:sz w:val="24"/>
      <w:szCs w:val="26"/>
    </w:rPr>
  </w:style>
  <w:style w:type="paragraph" w:styleId="51">
    <w:name w:val="toc 9"/>
    <w:basedOn w:val="1"/>
    <w:next w:val="1"/>
    <w:qFormat/>
    <w:uiPriority w:val="39"/>
    <w:pPr>
      <w:ind w:left="3360" w:leftChars="1600"/>
    </w:pPr>
  </w:style>
  <w:style w:type="paragraph" w:styleId="52">
    <w:name w:val="Body Text 2"/>
    <w:basedOn w:val="1"/>
    <w:link w:val="264"/>
    <w:unhideWhenUsed/>
    <w:qFormat/>
    <w:uiPriority w:val="0"/>
    <w:pPr>
      <w:spacing w:after="120" w:line="480" w:lineRule="auto"/>
      <w:ind w:firstLine="200" w:firstLineChars="200"/>
    </w:pPr>
    <w:rPr>
      <w:sz w:val="24"/>
    </w:rPr>
  </w:style>
  <w:style w:type="paragraph" w:styleId="53">
    <w:name w:val="List Continue 2"/>
    <w:basedOn w:val="1"/>
    <w:semiHidden/>
    <w:qFormat/>
    <w:uiPriority w:val="0"/>
    <w:pPr>
      <w:spacing w:after="120" w:line="360" w:lineRule="auto"/>
      <w:ind w:left="840" w:leftChars="400"/>
      <w:jc w:val="left"/>
    </w:pPr>
    <w:rPr>
      <w:sz w:val="24"/>
      <w:szCs w:val="20"/>
    </w:rPr>
  </w:style>
  <w:style w:type="paragraph" w:styleId="54">
    <w:name w:val="Message Header"/>
    <w:basedOn w:val="1"/>
    <w:link w:val="103"/>
    <w:semiHidden/>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rPr>
  </w:style>
  <w:style w:type="paragraph" w:styleId="55">
    <w:name w:val="HTML Preformatted"/>
    <w:basedOn w:val="1"/>
    <w:link w:val="239"/>
    <w:semiHidden/>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56">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57">
    <w:name w:val="List Continue 3"/>
    <w:basedOn w:val="1"/>
    <w:semiHidden/>
    <w:qFormat/>
    <w:uiPriority w:val="0"/>
    <w:pPr>
      <w:spacing w:after="120" w:line="360" w:lineRule="auto"/>
      <w:ind w:left="1260" w:leftChars="600"/>
      <w:jc w:val="left"/>
    </w:pPr>
    <w:rPr>
      <w:sz w:val="24"/>
      <w:szCs w:val="20"/>
    </w:rPr>
  </w:style>
  <w:style w:type="paragraph" w:styleId="58">
    <w:name w:val="index 1"/>
    <w:basedOn w:val="1"/>
    <w:next w:val="1"/>
    <w:semiHidden/>
    <w:qFormat/>
    <w:uiPriority w:val="0"/>
    <w:pPr>
      <w:spacing w:line="320" w:lineRule="exact"/>
      <w:jc w:val="center"/>
    </w:pPr>
    <w:rPr>
      <w:rFonts w:ascii="宋体" w:hAnsi="宋体"/>
    </w:rPr>
  </w:style>
  <w:style w:type="paragraph" w:styleId="59">
    <w:name w:val="Title"/>
    <w:basedOn w:val="1"/>
    <w:next w:val="1"/>
    <w:link w:val="294"/>
    <w:qFormat/>
    <w:uiPriority w:val="10"/>
    <w:pPr>
      <w:spacing w:line="360" w:lineRule="auto"/>
      <w:jc w:val="center"/>
    </w:pPr>
    <w:rPr>
      <w:rFonts w:cstheme="majorBidi"/>
      <w:b/>
      <w:bCs/>
      <w:sz w:val="24"/>
      <w:szCs w:val="32"/>
    </w:rPr>
  </w:style>
  <w:style w:type="paragraph" w:styleId="60">
    <w:name w:val="annotation subject"/>
    <w:basedOn w:val="23"/>
    <w:next w:val="23"/>
    <w:link w:val="92"/>
    <w:qFormat/>
    <w:uiPriority w:val="99"/>
    <w:rPr>
      <w:b/>
      <w:bCs/>
    </w:rPr>
  </w:style>
  <w:style w:type="paragraph" w:styleId="61">
    <w:name w:val="Body Text First Indent"/>
    <w:basedOn w:val="1"/>
    <w:link w:val="93"/>
    <w:qFormat/>
    <w:uiPriority w:val="0"/>
    <w:pPr>
      <w:topLinePunct/>
      <w:adjustRightInd w:val="0"/>
      <w:snapToGrid w:val="0"/>
      <w:spacing w:line="420" w:lineRule="exact"/>
      <w:ind w:firstLine="480" w:firstLineChars="200"/>
      <w:textAlignment w:val="baseline"/>
    </w:pPr>
    <w:rPr>
      <w:kern w:val="0"/>
      <w:sz w:val="24"/>
      <w:szCs w:val="20"/>
    </w:rPr>
  </w:style>
  <w:style w:type="paragraph" w:styleId="62">
    <w:name w:val="Body Text First Indent 2"/>
    <w:basedOn w:val="27"/>
    <w:link w:val="299"/>
    <w:semiHidden/>
    <w:unhideWhenUsed/>
    <w:qFormat/>
    <w:uiPriority w:val="0"/>
    <w:pPr>
      <w:spacing w:line="240" w:lineRule="auto"/>
      <w:ind w:firstLine="420"/>
    </w:pPr>
    <w:rPr>
      <w:sz w:val="21"/>
    </w:rPr>
  </w:style>
  <w:style w:type="table" w:styleId="64">
    <w:name w:val="Table Grid"/>
    <w:basedOn w:val="6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5">
    <w:name w:val="Table Theme"/>
    <w:basedOn w:val="63"/>
    <w:qFormat/>
    <w:uiPriority w:val="0"/>
    <w:pPr>
      <w:widowControl w:val="0"/>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6">
    <w:name w:val="Table Grid 5"/>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67">
    <w:name w:val="Table Grid 6"/>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68">
    <w:name w:val="Light Shading"/>
    <w:basedOn w:val="63"/>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69">
    <w:name w:val="Light Shading Accent 4"/>
    <w:basedOn w:val="63"/>
    <w:qFormat/>
    <w:uiPriority w:val="60"/>
    <w:rPr>
      <w:rFonts w:asciiTheme="minorHAnsi" w:hAnsiTheme="minorHAnsi" w:eastAsiaTheme="minorEastAsia" w:cstheme="minorBidi"/>
      <w:color w:val="BF9000" w:themeColor="accent4" w:themeShade="BF"/>
      <w:kern w:val="2"/>
      <w:sz w:val="21"/>
      <w:szCs w:val="22"/>
    </w:rPr>
    <w:tblPr>
      <w:tblBorders>
        <w:top w:val="single" w:color="FFC000" w:themeColor="accent4" w:sz="8" w:space="0"/>
        <w:bottom w:val="single" w:color="FFC000" w:themeColor="accent4" w:sz="8" w:space="0"/>
      </w:tblBorders>
    </w:tblPr>
    <w:tblStylePr w:type="fir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la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BF" w:themeFill="accent4" w:themeFillTint="3F"/>
      </w:tcPr>
    </w:tblStylePr>
    <w:tblStylePr w:type="band1Horz">
      <w:tblPr/>
      <w:tcPr>
        <w:tcBorders>
          <w:left w:val="nil"/>
          <w:right w:val="nil"/>
          <w:insideH w:val="nil"/>
          <w:insideV w:val="nil"/>
        </w:tcBorders>
        <w:shd w:val="clear" w:color="auto" w:fill="FFEFBF" w:themeFill="accent4" w:themeFillTint="3F"/>
      </w:tcPr>
    </w:tblStylePr>
  </w:style>
  <w:style w:type="character" w:styleId="71">
    <w:name w:val="Strong"/>
    <w:qFormat/>
    <w:uiPriority w:val="22"/>
    <w:rPr>
      <w:b/>
      <w:bCs/>
    </w:rPr>
  </w:style>
  <w:style w:type="character" w:styleId="72">
    <w:name w:val="endnote reference"/>
    <w:basedOn w:val="70"/>
    <w:semiHidden/>
    <w:unhideWhenUsed/>
    <w:qFormat/>
    <w:uiPriority w:val="99"/>
    <w:rPr>
      <w:vertAlign w:val="superscript"/>
    </w:rPr>
  </w:style>
  <w:style w:type="character" w:styleId="73">
    <w:name w:val="page number"/>
    <w:basedOn w:val="70"/>
    <w:qFormat/>
    <w:uiPriority w:val="0"/>
  </w:style>
  <w:style w:type="character" w:styleId="74">
    <w:name w:val="FollowedHyperlink"/>
    <w:qFormat/>
    <w:uiPriority w:val="99"/>
    <w:rPr>
      <w:color w:val="800080"/>
      <w:u w:val="single"/>
    </w:rPr>
  </w:style>
  <w:style w:type="character" w:styleId="75">
    <w:name w:val="Emphasis"/>
    <w:qFormat/>
    <w:uiPriority w:val="0"/>
    <w:rPr>
      <w:color w:val="CC0000"/>
    </w:rPr>
  </w:style>
  <w:style w:type="character" w:styleId="76">
    <w:name w:val="Hyperlink"/>
    <w:qFormat/>
    <w:uiPriority w:val="99"/>
    <w:rPr>
      <w:color w:val="0000FF"/>
      <w:u w:val="single"/>
    </w:rPr>
  </w:style>
  <w:style w:type="character" w:styleId="77">
    <w:name w:val="annotation reference"/>
    <w:qFormat/>
    <w:uiPriority w:val="99"/>
    <w:rPr>
      <w:sz w:val="21"/>
      <w:szCs w:val="21"/>
    </w:rPr>
  </w:style>
  <w:style w:type="character" w:styleId="78">
    <w:name w:val="footnote reference"/>
    <w:basedOn w:val="70"/>
    <w:semiHidden/>
    <w:unhideWhenUsed/>
    <w:qFormat/>
    <w:uiPriority w:val="99"/>
    <w:rPr>
      <w:vertAlign w:val="superscript"/>
    </w:rPr>
  </w:style>
  <w:style w:type="paragraph" w:customStyle="1" w:styleId="79">
    <w:name w:val="样式1"/>
    <w:hidden/>
    <w:qFormat/>
    <w:uiPriority w:val="99"/>
    <w:pPr>
      <w:jc w:val="center"/>
    </w:pPr>
    <w:rPr>
      <w:rFonts w:eastAsia="Times New Roman" w:asciiTheme="minorHAnsi" w:hAnsiTheme="minorHAnsi" w:cstheme="minorBidi"/>
      <w:kern w:val="2"/>
      <w:sz w:val="21"/>
      <w:szCs w:val="22"/>
    </w:rPr>
  </w:style>
  <w:style w:type="character" w:customStyle="1" w:styleId="80">
    <w:name w:val="标题 1 字符"/>
    <w:link w:val="3"/>
    <w:qFormat/>
    <w:uiPriority w:val="9"/>
    <w:rPr>
      <w:b/>
      <w:kern w:val="44"/>
      <w:sz w:val="32"/>
      <w:szCs w:val="21"/>
    </w:rPr>
  </w:style>
  <w:style w:type="character" w:customStyle="1" w:styleId="81">
    <w:name w:val="标题 2 字符"/>
    <w:link w:val="4"/>
    <w:qFormat/>
    <w:uiPriority w:val="9"/>
    <w:rPr>
      <w:b/>
      <w:bCs/>
      <w:smallCaps/>
      <w:kern w:val="2"/>
      <w:sz w:val="30"/>
      <w:szCs w:val="28"/>
    </w:rPr>
  </w:style>
  <w:style w:type="character" w:customStyle="1" w:styleId="82">
    <w:name w:val="正文首行缩进 2 + Times New Roman Char"/>
    <w:link w:val="9"/>
    <w:qFormat/>
    <w:uiPriority w:val="0"/>
    <w:rPr>
      <w:sz w:val="24"/>
      <w:szCs w:val="24"/>
    </w:rPr>
  </w:style>
  <w:style w:type="character" w:customStyle="1" w:styleId="83">
    <w:name w:val="0正文样式 Char"/>
    <w:link w:val="8"/>
    <w:qFormat/>
    <w:uiPriority w:val="0"/>
    <w:rPr>
      <w:sz w:val="24"/>
      <w:szCs w:val="24"/>
    </w:rPr>
  </w:style>
  <w:style w:type="character" w:customStyle="1" w:styleId="84">
    <w:name w:val="标题 3 字符"/>
    <w:link w:val="5"/>
    <w:qFormat/>
    <w:uiPriority w:val="9"/>
    <w:rPr>
      <w:b/>
      <w:bCs/>
      <w:kern w:val="2"/>
      <w:sz w:val="28"/>
      <w:szCs w:val="21"/>
    </w:rPr>
  </w:style>
  <w:style w:type="character" w:customStyle="1" w:styleId="85">
    <w:name w:val="标题 4 字符"/>
    <w:link w:val="6"/>
    <w:qFormat/>
    <w:uiPriority w:val="9"/>
    <w:rPr>
      <w:b/>
      <w:bCs/>
      <w:smallCaps/>
      <w:kern w:val="2"/>
      <w:sz w:val="24"/>
      <w:szCs w:val="24"/>
    </w:rPr>
  </w:style>
  <w:style w:type="character" w:customStyle="1" w:styleId="86">
    <w:name w:val="标题 5 字符"/>
    <w:link w:val="7"/>
    <w:qFormat/>
    <w:uiPriority w:val="9"/>
    <w:rPr>
      <w:b/>
      <w:sz w:val="24"/>
      <w:szCs w:val="21"/>
    </w:rPr>
  </w:style>
  <w:style w:type="character" w:customStyle="1" w:styleId="87">
    <w:name w:val="标题 6 字符"/>
    <w:link w:val="10"/>
    <w:qFormat/>
    <w:uiPriority w:val="9"/>
    <w:rPr>
      <w:rFonts w:ascii="Arial" w:hAnsi="Arial" w:eastAsia="黑体"/>
      <w:b/>
      <w:bCs/>
      <w:sz w:val="24"/>
      <w:szCs w:val="24"/>
    </w:rPr>
  </w:style>
  <w:style w:type="character" w:customStyle="1" w:styleId="88">
    <w:name w:val="标题 7 字符"/>
    <w:link w:val="11"/>
    <w:qFormat/>
    <w:uiPriority w:val="9"/>
    <w:rPr>
      <w:b/>
      <w:bCs/>
      <w:sz w:val="24"/>
      <w:szCs w:val="24"/>
    </w:rPr>
  </w:style>
  <w:style w:type="character" w:customStyle="1" w:styleId="89">
    <w:name w:val="标题 8 字符"/>
    <w:link w:val="12"/>
    <w:qFormat/>
    <w:uiPriority w:val="9"/>
    <w:rPr>
      <w:rFonts w:ascii="Arial" w:hAnsi="Arial" w:eastAsia="黑体"/>
      <w:sz w:val="24"/>
      <w:szCs w:val="24"/>
    </w:rPr>
  </w:style>
  <w:style w:type="character" w:customStyle="1" w:styleId="90">
    <w:name w:val="标题 9 字符"/>
    <w:link w:val="13"/>
    <w:qFormat/>
    <w:uiPriority w:val="9"/>
    <w:rPr>
      <w:rFonts w:ascii="Arial" w:hAnsi="Arial" w:eastAsia="黑体"/>
      <w:sz w:val="21"/>
      <w:szCs w:val="21"/>
    </w:rPr>
  </w:style>
  <w:style w:type="character" w:customStyle="1" w:styleId="91">
    <w:name w:val="批注文字 字符"/>
    <w:link w:val="23"/>
    <w:qFormat/>
    <w:uiPriority w:val="99"/>
    <w:rPr>
      <w:kern w:val="2"/>
      <w:sz w:val="21"/>
      <w:szCs w:val="24"/>
    </w:rPr>
  </w:style>
  <w:style w:type="character" w:customStyle="1" w:styleId="92">
    <w:name w:val="批注主题 字符"/>
    <w:link w:val="60"/>
    <w:semiHidden/>
    <w:qFormat/>
    <w:uiPriority w:val="99"/>
    <w:rPr>
      <w:b/>
      <w:bCs/>
      <w:kern w:val="2"/>
      <w:sz w:val="21"/>
      <w:szCs w:val="24"/>
    </w:rPr>
  </w:style>
  <w:style w:type="character" w:customStyle="1" w:styleId="93">
    <w:name w:val="正文文本首行缩进 字符"/>
    <w:link w:val="61"/>
    <w:qFormat/>
    <w:uiPriority w:val="0"/>
    <w:rPr>
      <w:sz w:val="24"/>
    </w:rPr>
  </w:style>
  <w:style w:type="character" w:customStyle="1" w:styleId="94">
    <w:name w:val="题注 字符1"/>
    <w:link w:val="20"/>
    <w:qFormat/>
    <w:uiPriority w:val="0"/>
    <w:rPr>
      <w:b/>
      <w:kern w:val="2"/>
      <w:sz w:val="24"/>
      <w:szCs w:val="24"/>
    </w:rPr>
  </w:style>
  <w:style w:type="character" w:customStyle="1" w:styleId="95">
    <w:name w:val="文档结构图 字符"/>
    <w:link w:val="22"/>
    <w:qFormat/>
    <w:uiPriority w:val="99"/>
    <w:rPr>
      <w:rFonts w:eastAsia="宋体"/>
      <w:kern w:val="2"/>
      <w:sz w:val="21"/>
      <w:szCs w:val="24"/>
      <w:lang w:val="en-US" w:eastAsia="zh-CN" w:bidi="ar-SA"/>
    </w:rPr>
  </w:style>
  <w:style w:type="character" w:customStyle="1" w:styleId="96">
    <w:name w:val="正文文本 字符"/>
    <w:link w:val="26"/>
    <w:qFormat/>
    <w:uiPriority w:val="99"/>
    <w:rPr>
      <w:kern w:val="2"/>
      <w:sz w:val="21"/>
      <w:szCs w:val="24"/>
    </w:rPr>
  </w:style>
  <w:style w:type="character" w:customStyle="1" w:styleId="97">
    <w:name w:val="纯文本 字符"/>
    <w:link w:val="32"/>
    <w:qFormat/>
    <w:uiPriority w:val="0"/>
    <w:rPr>
      <w:rFonts w:ascii="宋体" w:hAnsi="Courier New" w:eastAsia="宋体" w:cs="Courier New"/>
      <w:kern w:val="2"/>
      <w:sz w:val="21"/>
      <w:szCs w:val="24"/>
    </w:rPr>
  </w:style>
  <w:style w:type="character" w:customStyle="1" w:styleId="98">
    <w:name w:val="日期 字符"/>
    <w:link w:val="36"/>
    <w:qFormat/>
    <w:uiPriority w:val="0"/>
    <w:rPr>
      <w:kern w:val="2"/>
      <w:sz w:val="21"/>
      <w:szCs w:val="24"/>
    </w:rPr>
  </w:style>
  <w:style w:type="character" w:customStyle="1" w:styleId="99">
    <w:name w:val="批注框文本 字符"/>
    <w:link w:val="39"/>
    <w:qFormat/>
    <w:uiPriority w:val="99"/>
    <w:rPr>
      <w:kern w:val="2"/>
      <w:sz w:val="18"/>
      <w:szCs w:val="18"/>
    </w:rPr>
  </w:style>
  <w:style w:type="character" w:customStyle="1" w:styleId="100">
    <w:name w:val="页脚 字符"/>
    <w:link w:val="40"/>
    <w:qFormat/>
    <w:uiPriority w:val="99"/>
    <w:rPr>
      <w:kern w:val="2"/>
      <w:sz w:val="18"/>
      <w:szCs w:val="18"/>
    </w:rPr>
  </w:style>
  <w:style w:type="character" w:customStyle="1" w:styleId="101">
    <w:name w:val="页眉 字符"/>
    <w:link w:val="41"/>
    <w:qFormat/>
    <w:uiPriority w:val="99"/>
    <w:rPr>
      <w:rFonts w:eastAsia="宋体"/>
      <w:kern w:val="2"/>
      <w:sz w:val="18"/>
      <w:szCs w:val="18"/>
      <w:lang w:val="en-US" w:eastAsia="zh-CN" w:bidi="ar-SA"/>
    </w:rPr>
  </w:style>
  <w:style w:type="character" w:customStyle="1" w:styleId="102">
    <w:name w:val="副标题 字符"/>
    <w:link w:val="44"/>
    <w:qFormat/>
    <w:uiPriority w:val="11"/>
    <w:rPr>
      <w:rFonts w:ascii="Arial" w:hAnsi="Arial" w:cs="Arial"/>
      <w:b/>
      <w:bCs/>
      <w:kern w:val="28"/>
      <w:sz w:val="24"/>
      <w:szCs w:val="32"/>
    </w:rPr>
  </w:style>
  <w:style w:type="character" w:customStyle="1" w:styleId="103">
    <w:name w:val="信息标题 字符"/>
    <w:link w:val="54"/>
    <w:semiHidden/>
    <w:qFormat/>
    <w:uiPriority w:val="0"/>
    <w:rPr>
      <w:rFonts w:ascii="Arial" w:hAnsi="Arial" w:cs="Arial"/>
      <w:kern w:val="2"/>
      <w:sz w:val="24"/>
      <w:szCs w:val="24"/>
      <w:shd w:val="pct20" w:color="auto" w:fill="auto"/>
    </w:rPr>
  </w:style>
  <w:style w:type="character" w:customStyle="1" w:styleId="104">
    <w:name w:val="表格备注"/>
    <w:qFormat/>
    <w:uiPriority w:val="0"/>
    <w:rPr>
      <w:rFonts w:ascii="华文楷体" w:hAnsi="华文楷体" w:eastAsia="楷体_GB2312"/>
      <w:kern w:val="0"/>
      <w:sz w:val="21"/>
    </w:rPr>
  </w:style>
  <w:style w:type="paragraph" w:customStyle="1" w:styleId="105">
    <w:name w:val="表格文字2"/>
    <w:basedOn w:val="1"/>
    <w:link w:val="106"/>
    <w:qFormat/>
    <w:uiPriority w:val="0"/>
    <w:pPr>
      <w:tabs>
        <w:tab w:val="left" w:pos="277"/>
        <w:tab w:val="left" w:pos="600"/>
        <w:tab w:val="left" w:pos="780"/>
        <w:tab w:val="left" w:pos="2517"/>
      </w:tabs>
      <w:adjustRightInd w:val="0"/>
      <w:spacing w:before="60"/>
      <w:jc w:val="center"/>
      <w:textAlignment w:val="baseline"/>
    </w:pPr>
    <w:rPr>
      <w:kern w:val="0"/>
      <w:szCs w:val="21"/>
    </w:rPr>
  </w:style>
  <w:style w:type="character" w:customStyle="1" w:styleId="106">
    <w:name w:val="表格文字2 Char"/>
    <w:link w:val="105"/>
    <w:qFormat/>
    <w:uiPriority w:val="0"/>
    <w:rPr>
      <w:sz w:val="21"/>
      <w:szCs w:val="21"/>
    </w:rPr>
  </w:style>
  <w:style w:type="paragraph" w:customStyle="1" w:styleId="107">
    <w:name w:val="表格文字1"/>
    <w:basedOn w:val="105"/>
    <w:qFormat/>
    <w:uiPriority w:val="0"/>
  </w:style>
  <w:style w:type="paragraph" w:customStyle="1" w:styleId="108">
    <w:name w:val="封面工程项目名称"/>
    <w:basedOn w:val="1"/>
    <w:qFormat/>
    <w:uiPriority w:val="0"/>
    <w:pPr>
      <w:spacing w:line="360" w:lineRule="auto"/>
      <w:jc w:val="center"/>
    </w:pPr>
    <w:rPr>
      <w:rFonts w:eastAsia="楷体_GB2312" w:cs="宋体"/>
      <w:b/>
      <w:bCs/>
      <w:spacing w:val="24"/>
      <w:sz w:val="52"/>
      <w:szCs w:val="20"/>
    </w:rPr>
  </w:style>
  <w:style w:type="paragraph" w:customStyle="1" w:styleId="109">
    <w:name w:val="环境影响报告书"/>
    <w:basedOn w:val="1"/>
    <w:next w:val="1"/>
    <w:qFormat/>
    <w:uiPriority w:val="0"/>
    <w:pPr>
      <w:jc w:val="center"/>
    </w:pPr>
    <w:rPr>
      <w:rFonts w:eastAsia="黑体" w:cs="宋体"/>
      <w:b/>
      <w:bCs/>
      <w:spacing w:val="30"/>
      <w:sz w:val="52"/>
      <w:szCs w:val="20"/>
    </w:rPr>
  </w:style>
  <w:style w:type="paragraph" w:customStyle="1" w:styleId="110">
    <w:name w:val="环科院名称"/>
    <w:basedOn w:val="1"/>
    <w:qFormat/>
    <w:uiPriority w:val="0"/>
    <w:pPr>
      <w:ind w:left="-7" w:leftChars="-10" w:hanging="14" w:hangingChars="4"/>
      <w:jc w:val="center"/>
    </w:pPr>
    <w:rPr>
      <w:rFonts w:ascii="楷体_GB2312" w:hAnsi="华文楷体" w:eastAsia="楷体_GB2312" w:cs="宋体"/>
      <w:b/>
      <w:bCs/>
      <w:spacing w:val="20"/>
      <w:sz w:val="32"/>
      <w:szCs w:val="20"/>
    </w:rPr>
  </w:style>
  <w:style w:type="paragraph" w:customStyle="1" w:styleId="111">
    <w:name w:val="环科院英文名称"/>
    <w:basedOn w:val="1"/>
    <w:qFormat/>
    <w:uiPriority w:val="0"/>
    <w:pPr>
      <w:pBdr>
        <w:top w:val="single" w:color="auto" w:sz="4" w:space="1"/>
        <w:between w:val="single" w:color="auto" w:sz="4" w:space="1"/>
      </w:pBdr>
      <w:ind w:firstLine="21" w:firstLineChars="10"/>
      <w:jc w:val="center"/>
    </w:pPr>
    <w:rPr>
      <w:rFonts w:cs="宋体"/>
      <w:szCs w:val="20"/>
    </w:rPr>
  </w:style>
  <w:style w:type="paragraph" w:customStyle="1" w:styleId="112">
    <w:name w:val="目录"/>
    <w:basedOn w:val="1"/>
    <w:next w:val="1"/>
    <w:qFormat/>
    <w:uiPriority w:val="0"/>
    <w:pPr>
      <w:spacing w:before="240" w:after="240" w:line="312" w:lineRule="auto"/>
      <w:jc w:val="center"/>
    </w:pPr>
    <w:rPr>
      <w:rFonts w:cs="宋体"/>
      <w:b/>
      <w:bCs/>
      <w:sz w:val="36"/>
      <w:szCs w:val="20"/>
    </w:rPr>
  </w:style>
  <w:style w:type="table" w:customStyle="1" w:styleId="113">
    <w:name w:val="三线表"/>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paragraph" w:customStyle="1" w:styleId="114">
    <w:name w:val="送审/报批稿"/>
    <w:basedOn w:val="1"/>
    <w:next w:val="1"/>
    <w:qFormat/>
    <w:uiPriority w:val="0"/>
    <w:pPr>
      <w:jc w:val="center"/>
    </w:pPr>
    <w:rPr>
      <w:rFonts w:ascii="华文新魏" w:eastAsia="华文新魏" w:cs="宋体"/>
      <w:sz w:val="44"/>
      <w:szCs w:val="20"/>
    </w:rPr>
  </w:style>
  <w:style w:type="paragraph" w:customStyle="1" w:styleId="115">
    <w:name w:val="附件抬头"/>
    <w:basedOn w:val="1"/>
    <w:next w:val="9"/>
    <w:qFormat/>
    <w:uiPriority w:val="0"/>
    <w:pPr>
      <w:jc w:val="left"/>
      <w:outlineLvl w:val="0"/>
    </w:pPr>
    <w:rPr>
      <w:b/>
      <w:sz w:val="28"/>
    </w:rPr>
  </w:style>
  <w:style w:type="paragraph" w:customStyle="1" w:styleId="116">
    <w:name w:val="宋体"/>
    <w:basedOn w:val="1"/>
    <w:link w:val="117"/>
    <w:qFormat/>
    <w:uiPriority w:val="0"/>
    <w:pPr>
      <w:topLinePunct/>
      <w:adjustRightInd w:val="0"/>
      <w:snapToGrid w:val="0"/>
      <w:spacing w:line="360" w:lineRule="auto"/>
      <w:ind w:firstLine="200" w:firstLineChars="200"/>
    </w:pPr>
    <w:rPr>
      <w:rFonts w:cs="宋体"/>
      <w:sz w:val="24"/>
    </w:rPr>
  </w:style>
  <w:style w:type="character" w:customStyle="1" w:styleId="117">
    <w:name w:val="宋体 Char"/>
    <w:link w:val="116"/>
    <w:qFormat/>
    <w:uiPriority w:val="0"/>
    <w:rPr>
      <w:rFonts w:eastAsia="宋体" w:cs="宋体"/>
      <w:kern w:val="2"/>
      <w:sz w:val="24"/>
      <w:szCs w:val="24"/>
      <w:lang w:val="en-US" w:eastAsia="zh-CN" w:bidi="ar-SA"/>
    </w:rPr>
  </w:style>
  <w:style w:type="paragraph" w:styleId="118">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styleId="119">
    <w:name w:val="List Paragraph"/>
    <w:basedOn w:val="1"/>
    <w:link w:val="248"/>
    <w:qFormat/>
    <w:uiPriority w:val="0"/>
    <w:pPr>
      <w:ind w:firstLine="420" w:firstLineChars="200"/>
    </w:pPr>
    <w:rPr>
      <w:szCs w:val="20"/>
    </w:rPr>
  </w:style>
  <w:style w:type="paragraph" w:customStyle="1" w:styleId="120">
    <w:name w:val="表格内容"/>
    <w:link w:val="121"/>
    <w:qFormat/>
    <w:uiPriority w:val="0"/>
    <w:pPr>
      <w:jc w:val="center"/>
    </w:pPr>
    <w:rPr>
      <w:rFonts w:ascii="Times New Roman" w:hAnsi="Times New Roman" w:eastAsia="宋体" w:cs="Times New Roman"/>
      <w:sz w:val="24"/>
      <w:lang w:val="en-US" w:eastAsia="zh-CN" w:bidi="ar-SA"/>
    </w:rPr>
  </w:style>
  <w:style w:type="character" w:customStyle="1" w:styleId="121">
    <w:name w:val="表格内容 Char"/>
    <w:link w:val="120"/>
    <w:qFormat/>
    <w:uiPriority w:val="0"/>
    <w:rPr>
      <w:sz w:val="24"/>
    </w:rPr>
  </w:style>
  <w:style w:type="character" w:customStyle="1" w:styleId="122">
    <w:name w:val="Char Char1"/>
    <w:semiHidden/>
    <w:qFormat/>
    <w:uiPriority w:val="0"/>
    <w:rPr>
      <w:kern w:val="2"/>
      <w:sz w:val="18"/>
      <w:szCs w:val="18"/>
    </w:rPr>
  </w:style>
  <w:style w:type="paragraph" w:customStyle="1" w:styleId="123">
    <w:name w:val="3"/>
    <w:basedOn w:val="1"/>
    <w:semiHidden/>
    <w:qFormat/>
    <w:uiPriority w:val="0"/>
    <w:rPr>
      <w:rFonts w:ascii="宋体" w:hAnsi="宋体" w:cs="宋体"/>
      <w:sz w:val="36"/>
    </w:rPr>
  </w:style>
  <w:style w:type="table" w:customStyle="1" w:styleId="124">
    <w:name w:val="三线表1"/>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table" w:customStyle="1" w:styleId="125">
    <w:name w:val="网格表 1 浅色1"/>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26">
    <w:name w:val="报告表格文字"/>
    <w:basedOn w:val="1"/>
    <w:qFormat/>
    <w:uiPriority w:val="0"/>
    <w:pPr>
      <w:spacing w:before="100" w:beforeAutospacing="1" w:after="100" w:afterAutospacing="1"/>
    </w:pPr>
  </w:style>
  <w:style w:type="paragraph" w:customStyle="1" w:styleId="127">
    <w:name w:val="报告表文字1"/>
    <w:basedOn w:val="1"/>
    <w:qFormat/>
    <w:uiPriority w:val="0"/>
    <w:pPr>
      <w:jc w:val="center"/>
    </w:pPr>
    <w:rPr>
      <w:rFonts w:ascii="宋体" w:hAnsi="宋体"/>
      <w:sz w:val="24"/>
    </w:rPr>
  </w:style>
  <w:style w:type="table" w:customStyle="1" w:styleId="128">
    <w:name w:val="表格样式2"/>
    <w:basedOn w:val="63"/>
    <w:qFormat/>
    <w:uiPriority w:val="0"/>
    <w:pPr>
      <w:jc w:val="center"/>
    </w:p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9">
    <w:name w:val="表头"/>
    <w:basedOn w:val="1"/>
    <w:next w:val="1"/>
    <w:qFormat/>
    <w:uiPriority w:val="0"/>
    <w:pPr>
      <w:adjustRightInd w:val="0"/>
      <w:jc w:val="center"/>
      <w:textAlignment w:val="baseline"/>
    </w:pPr>
    <w:rPr>
      <w:snapToGrid w:val="0"/>
      <w:kern w:val="24"/>
      <w:sz w:val="24"/>
    </w:rPr>
  </w:style>
  <w:style w:type="paragraph" w:customStyle="1" w:styleId="130">
    <w:name w:val="登记表表头文字"/>
    <w:basedOn w:val="1"/>
    <w:next w:val="1"/>
    <w:qFormat/>
    <w:uiPriority w:val="0"/>
    <w:pPr>
      <w:spacing w:after="100" w:afterAutospacing="1"/>
      <w:jc w:val="center"/>
      <w:outlineLvl w:val="0"/>
    </w:pPr>
    <w:rPr>
      <w:rFonts w:eastAsia="黑体" w:cs="宋体"/>
      <w:b/>
      <w:bCs/>
      <w:sz w:val="32"/>
    </w:rPr>
  </w:style>
  <w:style w:type="paragraph" w:customStyle="1" w:styleId="131">
    <w:name w:val="封面标题1"/>
    <w:basedOn w:val="1"/>
    <w:qFormat/>
    <w:uiPriority w:val="0"/>
    <w:pPr>
      <w:spacing w:line="360" w:lineRule="auto"/>
      <w:jc w:val="center"/>
    </w:pPr>
    <w:rPr>
      <w:rFonts w:eastAsia="楷体_GB2312"/>
      <w:b/>
      <w:sz w:val="72"/>
    </w:rPr>
  </w:style>
  <w:style w:type="paragraph" w:customStyle="1" w:styleId="132">
    <w:name w:val="附图抬头"/>
    <w:basedOn w:val="1"/>
    <w:next w:val="1"/>
    <w:qFormat/>
    <w:uiPriority w:val="0"/>
    <w:pPr>
      <w:jc w:val="center"/>
      <w:outlineLvl w:val="0"/>
    </w:pPr>
    <w:rPr>
      <w:b/>
      <w:sz w:val="28"/>
    </w:rPr>
  </w:style>
  <w:style w:type="paragraph" w:customStyle="1" w:styleId="133">
    <w:name w:val="项目名称"/>
    <w:basedOn w:val="1"/>
    <w:qFormat/>
    <w:uiPriority w:val="0"/>
    <w:pPr>
      <w:ind w:firstLine="822" w:firstLineChars="256"/>
    </w:pPr>
    <w:rPr>
      <w:rFonts w:ascii="楷体_GB2312" w:eastAsia="楷体_GB2312" w:cs="宋体"/>
      <w:b/>
      <w:bCs/>
      <w:sz w:val="32"/>
      <w:u w:val="single"/>
    </w:rPr>
  </w:style>
  <w:style w:type="paragraph" w:customStyle="1" w:styleId="134">
    <w:name w:val="责任表参加人签名"/>
    <w:basedOn w:val="1"/>
    <w:next w:val="1"/>
    <w:qFormat/>
    <w:uiPriority w:val="99"/>
    <w:pPr>
      <w:jc w:val="center"/>
    </w:pPr>
    <w:rPr>
      <w:rFonts w:eastAsia="楷体_GB2312"/>
      <w:snapToGrid w:val="0"/>
      <w:kern w:val="0"/>
      <w:sz w:val="28"/>
      <w:szCs w:val="28"/>
    </w:rPr>
  </w:style>
  <w:style w:type="character" w:customStyle="1" w:styleId="135">
    <w:name w:val="责任人"/>
    <w:qFormat/>
    <w:uiPriority w:val="0"/>
    <w:rPr>
      <w:rFonts w:ascii="楷体_GB2312" w:hAnsi="楷体_GB2312" w:eastAsia="楷体_GB2312"/>
      <w:sz w:val="30"/>
      <w:u w:val="single"/>
    </w:rPr>
  </w:style>
  <w:style w:type="character" w:customStyle="1" w:styleId="136">
    <w:name w:val="fontstyle01"/>
    <w:qFormat/>
    <w:uiPriority w:val="0"/>
    <w:rPr>
      <w:rFonts w:hint="eastAsia" w:ascii="黑体" w:hAnsi="黑体" w:eastAsia="黑体"/>
      <w:color w:val="000000"/>
      <w:sz w:val="24"/>
      <w:szCs w:val="24"/>
    </w:rPr>
  </w:style>
  <w:style w:type="paragraph" w:customStyle="1" w:styleId="137">
    <w:name w:val="修订1"/>
    <w:hidden/>
    <w:qFormat/>
    <w:uiPriority w:val="99"/>
    <w:rPr>
      <w:rFonts w:ascii="Times New Roman" w:hAnsi="Times New Roman" w:eastAsia="宋体" w:cs="Times New Roman"/>
      <w:kern w:val="2"/>
      <w:sz w:val="21"/>
      <w:szCs w:val="24"/>
      <w:lang w:val="en-US" w:eastAsia="zh-CN" w:bidi="ar-SA"/>
    </w:rPr>
  </w:style>
  <w:style w:type="character" w:customStyle="1" w:styleId="138">
    <w:name w:val="fontstyle21"/>
    <w:qFormat/>
    <w:uiPriority w:val="0"/>
    <w:rPr>
      <w:rFonts w:hint="default" w:ascii="TimesNewRoman" w:hAnsi="TimesNewRoman"/>
      <w:color w:val="000000"/>
      <w:sz w:val="24"/>
      <w:szCs w:val="24"/>
    </w:rPr>
  </w:style>
  <w:style w:type="character" w:customStyle="1" w:styleId="139">
    <w:name w:val="标准正文 Char"/>
    <w:link w:val="140"/>
    <w:qFormat/>
    <w:uiPriority w:val="0"/>
    <w:rPr>
      <w:sz w:val="24"/>
    </w:rPr>
  </w:style>
  <w:style w:type="paragraph" w:customStyle="1" w:styleId="140">
    <w:name w:val="标准正文"/>
    <w:basedOn w:val="1"/>
    <w:link w:val="139"/>
    <w:qFormat/>
    <w:uiPriority w:val="0"/>
    <w:pPr>
      <w:spacing w:line="360" w:lineRule="auto"/>
      <w:ind w:firstLine="480" w:firstLineChars="200"/>
      <w:jc w:val="left"/>
    </w:pPr>
    <w:rPr>
      <w:kern w:val="0"/>
      <w:sz w:val="24"/>
      <w:szCs w:val="20"/>
    </w:rPr>
  </w:style>
  <w:style w:type="paragraph" w:customStyle="1" w:styleId="141">
    <w:name w:val="表格内"/>
    <w:basedOn w:val="32"/>
    <w:link w:val="142"/>
    <w:qFormat/>
    <w:uiPriority w:val="0"/>
    <w:pPr>
      <w:spacing w:line="240" w:lineRule="atLeast"/>
      <w:jc w:val="center"/>
    </w:pPr>
    <w:rPr>
      <w:rFonts w:ascii="Times New Roman" w:hAnsi="Times New Roman"/>
      <w:szCs w:val="21"/>
    </w:rPr>
  </w:style>
  <w:style w:type="character" w:customStyle="1" w:styleId="142">
    <w:name w:val="表格内 字符"/>
    <w:link w:val="141"/>
    <w:qFormat/>
    <w:uiPriority w:val="0"/>
    <w:rPr>
      <w:rFonts w:cs="Courier New"/>
      <w:kern w:val="2"/>
      <w:sz w:val="21"/>
      <w:szCs w:val="21"/>
    </w:rPr>
  </w:style>
  <w:style w:type="character" w:customStyle="1" w:styleId="143">
    <w:name w:val="表格正文 Char2"/>
    <w:link w:val="144"/>
    <w:qFormat/>
    <w:uiPriority w:val="0"/>
    <w:rPr>
      <w:kern w:val="2"/>
      <w:sz w:val="21"/>
      <w:szCs w:val="24"/>
    </w:rPr>
  </w:style>
  <w:style w:type="paragraph" w:customStyle="1" w:styleId="144">
    <w:name w:val="表格正文"/>
    <w:basedOn w:val="1"/>
    <w:link w:val="143"/>
    <w:qFormat/>
    <w:uiPriority w:val="0"/>
    <w:pPr>
      <w:spacing w:line="360" w:lineRule="exact"/>
      <w:jc w:val="center"/>
    </w:pPr>
  </w:style>
  <w:style w:type="paragraph" w:customStyle="1" w:styleId="145">
    <w:name w:val="表格标题-1"/>
    <w:basedOn w:val="1"/>
    <w:qFormat/>
    <w:uiPriority w:val="0"/>
    <w:pPr>
      <w:spacing w:before="60" w:line="460" w:lineRule="exact"/>
      <w:jc w:val="center"/>
    </w:pPr>
    <w:rPr>
      <w:bCs/>
      <w:kern w:val="0"/>
      <w:sz w:val="24"/>
      <w:lang w:val="zh-CN"/>
    </w:rPr>
  </w:style>
  <w:style w:type="character" w:customStyle="1" w:styleId="146">
    <w:name w:val="我的正文 Char"/>
    <w:link w:val="147"/>
    <w:qFormat/>
    <w:uiPriority w:val="0"/>
    <w:rPr>
      <w:kern w:val="2"/>
      <w:sz w:val="28"/>
      <w:szCs w:val="24"/>
    </w:rPr>
  </w:style>
  <w:style w:type="paragraph" w:customStyle="1" w:styleId="147">
    <w:name w:val="我的正文"/>
    <w:basedOn w:val="1"/>
    <w:link w:val="146"/>
    <w:qFormat/>
    <w:uiPriority w:val="0"/>
    <w:pPr>
      <w:ind w:firstLine="538" w:firstLineChars="192"/>
    </w:pPr>
    <w:rPr>
      <w:sz w:val="28"/>
    </w:rPr>
  </w:style>
  <w:style w:type="character" w:customStyle="1" w:styleId="148">
    <w:name w:val="样式28 Char"/>
    <w:link w:val="149"/>
    <w:qFormat/>
    <w:uiPriority w:val="0"/>
    <w:rPr>
      <w:kern w:val="2"/>
      <w:sz w:val="24"/>
      <w:szCs w:val="24"/>
    </w:rPr>
  </w:style>
  <w:style w:type="paragraph" w:customStyle="1" w:styleId="149">
    <w:name w:val="样式28"/>
    <w:basedOn w:val="1"/>
    <w:link w:val="148"/>
    <w:qFormat/>
    <w:uiPriority w:val="0"/>
    <w:pPr>
      <w:spacing w:line="360" w:lineRule="auto"/>
      <w:ind w:firstLine="480" w:firstLineChars="200"/>
    </w:pPr>
    <w:rPr>
      <w:sz w:val="24"/>
    </w:rPr>
  </w:style>
  <w:style w:type="paragraph" w:customStyle="1" w:styleId="150">
    <w:name w:val="正文01"/>
    <w:basedOn w:val="1"/>
    <w:link w:val="151"/>
    <w:qFormat/>
    <w:uiPriority w:val="0"/>
    <w:pPr>
      <w:spacing w:before="60" w:line="460" w:lineRule="exact"/>
      <w:ind w:firstLine="200" w:firstLineChars="200"/>
    </w:pPr>
    <w:rPr>
      <w:rFonts w:ascii="Calibri" w:hAnsi="Calibri"/>
      <w:bCs/>
      <w:kern w:val="0"/>
      <w:sz w:val="24"/>
    </w:rPr>
  </w:style>
  <w:style w:type="character" w:customStyle="1" w:styleId="151">
    <w:name w:val="正文01 Char2"/>
    <w:link w:val="150"/>
    <w:qFormat/>
    <w:uiPriority w:val="0"/>
    <w:rPr>
      <w:rFonts w:ascii="Calibri" w:hAnsi="Calibri"/>
      <w:bCs/>
      <w:sz w:val="24"/>
      <w:szCs w:val="24"/>
    </w:rPr>
  </w:style>
  <w:style w:type="paragraph" w:customStyle="1" w:styleId="152">
    <w:name w:val="正文正文正文正文"/>
    <w:basedOn w:val="1"/>
    <w:next w:val="1"/>
    <w:qFormat/>
    <w:uiPriority w:val="0"/>
    <w:pPr>
      <w:keepNext/>
      <w:keepLines/>
      <w:widowControl/>
      <w:adjustRightInd w:val="0"/>
      <w:spacing w:before="40" w:after="40" w:line="360" w:lineRule="auto"/>
      <w:ind w:firstLine="200" w:firstLineChars="200"/>
      <w:jc w:val="left"/>
      <w:textAlignment w:val="baseline"/>
    </w:pPr>
    <w:rPr>
      <w:rFonts w:cs="宋体"/>
      <w:bCs/>
      <w:kern w:val="0"/>
      <w:sz w:val="24"/>
      <w:szCs w:val="28"/>
    </w:rPr>
  </w:style>
  <w:style w:type="character" w:customStyle="1" w:styleId="153">
    <w:name w:val="正文首行缩进 Char"/>
    <w:qFormat/>
    <w:uiPriority w:val="0"/>
    <w:rPr>
      <w:kern w:val="2"/>
      <w:sz w:val="21"/>
      <w:szCs w:val="24"/>
    </w:rPr>
  </w:style>
  <w:style w:type="character" w:customStyle="1" w:styleId="154">
    <w:name w:val="题注 字符"/>
    <w:qFormat/>
    <w:uiPriority w:val="0"/>
    <w:rPr>
      <w:rFonts w:ascii="Arial" w:hAnsi="Arial" w:eastAsia="黑体" w:cs="Arial"/>
      <w:kern w:val="2"/>
      <w:sz w:val="24"/>
      <w:lang w:val="en-US" w:eastAsia="zh-CN" w:bidi="ar-SA"/>
    </w:rPr>
  </w:style>
  <w:style w:type="character" w:customStyle="1" w:styleId="155">
    <w:name w:val="fontstyle11"/>
    <w:qFormat/>
    <w:uiPriority w:val="0"/>
    <w:rPr>
      <w:rFonts w:hint="default" w:ascii="TimesNewRoman" w:hAnsi="TimesNewRoman"/>
      <w:color w:val="000000"/>
      <w:sz w:val="24"/>
      <w:szCs w:val="24"/>
    </w:rPr>
  </w:style>
  <w:style w:type="character" w:customStyle="1" w:styleId="156">
    <w:name w:val="fontstyle31"/>
    <w:qFormat/>
    <w:uiPriority w:val="0"/>
    <w:rPr>
      <w:rFonts w:hint="default" w:ascii="TimesNewRoman" w:hAnsi="TimesNewRoman"/>
      <w:color w:val="000000"/>
      <w:sz w:val="24"/>
      <w:szCs w:val="24"/>
    </w:rPr>
  </w:style>
  <w:style w:type="character" w:customStyle="1" w:styleId="157">
    <w:name w:val="fontstyle41"/>
    <w:qFormat/>
    <w:uiPriority w:val="0"/>
    <w:rPr>
      <w:rFonts w:hint="default" w:ascii="TimesNewRoman" w:hAnsi="TimesNewRoman"/>
      <w:color w:val="000000"/>
      <w:sz w:val="20"/>
      <w:szCs w:val="20"/>
    </w:rPr>
  </w:style>
  <w:style w:type="character" w:customStyle="1" w:styleId="158">
    <w:name w:val="16"/>
    <w:qFormat/>
    <w:uiPriority w:val="0"/>
    <w:rPr>
      <w:rFonts w:hint="eastAsia" w:ascii="宋体" w:hAnsi="宋体" w:eastAsia="宋体"/>
      <w:kern w:val="24"/>
      <w:sz w:val="24"/>
      <w:szCs w:val="24"/>
    </w:rPr>
  </w:style>
  <w:style w:type="character" w:customStyle="1" w:styleId="159">
    <w:name w:val="15"/>
    <w:qFormat/>
    <w:uiPriority w:val="0"/>
    <w:rPr>
      <w:rFonts w:hint="eastAsia" w:ascii="宋体" w:hAnsi="宋体" w:eastAsia="宋体"/>
      <w:sz w:val="22"/>
      <w:szCs w:val="22"/>
    </w:rPr>
  </w:style>
  <w:style w:type="paragraph" w:customStyle="1" w:styleId="160">
    <w:name w:val="表格字体"/>
    <w:basedOn w:val="1"/>
    <w:qFormat/>
    <w:uiPriority w:val="0"/>
    <w:pPr>
      <w:spacing w:line="400" w:lineRule="exact"/>
      <w:jc w:val="center"/>
    </w:pPr>
    <w:rPr>
      <w:rFonts w:ascii="仿宋_GB2312" w:eastAsia="仿宋_GB2312"/>
      <w:spacing w:val="2"/>
      <w:szCs w:val="20"/>
    </w:rPr>
  </w:style>
  <w:style w:type="character" w:customStyle="1" w:styleId="161">
    <w:name w:val="fontstyle51"/>
    <w:qFormat/>
    <w:uiPriority w:val="0"/>
    <w:rPr>
      <w:rFonts w:hint="eastAsia" w:ascii="宋体" w:hAnsi="宋体" w:eastAsia="宋体"/>
      <w:color w:val="000000"/>
      <w:sz w:val="20"/>
      <w:szCs w:val="20"/>
    </w:rPr>
  </w:style>
  <w:style w:type="table" w:customStyle="1" w:styleId="162">
    <w:name w:val="网格表 1 浅色2"/>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63">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164">
    <w:name w:val="font1"/>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65">
    <w:name w:val="font5"/>
    <w:basedOn w:val="1"/>
    <w:qFormat/>
    <w:uiPriority w:val="0"/>
    <w:pPr>
      <w:widowControl/>
      <w:spacing w:before="100" w:beforeAutospacing="1" w:after="100" w:afterAutospacing="1"/>
      <w:jc w:val="left"/>
    </w:pPr>
    <w:rPr>
      <w:color w:val="000000"/>
      <w:kern w:val="0"/>
      <w:szCs w:val="21"/>
    </w:rPr>
  </w:style>
  <w:style w:type="paragraph" w:customStyle="1" w:styleId="166">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7">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8">
    <w:name w:val="font8"/>
    <w:basedOn w:val="1"/>
    <w:qFormat/>
    <w:uiPriority w:val="0"/>
    <w:pPr>
      <w:widowControl/>
      <w:spacing w:before="100" w:beforeAutospacing="1" w:after="100" w:afterAutospacing="1"/>
      <w:jc w:val="left"/>
    </w:pPr>
    <w:rPr>
      <w:rFonts w:ascii="宋体" w:hAnsi="宋体" w:cs="宋体"/>
      <w:color w:val="000000"/>
      <w:kern w:val="0"/>
      <w:szCs w:val="21"/>
    </w:rPr>
  </w:style>
  <w:style w:type="paragraph" w:customStyle="1" w:styleId="169">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70">
    <w:name w:val="xl64"/>
    <w:basedOn w:val="1"/>
    <w:qFormat/>
    <w:uiPriority w:val="0"/>
    <w:pPr>
      <w:widowControl/>
      <w:spacing w:before="100" w:beforeAutospacing="1" w:after="100" w:afterAutospacing="1"/>
      <w:jc w:val="center"/>
    </w:pPr>
    <w:rPr>
      <w:rFonts w:ascii="宋体" w:hAnsi="宋体" w:cs="宋体"/>
      <w:kern w:val="0"/>
      <w:sz w:val="24"/>
    </w:rPr>
  </w:style>
  <w:style w:type="paragraph" w:customStyle="1" w:styleId="171">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172">
    <w:name w:val="xl6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73">
    <w:name w:val="xl6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74">
    <w:name w:val="xl68"/>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5">
    <w:name w:val="xl69"/>
    <w:basedOn w:val="1"/>
    <w:qFormat/>
    <w:uiPriority w:val="0"/>
    <w:pPr>
      <w:widowControl/>
      <w:pBdr>
        <w:bottom w:val="single" w:color="auto" w:sz="8" w:space="0"/>
        <w:right w:val="single" w:color="auto" w:sz="8" w:space="0"/>
      </w:pBdr>
      <w:spacing w:before="100" w:beforeAutospacing="1" w:after="100" w:afterAutospacing="1"/>
      <w:jc w:val="center"/>
    </w:pPr>
    <w:rPr>
      <w:kern w:val="0"/>
      <w:szCs w:val="21"/>
    </w:rPr>
  </w:style>
  <w:style w:type="paragraph" w:customStyle="1" w:styleId="176">
    <w:name w:val="xl70"/>
    <w:basedOn w:val="1"/>
    <w:qFormat/>
    <w:uiPriority w:val="0"/>
    <w:pPr>
      <w:widowControl/>
      <w:spacing w:before="100" w:beforeAutospacing="1" w:after="100" w:afterAutospacing="1"/>
      <w:jc w:val="center"/>
    </w:pPr>
    <w:rPr>
      <w:kern w:val="0"/>
      <w:sz w:val="24"/>
    </w:rPr>
  </w:style>
  <w:style w:type="paragraph" w:customStyle="1" w:styleId="177">
    <w:name w:val="xl7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8">
    <w:name w:val="xl72"/>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9">
    <w:name w:val="xl73"/>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0">
    <w:name w:val="xl74"/>
    <w:basedOn w:val="1"/>
    <w:qFormat/>
    <w:uiPriority w:val="0"/>
    <w:pPr>
      <w:widowControl/>
      <w:pBdr>
        <w:right w:val="single" w:color="auto" w:sz="8" w:space="0"/>
      </w:pBdr>
      <w:spacing w:before="100" w:beforeAutospacing="1" w:after="100" w:afterAutospacing="1"/>
      <w:jc w:val="center"/>
    </w:pPr>
    <w:rPr>
      <w:rFonts w:ascii="宋体" w:hAnsi="宋体" w:cs="宋体"/>
      <w:kern w:val="0"/>
      <w:szCs w:val="21"/>
    </w:rPr>
  </w:style>
  <w:style w:type="paragraph" w:customStyle="1" w:styleId="181">
    <w:name w:val="xl75"/>
    <w:basedOn w:val="1"/>
    <w:qFormat/>
    <w:uiPriority w:val="0"/>
    <w:pPr>
      <w:widowControl/>
      <w:pBdr>
        <w:right w:val="single" w:color="auto" w:sz="8" w:space="0"/>
      </w:pBdr>
      <w:spacing w:before="100" w:beforeAutospacing="1" w:after="100" w:afterAutospacing="1"/>
      <w:jc w:val="left"/>
    </w:pPr>
    <w:rPr>
      <w:rFonts w:ascii="宋体" w:hAnsi="宋体" w:cs="宋体"/>
      <w:kern w:val="0"/>
      <w:sz w:val="24"/>
    </w:rPr>
  </w:style>
  <w:style w:type="paragraph" w:customStyle="1" w:styleId="182">
    <w:name w:val="xl76"/>
    <w:basedOn w:val="1"/>
    <w:qFormat/>
    <w:uiPriority w:val="0"/>
    <w:pPr>
      <w:widowControl/>
      <w:pBdr>
        <w:bottom w:val="single" w:color="auto" w:sz="8" w:space="0"/>
        <w:right w:val="single" w:color="auto" w:sz="8" w:space="0"/>
      </w:pBdr>
      <w:spacing w:before="100" w:beforeAutospacing="1" w:after="100" w:afterAutospacing="1"/>
      <w:jc w:val="left"/>
    </w:pPr>
    <w:rPr>
      <w:rFonts w:ascii="宋体" w:hAnsi="宋体" w:cs="宋体"/>
      <w:kern w:val="0"/>
      <w:sz w:val="24"/>
    </w:rPr>
  </w:style>
  <w:style w:type="paragraph" w:customStyle="1" w:styleId="183">
    <w:name w:val="xl77"/>
    <w:basedOn w:val="1"/>
    <w:qFormat/>
    <w:uiPriority w:val="0"/>
    <w:pPr>
      <w:widowControl/>
      <w:pBdr>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4">
    <w:name w:val="xl78"/>
    <w:basedOn w:val="1"/>
    <w:qFormat/>
    <w:uiPriority w:val="0"/>
    <w:pPr>
      <w:widowControl/>
      <w:pBdr>
        <w:top w:val="single" w:color="auto" w:sz="4" w:space="0"/>
      </w:pBdr>
      <w:spacing w:before="100" w:beforeAutospacing="1" w:after="100" w:afterAutospacing="1"/>
      <w:jc w:val="center"/>
    </w:pPr>
    <w:rPr>
      <w:rFonts w:ascii="宋体" w:hAnsi="宋体" w:cs="宋体"/>
      <w:kern w:val="0"/>
      <w:sz w:val="24"/>
    </w:rPr>
  </w:style>
  <w:style w:type="paragraph" w:customStyle="1" w:styleId="185">
    <w:name w:val="xl7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86">
    <w:name w:val="xl80"/>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87">
    <w:name w:val="xl8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88">
    <w:name w:val="xl82"/>
    <w:basedOn w:val="1"/>
    <w:qFormat/>
    <w:uiPriority w:val="0"/>
    <w:pPr>
      <w:widowControl/>
      <w:pBdr>
        <w:top w:val="single" w:color="auto" w:sz="4" w:space="0"/>
        <w:bottom w:val="single" w:color="auto" w:sz="4" w:space="0"/>
      </w:pBdr>
      <w:spacing w:before="100" w:beforeAutospacing="1" w:after="100" w:afterAutospacing="1"/>
      <w:jc w:val="center"/>
    </w:pPr>
    <w:rPr>
      <w:kern w:val="0"/>
      <w:szCs w:val="21"/>
    </w:rPr>
  </w:style>
  <w:style w:type="paragraph" w:customStyle="1" w:styleId="189">
    <w:name w:val="xl83"/>
    <w:basedOn w:val="1"/>
    <w:qFormat/>
    <w:uiPriority w:val="0"/>
    <w:pPr>
      <w:widowControl/>
      <w:spacing w:before="100" w:beforeAutospacing="1" w:after="100" w:afterAutospacing="1"/>
      <w:jc w:val="center"/>
    </w:pPr>
    <w:rPr>
      <w:kern w:val="0"/>
      <w:szCs w:val="21"/>
    </w:rPr>
  </w:style>
  <w:style w:type="paragraph" w:customStyle="1" w:styleId="19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1">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2">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1"/>
    </w:rPr>
  </w:style>
  <w:style w:type="paragraph" w:customStyle="1" w:styleId="193">
    <w:name w:val="xl8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94">
    <w:name w:val="xl88"/>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95">
    <w:name w:val="xl8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96">
    <w:name w:val="xl90"/>
    <w:basedOn w:val="1"/>
    <w:qFormat/>
    <w:uiPriority w:val="0"/>
    <w:pPr>
      <w:widowControl/>
      <w:pBdr>
        <w:top w:val="single" w:color="auto" w:sz="4" w:space="0"/>
        <w:left w:val="single" w:color="auto" w:sz="4" w:space="0"/>
      </w:pBdr>
      <w:spacing w:before="100" w:beforeAutospacing="1" w:after="100" w:afterAutospacing="1"/>
      <w:jc w:val="center"/>
    </w:pPr>
    <w:rPr>
      <w:rFonts w:ascii="宋体" w:hAnsi="宋体" w:cs="宋体"/>
      <w:kern w:val="0"/>
      <w:sz w:val="24"/>
    </w:rPr>
  </w:style>
  <w:style w:type="paragraph" w:customStyle="1" w:styleId="197">
    <w:name w:val="xl91"/>
    <w:basedOn w:val="1"/>
    <w:qFormat/>
    <w:uiPriority w:val="0"/>
    <w:pPr>
      <w:widowControl/>
      <w:pBdr>
        <w:top w:val="single" w:color="auto" w:sz="4" w:space="0"/>
      </w:pBdr>
      <w:spacing w:before="100" w:beforeAutospacing="1" w:after="100" w:afterAutospacing="1"/>
      <w:jc w:val="center"/>
    </w:pPr>
    <w:rPr>
      <w:kern w:val="0"/>
      <w:sz w:val="24"/>
    </w:rPr>
  </w:style>
  <w:style w:type="paragraph" w:customStyle="1" w:styleId="198">
    <w:name w:val="xl92"/>
    <w:basedOn w:val="1"/>
    <w:qFormat/>
    <w:uiPriority w:val="0"/>
    <w:pPr>
      <w:widowControl/>
      <w:pBdr>
        <w:top w:val="single" w:color="auto" w:sz="4" w:space="0"/>
        <w:right w:val="single" w:color="auto" w:sz="4" w:space="0"/>
      </w:pBdr>
      <w:spacing w:before="100" w:beforeAutospacing="1" w:after="100" w:afterAutospacing="1"/>
      <w:jc w:val="center"/>
    </w:pPr>
    <w:rPr>
      <w:kern w:val="0"/>
      <w:sz w:val="24"/>
    </w:rPr>
  </w:style>
  <w:style w:type="paragraph" w:customStyle="1" w:styleId="199">
    <w:name w:val="xl93"/>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0">
    <w:name w:val="xl9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201">
    <w:name w:val="xl95"/>
    <w:basedOn w:val="1"/>
    <w:qFormat/>
    <w:uiPriority w:val="0"/>
    <w:pPr>
      <w:widowControl/>
      <w:spacing w:before="100" w:beforeAutospacing="1" w:after="100" w:afterAutospacing="1"/>
      <w:jc w:val="center"/>
    </w:pPr>
    <w:rPr>
      <w:kern w:val="0"/>
      <w:sz w:val="24"/>
    </w:rPr>
  </w:style>
  <w:style w:type="paragraph" w:customStyle="1" w:styleId="202">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3">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character" w:customStyle="1" w:styleId="204">
    <w:name w:val="apple-converted-space"/>
    <w:qFormat/>
    <w:uiPriority w:val="0"/>
  </w:style>
  <w:style w:type="paragraph" w:customStyle="1" w:styleId="205">
    <w:name w:val="无间隔1"/>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06">
    <w:name w:val="列出段落1"/>
    <w:basedOn w:val="1"/>
    <w:qFormat/>
    <w:uiPriority w:val="34"/>
    <w:pPr>
      <w:ind w:firstLine="420" w:firstLineChars="200"/>
    </w:pPr>
    <w:rPr>
      <w:szCs w:val="20"/>
    </w:rPr>
  </w:style>
  <w:style w:type="paragraph" w:customStyle="1" w:styleId="207">
    <w:name w:val="修订11"/>
    <w:hidden/>
    <w:semiHidden/>
    <w:qFormat/>
    <w:uiPriority w:val="99"/>
    <w:rPr>
      <w:rFonts w:ascii="Times New Roman" w:hAnsi="Times New Roman" w:eastAsia="宋体" w:cs="Times New Roman"/>
      <w:kern w:val="2"/>
      <w:sz w:val="21"/>
      <w:szCs w:val="24"/>
      <w:lang w:val="en-US" w:eastAsia="zh-CN" w:bidi="ar-SA"/>
    </w:rPr>
  </w:style>
  <w:style w:type="character" w:customStyle="1" w:styleId="208">
    <w:name w:val="font31"/>
    <w:qFormat/>
    <w:uiPriority w:val="0"/>
    <w:rPr>
      <w:rFonts w:hint="default" w:ascii="Times New Roman" w:hAnsi="Times New Roman" w:cs="Times New Roman"/>
      <w:color w:val="000000"/>
      <w:sz w:val="22"/>
      <w:szCs w:val="22"/>
      <w:u w:val="none"/>
    </w:rPr>
  </w:style>
  <w:style w:type="character" w:customStyle="1" w:styleId="209">
    <w:name w:val="font11"/>
    <w:qFormat/>
    <w:uiPriority w:val="0"/>
    <w:rPr>
      <w:rFonts w:hint="default" w:ascii="Times New Roman" w:hAnsi="Times New Roman" w:cs="Times New Roman"/>
      <w:color w:val="000000"/>
      <w:sz w:val="21"/>
      <w:szCs w:val="21"/>
      <w:u w:val="none"/>
    </w:rPr>
  </w:style>
  <w:style w:type="character" w:customStyle="1" w:styleId="210">
    <w:name w:val="font51"/>
    <w:qFormat/>
    <w:uiPriority w:val="0"/>
    <w:rPr>
      <w:rFonts w:hint="default" w:ascii="Times New Roman" w:hAnsi="Times New Roman" w:cs="Times New Roman"/>
      <w:color w:val="000000"/>
      <w:sz w:val="21"/>
      <w:szCs w:val="21"/>
      <w:u w:val="none"/>
      <w:vertAlign w:val="superscript"/>
    </w:rPr>
  </w:style>
  <w:style w:type="character" w:customStyle="1" w:styleId="211">
    <w:name w:val="font41"/>
    <w:qFormat/>
    <w:uiPriority w:val="0"/>
    <w:rPr>
      <w:rFonts w:hint="eastAsia" w:ascii="宋体" w:hAnsi="宋体" w:eastAsia="宋体" w:cs="宋体"/>
      <w:color w:val="000000"/>
      <w:sz w:val="21"/>
      <w:szCs w:val="21"/>
      <w:u w:val="none"/>
    </w:rPr>
  </w:style>
  <w:style w:type="character" w:customStyle="1" w:styleId="212">
    <w:name w:val="font21"/>
    <w:qFormat/>
    <w:uiPriority w:val="0"/>
    <w:rPr>
      <w:rFonts w:hint="default" w:ascii="Times New Roman" w:hAnsi="Times New Roman" w:cs="Times New Roman"/>
      <w:color w:val="000000"/>
      <w:sz w:val="21"/>
      <w:szCs w:val="21"/>
      <w:u w:val="none"/>
    </w:rPr>
  </w:style>
  <w:style w:type="character" w:customStyle="1" w:styleId="213">
    <w:name w:val="未处理的提及1"/>
    <w:semiHidden/>
    <w:unhideWhenUsed/>
    <w:qFormat/>
    <w:uiPriority w:val="99"/>
    <w:rPr>
      <w:color w:val="808080"/>
      <w:shd w:val="clear" w:color="auto" w:fill="E6E6E6"/>
    </w:rPr>
  </w:style>
  <w:style w:type="paragraph" w:customStyle="1" w:styleId="214">
    <w:name w:val="报告书正文"/>
    <w:basedOn w:val="1"/>
    <w:link w:val="334"/>
    <w:qFormat/>
    <w:uiPriority w:val="0"/>
    <w:pPr>
      <w:spacing w:line="300" w:lineRule="auto"/>
      <w:ind w:firstLine="200" w:firstLineChars="200"/>
    </w:pPr>
    <w:rPr>
      <w:sz w:val="24"/>
    </w:rPr>
  </w:style>
  <w:style w:type="paragraph" w:customStyle="1" w:styleId="215">
    <w:name w:val="正文-1"/>
    <w:basedOn w:val="1"/>
    <w:qFormat/>
    <w:uiPriority w:val="0"/>
    <w:pPr>
      <w:spacing w:line="360" w:lineRule="auto"/>
      <w:ind w:firstLine="480" w:firstLineChars="200"/>
    </w:pPr>
    <w:rPr>
      <w:sz w:val="24"/>
    </w:rPr>
  </w:style>
  <w:style w:type="character" w:customStyle="1" w:styleId="216">
    <w:name w:val="未处理的提及2"/>
    <w:semiHidden/>
    <w:unhideWhenUsed/>
    <w:qFormat/>
    <w:uiPriority w:val="99"/>
    <w:rPr>
      <w:color w:val="808080"/>
      <w:shd w:val="clear" w:color="auto" w:fill="E6E6E6"/>
    </w:rPr>
  </w:style>
  <w:style w:type="character" w:customStyle="1" w:styleId="217">
    <w:name w:val="题注 Char1"/>
    <w:qFormat/>
    <w:uiPriority w:val="0"/>
    <w:rPr>
      <w:rFonts w:ascii="Arial" w:hAnsi="Arial" w:eastAsia="宋体" w:cs="Arial"/>
      <w:b/>
      <w:kern w:val="28"/>
      <w:sz w:val="24"/>
      <w:szCs w:val="24"/>
      <w:lang w:val="en-US" w:eastAsia="zh-CN" w:bidi="ar-SA"/>
    </w:rPr>
  </w:style>
  <w:style w:type="paragraph" w:customStyle="1" w:styleId="218">
    <w:name w:val="首行缩进正文"/>
    <w:basedOn w:val="1"/>
    <w:qFormat/>
    <w:uiPriority w:val="0"/>
    <w:rPr>
      <w:rFonts w:ascii="Calibri" w:hAnsi="Calibri"/>
    </w:rPr>
  </w:style>
  <w:style w:type="character" w:customStyle="1" w:styleId="219">
    <w:name w:val="未处理的提及3"/>
    <w:semiHidden/>
    <w:unhideWhenUsed/>
    <w:qFormat/>
    <w:uiPriority w:val="99"/>
    <w:rPr>
      <w:color w:val="605E5C"/>
      <w:shd w:val="clear" w:color="auto" w:fill="E1DFDD"/>
    </w:rPr>
  </w:style>
  <w:style w:type="paragraph" w:customStyle="1" w:styleId="220">
    <w:name w:val="样式 宋体 四号 行距: 固定值 25 磅 首行缩进:  2 字符"/>
    <w:basedOn w:val="1"/>
    <w:qFormat/>
    <w:uiPriority w:val="0"/>
    <w:pPr>
      <w:spacing w:line="360" w:lineRule="auto"/>
      <w:ind w:firstLine="200" w:firstLineChars="200"/>
    </w:pPr>
    <w:rPr>
      <w:rFonts w:ascii="宋体" w:hAnsi="宋体" w:cs="宋体"/>
      <w:sz w:val="28"/>
      <w:szCs w:val="20"/>
    </w:rPr>
  </w:style>
  <w:style w:type="character" w:customStyle="1" w:styleId="221">
    <w:name w:val="表格标题 Char"/>
    <w:link w:val="222"/>
    <w:qFormat/>
    <w:uiPriority w:val="0"/>
    <w:rPr>
      <w:b/>
      <w:sz w:val="24"/>
      <w:szCs w:val="21"/>
    </w:rPr>
  </w:style>
  <w:style w:type="paragraph" w:customStyle="1" w:styleId="222">
    <w:name w:val="表格标题"/>
    <w:basedOn w:val="1"/>
    <w:link w:val="221"/>
    <w:qFormat/>
    <w:uiPriority w:val="0"/>
    <w:pPr>
      <w:widowControl/>
      <w:spacing w:beforeLines="20" w:afterLines="20"/>
      <w:jc w:val="center"/>
    </w:pPr>
    <w:rPr>
      <w:b/>
      <w:kern w:val="0"/>
      <w:sz w:val="24"/>
      <w:szCs w:val="21"/>
    </w:rPr>
  </w:style>
  <w:style w:type="paragraph" w:customStyle="1" w:styleId="223">
    <w:name w:val="Revision"/>
    <w:hidden/>
    <w:semiHidden/>
    <w:qFormat/>
    <w:uiPriority w:val="99"/>
    <w:rPr>
      <w:rFonts w:ascii="Times New Roman" w:hAnsi="Times New Roman" w:eastAsia="宋体" w:cs="Times New Roman"/>
      <w:kern w:val="2"/>
      <w:sz w:val="21"/>
      <w:szCs w:val="24"/>
      <w:lang w:val="en-US" w:eastAsia="zh-CN" w:bidi="ar-SA"/>
    </w:rPr>
  </w:style>
  <w:style w:type="paragraph" w:customStyle="1" w:styleId="224">
    <w:name w:val="表格正文8"/>
    <w:basedOn w:val="1"/>
    <w:qFormat/>
    <w:uiPriority w:val="0"/>
    <w:pPr>
      <w:spacing w:line="360" w:lineRule="exact"/>
      <w:jc w:val="center"/>
    </w:pPr>
    <w:rPr>
      <w:snapToGrid w:val="0"/>
      <w:kern w:val="0"/>
      <w:szCs w:val="21"/>
    </w:rPr>
  </w:style>
  <w:style w:type="character" w:customStyle="1" w:styleId="225">
    <w:name w:val="表格 Char Char"/>
    <w:qFormat/>
    <w:uiPriority w:val="0"/>
    <w:rPr>
      <w:rFonts w:ascii="宋体" w:hAnsi="宋体" w:cs="宋体"/>
      <w:snapToGrid w:val="0"/>
      <w:color w:val="000000"/>
      <w:kern w:val="2"/>
      <w:sz w:val="18"/>
      <w:szCs w:val="18"/>
    </w:rPr>
  </w:style>
  <w:style w:type="paragraph" w:customStyle="1" w:styleId="226">
    <w:name w:val="表格"/>
    <w:basedOn w:val="1"/>
    <w:next w:val="1"/>
    <w:link w:val="247"/>
    <w:qFormat/>
    <w:uiPriority w:val="0"/>
    <w:pPr>
      <w:spacing w:line="300" w:lineRule="exact"/>
      <w:ind w:left="-42" w:leftChars="-20" w:right="-42" w:rightChars="-20" w:firstLine="480" w:firstLineChars="200"/>
      <w:jc w:val="center"/>
    </w:pPr>
    <w:rPr>
      <w:rFonts w:ascii="宋体" w:hAnsi="宋体" w:cs="宋体"/>
      <w:snapToGrid w:val="0"/>
      <w:color w:val="000000"/>
      <w:sz w:val="18"/>
      <w:szCs w:val="18"/>
    </w:rPr>
  </w:style>
  <w:style w:type="paragraph" w:customStyle="1" w:styleId="227">
    <w:name w:val="Char Char Char Char Char Char"/>
    <w:basedOn w:val="1"/>
    <w:next w:val="2"/>
    <w:qFormat/>
    <w:uiPriority w:val="0"/>
    <w:rPr>
      <w:rFonts w:ascii="宋体" w:hAnsi="宋体" w:eastAsia="汉鼎简书宋" w:cs="宋体"/>
      <w:sz w:val="24"/>
    </w:rPr>
  </w:style>
  <w:style w:type="character" w:customStyle="1" w:styleId="228">
    <w:name w:val="宏文本 字符"/>
    <w:link w:val="2"/>
    <w:semiHidden/>
    <w:qFormat/>
    <w:uiPriority w:val="0"/>
    <w:rPr>
      <w:rFonts w:ascii="Courier New" w:hAnsi="Courier New" w:cs="Courier New"/>
      <w:kern w:val="2"/>
      <w:sz w:val="24"/>
      <w:szCs w:val="24"/>
    </w:rPr>
  </w:style>
  <w:style w:type="character" w:customStyle="1" w:styleId="229">
    <w:name w:val="表格1 Char Char Char"/>
    <w:qFormat/>
    <w:uiPriority w:val="0"/>
    <w:rPr>
      <w:rFonts w:ascii="Arial" w:hAnsi="Arial" w:eastAsia="宋体" w:cs="Arial"/>
      <w:sz w:val="21"/>
      <w:szCs w:val="21"/>
      <w:lang w:val="en-US" w:eastAsia="zh-CN" w:bidi="ar-SA"/>
    </w:rPr>
  </w:style>
  <w:style w:type="paragraph" w:customStyle="1" w:styleId="230">
    <w:name w:val="文本"/>
    <w:qFormat/>
    <w:uiPriority w:val="0"/>
    <w:pPr>
      <w:spacing w:after="20"/>
      <w:jc w:val="both"/>
    </w:pPr>
    <w:rPr>
      <w:rFonts w:ascii="Times New Roman" w:hAnsi="Times New Roman" w:eastAsia="宋体" w:cs="Times New Roman"/>
      <w:szCs w:val="28"/>
      <w:lang w:val="en-US" w:eastAsia="zh-CN" w:bidi="ar-SA"/>
    </w:rPr>
  </w:style>
  <w:style w:type="character" w:customStyle="1" w:styleId="231">
    <w:name w:val="福建正文缩进 Char12"/>
    <w:qFormat/>
    <w:uiPriority w:val="0"/>
    <w:rPr>
      <w:rFonts w:ascii="宋体" w:eastAsia="宋体"/>
      <w:sz w:val="24"/>
      <w:szCs w:val="24"/>
      <w:lang w:val="en-US" w:eastAsia="zh-CN" w:bidi="ar-SA"/>
    </w:rPr>
  </w:style>
  <w:style w:type="paragraph" w:customStyle="1" w:styleId="232">
    <w:name w:val="三级标题8"/>
    <w:basedOn w:val="1"/>
    <w:qFormat/>
    <w:uiPriority w:val="0"/>
    <w:pPr>
      <w:spacing w:before="300" w:line="460" w:lineRule="exact"/>
      <w:outlineLvl w:val="2"/>
    </w:pPr>
    <w:rPr>
      <w:rFonts w:cs="宋体"/>
      <w:b/>
      <w:bCs/>
      <w:snapToGrid w:val="0"/>
      <w:kern w:val="0"/>
      <w:sz w:val="24"/>
      <w:szCs w:val="20"/>
    </w:rPr>
  </w:style>
  <w:style w:type="paragraph" w:customStyle="1" w:styleId="233">
    <w:name w:val="表格内字体9"/>
    <w:basedOn w:val="1"/>
    <w:next w:val="1"/>
    <w:qFormat/>
    <w:uiPriority w:val="0"/>
    <w:pPr>
      <w:jc w:val="center"/>
    </w:pPr>
    <w:rPr>
      <w:rFonts w:ascii="宋体" w:hAnsi="宋体"/>
      <w:kern w:val="0"/>
    </w:rPr>
  </w:style>
  <w:style w:type="paragraph" w:customStyle="1" w:styleId="234">
    <w:name w:val="表内541411"/>
    <w:basedOn w:val="1"/>
    <w:qFormat/>
    <w:uiPriority w:val="0"/>
    <w:pPr>
      <w:adjustRightInd w:val="0"/>
      <w:snapToGrid w:val="0"/>
      <w:spacing w:line="300" w:lineRule="auto"/>
      <w:jc w:val="center"/>
    </w:pPr>
    <w:rPr>
      <w:rFonts w:ascii="宋体" w:hAnsi="宋体" w:cs="宋体"/>
      <w:szCs w:val="20"/>
    </w:rPr>
  </w:style>
  <w:style w:type="paragraph" w:customStyle="1" w:styleId="235">
    <w:name w:val="图题13"/>
    <w:basedOn w:val="1"/>
    <w:next w:val="1"/>
    <w:qFormat/>
    <w:uiPriority w:val="0"/>
    <w:pPr>
      <w:spacing w:line="360" w:lineRule="auto"/>
      <w:jc w:val="center"/>
    </w:pPr>
    <w:rPr>
      <w:rFonts w:ascii="黑体" w:hAnsi="宋体" w:eastAsia="黑体" w:cs="宋体"/>
      <w:b/>
      <w:bCs/>
      <w:kern w:val="0"/>
      <w:sz w:val="24"/>
    </w:rPr>
  </w:style>
  <w:style w:type="paragraph" w:customStyle="1" w:styleId="236">
    <w:name w:val="默认段落字体 Para Char12"/>
    <w:basedOn w:val="1"/>
    <w:next w:val="1"/>
    <w:qFormat/>
    <w:uiPriority w:val="0"/>
    <w:pPr>
      <w:spacing w:line="480" w:lineRule="exact"/>
      <w:ind w:firstLine="200" w:firstLineChars="200"/>
      <w:jc w:val="left"/>
    </w:pPr>
    <w:rPr>
      <w:rFonts w:ascii="宋体" w:hAnsi="宋体" w:eastAsia="汉鼎简书宋" w:cs="宋体"/>
      <w:sz w:val="28"/>
    </w:rPr>
  </w:style>
  <w:style w:type="paragraph" w:customStyle="1" w:styleId="237">
    <w:name w:val="p0"/>
    <w:basedOn w:val="1"/>
    <w:qFormat/>
    <w:uiPriority w:val="0"/>
    <w:pPr>
      <w:widowControl/>
      <w:jc w:val="left"/>
    </w:pPr>
    <w:rPr>
      <w:kern w:val="0"/>
      <w:szCs w:val="21"/>
    </w:rPr>
  </w:style>
  <w:style w:type="paragraph" w:customStyle="1" w:styleId="238">
    <w:name w:val="正文-7"/>
    <w:basedOn w:val="1"/>
    <w:qFormat/>
    <w:uiPriority w:val="0"/>
    <w:pPr>
      <w:spacing w:beforeLines="30" w:line="460" w:lineRule="exact"/>
      <w:ind w:firstLine="200" w:firstLineChars="200"/>
    </w:pPr>
    <w:rPr>
      <w:snapToGrid w:val="0"/>
      <w:kern w:val="0"/>
      <w:sz w:val="24"/>
    </w:rPr>
  </w:style>
  <w:style w:type="character" w:customStyle="1" w:styleId="239">
    <w:name w:val="HTML 预设格式 字符"/>
    <w:basedOn w:val="70"/>
    <w:link w:val="55"/>
    <w:semiHidden/>
    <w:qFormat/>
    <w:uiPriority w:val="0"/>
    <w:rPr>
      <w:rFonts w:ascii="宋体" w:hAnsi="宋体" w:cs="宋体"/>
      <w:sz w:val="24"/>
      <w:szCs w:val="24"/>
    </w:rPr>
  </w:style>
  <w:style w:type="character" w:customStyle="1" w:styleId="240">
    <w:name w:val="Subtle Reference"/>
    <w:basedOn w:val="70"/>
    <w:qFormat/>
    <w:uiPriority w:val="31"/>
    <w:rPr>
      <w:smallCaps/>
      <w:color w:val="595959" w:themeColor="text1" w:themeTint="A6"/>
      <w14:textFill>
        <w14:solidFill>
          <w14:schemeClr w14:val="tx1">
            <w14:lumMod w14:val="65000"/>
            <w14:lumOff w14:val="35000"/>
          </w14:schemeClr>
        </w14:solidFill>
      </w14:textFill>
    </w:rPr>
  </w:style>
  <w:style w:type="paragraph" w:customStyle="1" w:styleId="241">
    <w:name w:val="图表标题"/>
    <w:basedOn w:val="1"/>
    <w:qFormat/>
    <w:uiPriority w:val="0"/>
    <w:pPr>
      <w:spacing w:line="360" w:lineRule="auto"/>
      <w:jc w:val="center"/>
    </w:pPr>
    <w:rPr>
      <w:b/>
      <w:sz w:val="24"/>
    </w:rPr>
  </w:style>
  <w:style w:type="character" w:customStyle="1" w:styleId="242">
    <w:name w:val="生物质发电正文 Char"/>
    <w:link w:val="243"/>
    <w:qFormat/>
    <w:uiPriority w:val="0"/>
    <w:rPr>
      <w:rFonts w:ascii="宋体" w:hAnsi="宋体"/>
      <w:bCs/>
      <w:sz w:val="24"/>
      <w:szCs w:val="24"/>
    </w:rPr>
  </w:style>
  <w:style w:type="paragraph" w:customStyle="1" w:styleId="243">
    <w:name w:val="生物质发电正文"/>
    <w:basedOn w:val="1"/>
    <w:link w:val="242"/>
    <w:qFormat/>
    <w:uiPriority w:val="0"/>
    <w:pPr>
      <w:widowControl/>
      <w:suppressAutoHyphens/>
      <w:adjustRightInd w:val="0"/>
      <w:snapToGrid w:val="0"/>
      <w:spacing w:line="324" w:lineRule="auto"/>
      <w:ind w:firstLine="200" w:firstLineChars="200"/>
      <w:textAlignment w:val="baseline"/>
    </w:pPr>
    <w:rPr>
      <w:rFonts w:ascii="宋体" w:hAnsi="宋体"/>
      <w:bCs/>
      <w:kern w:val="0"/>
      <w:sz w:val="24"/>
    </w:rPr>
  </w:style>
  <w:style w:type="character" w:customStyle="1" w:styleId="244">
    <w:name w:val="石化产业工业区正文 Char Char"/>
    <w:link w:val="245"/>
    <w:qFormat/>
    <w:uiPriority w:val="0"/>
    <w:rPr>
      <w:rFonts w:ascii="宋体" w:hAnsi="宋体" w:cs="宋体"/>
      <w:sz w:val="24"/>
    </w:rPr>
  </w:style>
  <w:style w:type="paragraph" w:customStyle="1" w:styleId="245">
    <w:name w:val="石化产业工业区正文"/>
    <w:basedOn w:val="1"/>
    <w:link w:val="244"/>
    <w:qFormat/>
    <w:uiPriority w:val="0"/>
    <w:pPr>
      <w:spacing w:line="324" w:lineRule="auto"/>
      <w:ind w:firstLine="480" w:firstLineChars="200"/>
    </w:pPr>
    <w:rPr>
      <w:rFonts w:ascii="宋体" w:hAnsi="宋体" w:cs="宋体"/>
      <w:kern w:val="0"/>
      <w:sz w:val="24"/>
      <w:szCs w:val="20"/>
    </w:rPr>
  </w:style>
  <w:style w:type="character" w:customStyle="1" w:styleId="246">
    <w:name w:val="纯文本 Char"/>
    <w:basedOn w:val="70"/>
    <w:qFormat/>
    <w:uiPriority w:val="99"/>
    <w:rPr>
      <w:rFonts w:ascii="宋体" w:hAnsi="Courier New" w:eastAsia="宋体" w:cs="Courier New"/>
      <w:szCs w:val="21"/>
    </w:rPr>
  </w:style>
  <w:style w:type="character" w:customStyle="1" w:styleId="247">
    <w:name w:val="表格 Char"/>
    <w:link w:val="226"/>
    <w:qFormat/>
    <w:uiPriority w:val="0"/>
    <w:rPr>
      <w:rFonts w:ascii="Times New Roman" w:hAnsi="Times New Roman" w:eastAsia="宋体" w:cs="Times New Roman"/>
      <w:kern w:val="0"/>
      <w:szCs w:val="20"/>
    </w:rPr>
  </w:style>
  <w:style w:type="character" w:customStyle="1" w:styleId="248">
    <w:name w:val="列表段落 字符"/>
    <w:link w:val="119"/>
    <w:qFormat/>
    <w:uiPriority w:val="0"/>
    <w:rPr>
      <w:kern w:val="2"/>
      <w:sz w:val="21"/>
    </w:rPr>
  </w:style>
  <w:style w:type="paragraph" w:customStyle="1" w:styleId="249">
    <w:name w:val="陆晶 表格式"/>
    <w:basedOn w:val="1"/>
    <w:link w:val="250"/>
    <w:qFormat/>
    <w:uiPriority w:val="0"/>
    <w:pPr>
      <w:jc w:val="center"/>
    </w:pPr>
    <w:rPr>
      <w:bCs/>
      <w:szCs w:val="21"/>
    </w:rPr>
  </w:style>
  <w:style w:type="character" w:customStyle="1" w:styleId="250">
    <w:name w:val="陆晶 表格式 Char"/>
    <w:link w:val="249"/>
    <w:qFormat/>
    <w:uiPriority w:val="0"/>
    <w:rPr>
      <w:bCs/>
      <w:kern w:val="2"/>
      <w:sz w:val="21"/>
      <w:szCs w:val="21"/>
    </w:rPr>
  </w:style>
  <w:style w:type="paragraph" w:customStyle="1" w:styleId="251">
    <w:name w:val="样式 首行缩进:  2 字符1"/>
    <w:basedOn w:val="1"/>
    <w:qFormat/>
    <w:uiPriority w:val="0"/>
    <w:pPr>
      <w:snapToGrid w:val="0"/>
      <w:spacing w:line="360" w:lineRule="auto"/>
      <w:ind w:firstLine="200" w:firstLineChars="200"/>
    </w:pPr>
    <w:rPr>
      <w:rFonts w:cs="宋体"/>
      <w:sz w:val="24"/>
      <w:szCs w:val="20"/>
    </w:rPr>
  </w:style>
  <w:style w:type="paragraph" w:customStyle="1" w:styleId="252">
    <w:name w:val="报告正文"/>
    <w:basedOn w:val="1"/>
    <w:link w:val="253"/>
    <w:qFormat/>
    <w:uiPriority w:val="0"/>
    <w:pPr>
      <w:widowControl/>
      <w:spacing w:before="156" w:after="156" w:line="360" w:lineRule="auto"/>
      <w:ind w:firstLine="482"/>
      <w:jc w:val="left"/>
    </w:pPr>
    <w:rPr>
      <w:rFonts w:ascii="宋体" w:hAnsi="宋体" w:cs="宋体"/>
      <w:kern w:val="0"/>
      <w:sz w:val="24"/>
    </w:rPr>
  </w:style>
  <w:style w:type="character" w:customStyle="1" w:styleId="253">
    <w:name w:val="报告正文 Char"/>
    <w:link w:val="252"/>
    <w:qFormat/>
    <w:uiPriority w:val="0"/>
    <w:rPr>
      <w:rFonts w:ascii="宋体" w:hAnsi="宋体" w:cs="宋体"/>
      <w:sz w:val="24"/>
      <w:szCs w:val="24"/>
    </w:rPr>
  </w:style>
  <w:style w:type="character" w:customStyle="1" w:styleId="254">
    <w:name w:val="表格1 Char1"/>
    <w:link w:val="255"/>
    <w:qFormat/>
    <w:uiPriority w:val="0"/>
    <w:rPr>
      <w:rFonts w:ascii="CG Times (W1)" w:hAnsi="CG Times (W1)"/>
      <w:szCs w:val="21"/>
    </w:rPr>
  </w:style>
  <w:style w:type="paragraph" w:customStyle="1" w:styleId="255">
    <w:name w:val="表格1"/>
    <w:basedOn w:val="1"/>
    <w:link w:val="254"/>
    <w:qFormat/>
    <w:uiPriority w:val="0"/>
    <w:pPr>
      <w:adjustRightInd w:val="0"/>
      <w:spacing w:before="20" w:after="20" w:line="240" w:lineRule="atLeast"/>
      <w:jc w:val="center"/>
      <w:textAlignment w:val="baseline"/>
    </w:pPr>
    <w:rPr>
      <w:rFonts w:ascii="CG Times (W1)" w:hAnsi="CG Times (W1)"/>
      <w:kern w:val="0"/>
      <w:sz w:val="20"/>
      <w:szCs w:val="21"/>
    </w:rPr>
  </w:style>
  <w:style w:type="character" w:customStyle="1" w:styleId="256">
    <w:name w:val="正 文 Char Char"/>
    <w:link w:val="257"/>
    <w:qFormat/>
    <w:uiPriority w:val="0"/>
    <w:rPr>
      <w:rFonts w:ascii="Arial" w:hAnsi="Arial"/>
      <w:sz w:val="24"/>
      <w:szCs w:val="24"/>
    </w:rPr>
  </w:style>
  <w:style w:type="paragraph" w:customStyle="1" w:styleId="257">
    <w:name w:val="正 文"/>
    <w:link w:val="256"/>
    <w:qFormat/>
    <w:uiPriority w:val="0"/>
    <w:pPr>
      <w:widowControl w:val="0"/>
      <w:spacing w:line="480" w:lineRule="exact"/>
      <w:ind w:firstLine="471"/>
      <w:jc w:val="both"/>
    </w:pPr>
    <w:rPr>
      <w:rFonts w:ascii="Arial" w:hAnsi="Arial" w:eastAsia="宋体" w:cs="Times New Roman"/>
      <w:sz w:val="24"/>
      <w:szCs w:val="24"/>
      <w:lang w:val="en-US" w:eastAsia="zh-CN" w:bidi="ar-SA"/>
    </w:rPr>
  </w:style>
  <w:style w:type="paragraph" w:customStyle="1" w:styleId="258">
    <w:name w:val="样式 Char"/>
    <w:basedOn w:val="1"/>
    <w:qFormat/>
    <w:uiPriority w:val="0"/>
    <w:rPr>
      <w:szCs w:val="21"/>
    </w:rPr>
  </w:style>
  <w:style w:type="paragraph" w:customStyle="1" w:styleId="259">
    <w:name w:val="表格内容 Char Char"/>
    <w:basedOn w:val="1"/>
    <w:qFormat/>
    <w:uiPriority w:val="0"/>
    <w:pPr>
      <w:tabs>
        <w:tab w:val="left" w:pos="1535"/>
        <w:tab w:val="left" w:pos="3105"/>
        <w:tab w:val="left" w:pos="4676"/>
        <w:tab w:val="left" w:pos="6247"/>
        <w:tab w:val="left" w:pos="7740"/>
        <w:tab w:val="left" w:pos="9288"/>
      </w:tabs>
      <w:adjustRightInd w:val="0"/>
      <w:snapToGrid w:val="0"/>
      <w:spacing w:line="240" w:lineRule="exact"/>
      <w:jc w:val="center"/>
      <w:textAlignment w:val="baseline"/>
    </w:pPr>
    <w:rPr>
      <w:color w:val="000000"/>
      <w:szCs w:val="16"/>
    </w:rPr>
  </w:style>
  <w:style w:type="paragraph" w:customStyle="1" w:styleId="260">
    <w:name w:val="【表格】"/>
    <w:next w:val="61"/>
    <w:qFormat/>
    <w:uiPriority w:val="0"/>
    <w:pPr>
      <w:jc w:val="center"/>
    </w:pPr>
    <w:rPr>
      <w:rFonts w:ascii="Times New Roman" w:hAnsi="Times New Roman" w:eastAsia="宋体" w:cs="Times New Roman"/>
      <w:sz w:val="21"/>
      <w:szCs w:val="24"/>
      <w:lang w:val="en-US" w:eastAsia="zh-CN" w:bidi="ar-SA"/>
    </w:rPr>
  </w:style>
  <w:style w:type="paragraph" w:customStyle="1" w:styleId="261">
    <w:name w:val="TOC Heading"/>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paragraph" w:customStyle="1" w:styleId="262">
    <w:name w:val="默认段落字体 Para Char Char Char Char"/>
    <w:basedOn w:val="1"/>
    <w:semiHidden/>
    <w:qFormat/>
    <w:uiPriority w:val="0"/>
  </w:style>
  <w:style w:type="paragraph" w:customStyle="1" w:styleId="263">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264">
    <w:name w:val="正文文本 2 字符"/>
    <w:basedOn w:val="70"/>
    <w:link w:val="52"/>
    <w:qFormat/>
    <w:uiPriority w:val="0"/>
    <w:rPr>
      <w:kern w:val="2"/>
      <w:sz w:val="24"/>
      <w:szCs w:val="24"/>
    </w:rPr>
  </w:style>
  <w:style w:type="character" w:customStyle="1" w:styleId="265">
    <w:name w:val="表标题 Char"/>
    <w:link w:val="266"/>
    <w:qFormat/>
    <w:uiPriority w:val="0"/>
    <w:rPr>
      <w:b/>
      <w:sz w:val="24"/>
      <w:szCs w:val="24"/>
    </w:rPr>
  </w:style>
  <w:style w:type="paragraph" w:customStyle="1" w:styleId="266">
    <w:name w:val="表标题"/>
    <w:basedOn w:val="1"/>
    <w:link w:val="265"/>
    <w:qFormat/>
    <w:uiPriority w:val="0"/>
    <w:pPr>
      <w:snapToGrid w:val="0"/>
      <w:jc w:val="center"/>
    </w:pPr>
    <w:rPr>
      <w:b/>
      <w:kern w:val="0"/>
      <w:sz w:val="24"/>
    </w:rPr>
  </w:style>
  <w:style w:type="table" w:customStyle="1" w:styleId="267">
    <w:name w:val="网格型1"/>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1"/>
    <w:basedOn w:val="6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69">
    <w:name w:val="Document Map Char"/>
    <w:semiHidden/>
    <w:qFormat/>
    <w:uiPriority w:val="0"/>
    <w:rPr>
      <w:rFonts w:ascii="Times New Roman" w:hAnsi="Times New Roman" w:eastAsia="宋体" w:cs="Times New Roman"/>
      <w:sz w:val="24"/>
      <w:szCs w:val="24"/>
      <w:shd w:val="clear" w:color="auto" w:fill="000080"/>
    </w:rPr>
  </w:style>
  <w:style w:type="character" w:customStyle="1" w:styleId="270">
    <w:name w:val="Balloon Text Char"/>
    <w:semiHidden/>
    <w:qFormat/>
    <w:uiPriority w:val="0"/>
    <w:rPr>
      <w:rFonts w:ascii="Times New Roman" w:hAnsi="Times New Roman" w:eastAsia="宋体" w:cs="Times New Roman"/>
      <w:sz w:val="18"/>
      <w:szCs w:val="18"/>
    </w:rPr>
  </w:style>
  <w:style w:type="table" w:customStyle="1" w:styleId="271">
    <w:name w:val="网格型11"/>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72">
    <w:name w:val="脚注文本 Char1"/>
    <w:semiHidden/>
    <w:qFormat/>
    <w:uiPriority w:val="99"/>
    <w:rPr>
      <w:rFonts w:ascii="Times New Roman" w:hAnsi="Times New Roman"/>
      <w:kern w:val="2"/>
      <w:sz w:val="18"/>
      <w:szCs w:val="18"/>
    </w:rPr>
  </w:style>
  <w:style w:type="table" w:customStyle="1" w:styleId="273">
    <w:name w:val="网格型12"/>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4">
    <w:name w:val="电镀正文"/>
    <w:basedOn w:val="1"/>
    <w:link w:val="275"/>
    <w:qFormat/>
    <w:uiPriority w:val="0"/>
    <w:pPr>
      <w:adjustRightInd w:val="0"/>
      <w:spacing w:line="324" w:lineRule="auto"/>
      <w:ind w:firstLine="200" w:firstLineChars="200"/>
      <w:textAlignment w:val="baseline"/>
    </w:pPr>
    <w:rPr>
      <w:rFonts w:ascii="宋体" w:hAnsi="宋体" w:cs="黑体"/>
      <w:sz w:val="24"/>
    </w:rPr>
  </w:style>
  <w:style w:type="character" w:customStyle="1" w:styleId="275">
    <w:name w:val="电镀正文 Char Char"/>
    <w:link w:val="274"/>
    <w:qFormat/>
    <w:uiPriority w:val="0"/>
    <w:rPr>
      <w:rFonts w:ascii="宋体" w:hAnsi="宋体" w:cs="黑体"/>
      <w:kern w:val="2"/>
      <w:sz w:val="24"/>
      <w:szCs w:val="24"/>
    </w:rPr>
  </w:style>
  <w:style w:type="paragraph" w:customStyle="1" w:styleId="276">
    <w:name w:val="廉江表"/>
    <w:basedOn w:val="1"/>
    <w:qFormat/>
    <w:uiPriority w:val="0"/>
    <w:pPr>
      <w:widowControl/>
      <w:snapToGrid w:val="0"/>
      <w:jc w:val="center"/>
    </w:pPr>
    <w:rPr>
      <w:szCs w:val="21"/>
    </w:rPr>
  </w:style>
  <w:style w:type="paragraph" w:customStyle="1" w:styleId="277">
    <w:name w:val="TOC 标题1"/>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character" w:styleId="278">
    <w:name w:val="Placeholder Text"/>
    <w:basedOn w:val="70"/>
    <w:semiHidden/>
    <w:qFormat/>
    <w:uiPriority w:val="99"/>
    <w:rPr>
      <w:color w:val="808080"/>
    </w:rPr>
  </w:style>
  <w:style w:type="character" w:customStyle="1" w:styleId="279">
    <w:name w:val="!正文PYH Char"/>
    <w:link w:val="280"/>
    <w:qFormat/>
    <w:uiPriority w:val="0"/>
    <w:rPr>
      <w:rFonts w:eastAsia="仿宋_GB2312"/>
      <w:sz w:val="28"/>
    </w:rPr>
  </w:style>
  <w:style w:type="paragraph" w:customStyle="1" w:styleId="280">
    <w:name w:val="!正文PYH"/>
    <w:basedOn w:val="1"/>
    <w:link w:val="279"/>
    <w:qFormat/>
    <w:uiPriority w:val="0"/>
    <w:pPr>
      <w:spacing w:line="560" w:lineRule="exact"/>
      <w:ind w:firstLine="200" w:firstLineChars="200"/>
    </w:pPr>
    <w:rPr>
      <w:rFonts w:eastAsia="仿宋_GB2312"/>
      <w:kern w:val="0"/>
      <w:sz w:val="28"/>
      <w:szCs w:val="20"/>
    </w:rPr>
  </w:style>
  <w:style w:type="paragraph" w:customStyle="1" w:styleId="281">
    <w:name w:val="样式 标题 4 + 段前: 0.5 行"/>
    <w:basedOn w:val="6"/>
    <w:qFormat/>
    <w:uiPriority w:val="0"/>
    <w:pPr>
      <w:numPr>
        <w:ilvl w:val="0"/>
        <w:numId w:val="0"/>
      </w:numPr>
      <w:tabs>
        <w:tab w:val="left" w:pos="1300"/>
      </w:tabs>
      <w:snapToGrid w:val="0"/>
      <w:spacing w:before="20" w:afterLines="20" w:line="560" w:lineRule="exact"/>
      <w:jc w:val="both"/>
      <w:textAlignment w:val="auto"/>
    </w:pPr>
    <w:rPr>
      <w:rFonts w:eastAsia="黑体" w:cs="宋体"/>
      <w:b w:val="0"/>
      <w:bCs w:val="0"/>
      <w:smallCaps w:val="0"/>
      <w:snapToGrid w:val="0"/>
      <w:sz w:val="28"/>
      <w:szCs w:val="20"/>
    </w:rPr>
  </w:style>
  <w:style w:type="character" w:customStyle="1" w:styleId="282">
    <w:name w:val="注释标题 字符"/>
    <w:basedOn w:val="70"/>
    <w:link w:val="16"/>
    <w:qFormat/>
    <w:uiPriority w:val="0"/>
    <w:rPr>
      <w:rFonts w:ascii="宋体"/>
      <w:kern w:val="2"/>
      <w:sz w:val="21"/>
    </w:rPr>
  </w:style>
  <w:style w:type="paragraph" w:customStyle="1" w:styleId="283">
    <w:name w:val="简单回函地址"/>
    <w:basedOn w:val="1"/>
    <w:qFormat/>
    <w:uiPriority w:val="0"/>
    <w:rPr>
      <w:szCs w:val="20"/>
    </w:rPr>
  </w:style>
  <w:style w:type="paragraph" w:customStyle="1" w:styleId="284">
    <w:name w:val="表1"/>
    <w:basedOn w:val="1"/>
    <w:qFormat/>
    <w:uiPriority w:val="0"/>
    <w:pPr>
      <w:jc w:val="center"/>
    </w:pPr>
    <w:rPr>
      <w:rFonts w:cs="宋体"/>
      <w:szCs w:val="20"/>
    </w:rPr>
  </w:style>
  <w:style w:type="paragraph" w:customStyle="1" w:styleId="285">
    <w:name w:val="样式 (符号) 宋体 小四 行距: 1.5 倍行距"/>
    <w:basedOn w:val="1"/>
    <w:qFormat/>
    <w:uiPriority w:val="0"/>
    <w:pPr>
      <w:spacing w:line="360" w:lineRule="auto"/>
      <w:ind w:firstLine="200" w:firstLineChars="200"/>
    </w:pPr>
    <w:rPr>
      <w:rFonts w:hAnsi="宋体" w:cs="宋体"/>
      <w:sz w:val="24"/>
      <w:szCs w:val="20"/>
    </w:rPr>
  </w:style>
  <w:style w:type="character" w:customStyle="1" w:styleId="286">
    <w:name w:val="正文文本缩进 字符"/>
    <w:basedOn w:val="70"/>
    <w:link w:val="27"/>
    <w:semiHidden/>
    <w:qFormat/>
    <w:uiPriority w:val="99"/>
    <w:rPr>
      <w:kern w:val="2"/>
      <w:sz w:val="24"/>
      <w:szCs w:val="24"/>
    </w:rPr>
  </w:style>
  <w:style w:type="paragraph" w:customStyle="1" w:styleId="287">
    <w:name w:val="样式 样式 标题 4 + 首行缩进:  2 字符 + 首行缩进:  2 字符1"/>
    <w:basedOn w:val="1"/>
    <w:qFormat/>
    <w:uiPriority w:val="0"/>
    <w:pPr>
      <w:keepNext/>
      <w:keepLines/>
      <w:spacing w:before="120" w:after="120"/>
      <w:ind w:firstLine="200" w:firstLineChars="200"/>
      <w:outlineLvl w:val="3"/>
    </w:pPr>
    <w:rPr>
      <w:rFonts w:ascii="Arial" w:hAnsi="Arial" w:eastAsia="黑体"/>
      <w:sz w:val="24"/>
      <w:szCs w:val="20"/>
    </w:rPr>
  </w:style>
  <w:style w:type="paragraph" w:customStyle="1" w:styleId="288">
    <w:name w:val="Char Char Char1"/>
    <w:basedOn w:val="1"/>
    <w:qFormat/>
    <w:uiPriority w:val="0"/>
    <w:pPr>
      <w:widowControl/>
      <w:spacing w:after="160"/>
      <w:ind w:left="160" w:leftChars="50"/>
      <w:jc w:val="center"/>
    </w:pPr>
  </w:style>
  <w:style w:type="paragraph" w:customStyle="1" w:styleId="289">
    <w:name w:val="退格正文"/>
    <w:basedOn w:val="1"/>
    <w:semiHidden/>
    <w:qFormat/>
    <w:uiPriority w:val="0"/>
    <w:pPr>
      <w:spacing w:line="360" w:lineRule="auto"/>
      <w:ind w:firstLine="538" w:firstLineChars="192"/>
    </w:pPr>
    <w:rPr>
      <w:sz w:val="28"/>
    </w:rPr>
  </w:style>
  <w:style w:type="paragraph" w:customStyle="1" w:styleId="290">
    <w:name w:val="标题三"/>
    <w:basedOn w:val="5"/>
    <w:next w:val="1"/>
    <w:qFormat/>
    <w:uiPriority w:val="0"/>
    <w:pPr>
      <w:keepLines w:val="0"/>
      <w:numPr>
        <w:ilvl w:val="0"/>
        <w:numId w:val="0"/>
      </w:numPr>
      <w:autoSpaceDE w:val="0"/>
      <w:autoSpaceDN w:val="0"/>
      <w:adjustRightInd w:val="0"/>
      <w:ind w:firstLine="510"/>
      <w:textAlignment w:val="baseline"/>
    </w:pPr>
    <w:rPr>
      <w:rFonts w:ascii="黑体" w:eastAsia="黑体" w:cs="黑体"/>
      <w:sz w:val="24"/>
      <w:szCs w:val="24"/>
    </w:rPr>
  </w:style>
  <w:style w:type="paragraph" w:customStyle="1" w:styleId="291">
    <w:name w:val="正文正本 + 宋体"/>
    <w:basedOn w:val="1"/>
    <w:link w:val="292"/>
    <w:qFormat/>
    <w:uiPriority w:val="0"/>
    <w:pPr>
      <w:widowControl/>
      <w:spacing w:line="360" w:lineRule="auto"/>
      <w:ind w:firstLine="510"/>
      <w:jc w:val="left"/>
    </w:pPr>
    <w:rPr>
      <w:rFonts w:ascii="宋体" w:hAnsi="宋体"/>
      <w:kern w:val="0"/>
      <w:sz w:val="24"/>
    </w:rPr>
  </w:style>
  <w:style w:type="character" w:customStyle="1" w:styleId="292">
    <w:name w:val="正文正本 + 宋体 Char"/>
    <w:basedOn w:val="70"/>
    <w:link w:val="291"/>
    <w:qFormat/>
    <w:uiPriority w:val="0"/>
    <w:rPr>
      <w:rFonts w:ascii="宋体" w:hAnsi="宋体"/>
      <w:sz w:val="24"/>
      <w:szCs w:val="24"/>
    </w:rPr>
  </w:style>
  <w:style w:type="paragraph" w:customStyle="1" w:styleId="293">
    <w:name w:val="表名"/>
    <w:basedOn w:val="1"/>
    <w:qFormat/>
    <w:uiPriority w:val="0"/>
    <w:pPr>
      <w:spacing w:before="120" w:after="120" w:line="360" w:lineRule="auto"/>
      <w:jc w:val="center"/>
    </w:pPr>
    <w:rPr>
      <w:rFonts w:ascii="宋体"/>
      <w:b/>
      <w:sz w:val="24"/>
    </w:rPr>
  </w:style>
  <w:style w:type="character" w:customStyle="1" w:styleId="294">
    <w:name w:val="标题 字符"/>
    <w:basedOn w:val="70"/>
    <w:link w:val="59"/>
    <w:qFormat/>
    <w:uiPriority w:val="10"/>
    <w:rPr>
      <w:rFonts w:cstheme="majorBidi"/>
      <w:b/>
      <w:bCs/>
      <w:kern w:val="2"/>
      <w:sz w:val="24"/>
      <w:szCs w:val="32"/>
    </w:rPr>
  </w:style>
  <w:style w:type="paragraph" w:customStyle="1" w:styleId="295">
    <w:name w:val="三级标题6"/>
    <w:basedOn w:val="1"/>
    <w:qFormat/>
    <w:uiPriority w:val="0"/>
    <w:pPr>
      <w:spacing w:before="300" w:line="460" w:lineRule="exact"/>
      <w:outlineLvl w:val="2"/>
    </w:pPr>
    <w:rPr>
      <w:rFonts w:cs="宋体"/>
      <w:b/>
      <w:bCs/>
      <w:snapToGrid w:val="0"/>
      <w:kern w:val="0"/>
      <w:sz w:val="24"/>
      <w:szCs w:val="20"/>
    </w:rPr>
  </w:style>
  <w:style w:type="paragraph" w:customStyle="1" w:styleId="296">
    <w:name w:val="Char"/>
    <w:basedOn w:val="1"/>
    <w:link w:val="353"/>
    <w:qFormat/>
    <w:uiPriority w:val="0"/>
    <w:rPr>
      <w:szCs w:val="21"/>
    </w:rPr>
  </w:style>
  <w:style w:type="paragraph" w:customStyle="1" w:styleId="297">
    <w:name w:val="燕山正文1"/>
    <w:basedOn w:val="1"/>
    <w:qFormat/>
    <w:uiPriority w:val="0"/>
    <w:pPr>
      <w:tabs>
        <w:tab w:val="left" w:pos="4680"/>
      </w:tabs>
      <w:adjustRightInd w:val="0"/>
      <w:snapToGrid w:val="0"/>
      <w:spacing w:line="480" w:lineRule="exact"/>
    </w:pPr>
    <w:rPr>
      <w:rFonts w:ascii="宋体" w:cs="宋体"/>
      <w:sz w:val="24"/>
    </w:rPr>
  </w:style>
  <w:style w:type="paragraph" w:customStyle="1" w:styleId="298">
    <w:name w:val="样式 正文首行缩进 2 + 首行缩进:  2 字符"/>
    <w:basedOn w:val="62"/>
    <w:qFormat/>
    <w:uiPriority w:val="0"/>
    <w:pPr>
      <w:spacing w:after="0" w:line="360" w:lineRule="auto"/>
      <w:ind w:left="0" w:leftChars="0" w:firstLine="0" w:firstLineChars="0"/>
      <w:outlineLvl w:val="3"/>
    </w:pPr>
    <w:rPr>
      <w:b/>
      <w:sz w:val="24"/>
    </w:rPr>
  </w:style>
  <w:style w:type="character" w:customStyle="1" w:styleId="299">
    <w:name w:val="正文文本首行缩进 2 字符"/>
    <w:basedOn w:val="286"/>
    <w:link w:val="62"/>
    <w:semiHidden/>
    <w:qFormat/>
    <w:uiPriority w:val="0"/>
    <w:rPr>
      <w:kern w:val="2"/>
      <w:sz w:val="21"/>
      <w:szCs w:val="24"/>
    </w:rPr>
  </w:style>
  <w:style w:type="paragraph" w:customStyle="1" w:styleId="300">
    <w:name w:val="表格标题8"/>
    <w:basedOn w:val="1"/>
    <w:qFormat/>
    <w:uiPriority w:val="0"/>
    <w:pPr>
      <w:spacing w:before="60" w:line="460" w:lineRule="exact"/>
      <w:jc w:val="center"/>
    </w:pPr>
    <w:rPr>
      <w:rFonts w:cs="宋体"/>
      <w:snapToGrid w:val="0"/>
      <w:kern w:val="0"/>
      <w:sz w:val="24"/>
    </w:rPr>
  </w:style>
  <w:style w:type="character" w:customStyle="1" w:styleId="301">
    <w:name w:val="表格内容-zxc Char"/>
    <w:link w:val="302"/>
    <w:qFormat/>
    <w:uiPriority w:val="0"/>
    <w:rPr>
      <w:position w:val="-3"/>
      <w:szCs w:val="21"/>
    </w:rPr>
  </w:style>
  <w:style w:type="paragraph" w:customStyle="1" w:styleId="302">
    <w:name w:val="表格内容-zxc"/>
    <w:next w:val="1"/>
    <w:link w:val="301"/>
    <w:qFormat/>
    <w:uiPriority w:val="0"/>
    <w:pPr>
      <w:jc w:val="center"/>
    </w:pPr>
    <w:rPr>
      <w:rFonts w:ascii="Times New Roman" w:hAnsi="Times New Roman" w:eastAsia="宋体" w:cs="Times New Roman"/>
      <w:position w:val="-3"/>
      <w:szCs w:val="21"/>
      <w:lang w:val="en-US" w:eastAsia="zh-CN" w:bidi="ar-SA"/>
    </w:rPr>
  </w:style>
  <w:style w:type="paragraph" w:customStyle="1" w:styleId="303">
    <w:name w:val="EndNote Bibliography Title"/>
    <w:basedOn w:val="1"/>
    <w:link w:val="304"/>
    <w:qFormat/>
    <w:uiPriority w:val="0"/>
    <w:pPr>
      <w:spacing w:line="360" w:lineRule="auto"/>
      <w:ind w:firstLine="200" w:firstLineChars="200"/>
      <w:jc w:val="center"/>
    </w:pPr>
    <w:rPr>
      <w:rFonts w:eastAsiaTheme="minorEastAsia"/>
      <w:sz w:val="24"/>
      <w:szCs w:val="22"/>
    </w:rPr>
  </w:style>
  <w:style w:type="character" w:customStyle="1" w:styleId="304">
    <w:name w:val="EndNote Bibliography Title Char"/>
    <w:basedOn w:val="70"/>
    <w:link w:val="303"/>
    <w:qFormat/>
    <w:uiPriority w:val="0"/>
    <w:rPr>
      <w:rFonts w:eastAsiaTheme="minorEastAsia"/>
      <w:kern w:val="2"/>
      <w:sz w:val="24"/>
      <w:szCs w:val="22"/>
    </w:rPr>
  </w:style>
  <w:style w:type="paragraph" w:customStyle="1" w:styleId="305">
    <w:name w:val="EndNote Bibliography"/>
    <w:basedOn w:val="1"/>
    <w:link w:val="306"/>
    <w:qFormat/>
    <w:uiPriority w:val="0"/>
    <w:pPr>
      <w:spacing w:line="360" w:lineRule="auto"/>
      <w:ind w:firstLine="200" w:firstLineChars="200"/>
    </w:pPr>
    <w:rPr>
      <w:rFonts w:eastAsiaTheme="minorEastAsia"/>
      <w:sz w:val="24"/>
      <w:szCs w:val="22"/>
    </w:rPr>
  </w:style>
  <w:style w:type="character" w:customStyle="1" w:styleId="306">
    <w:name w:val="EndNote Bibliography Char"/>
    <w:basedOn w:val="70"/>
    <w:link w:val="305"/>
    <w:qFormat/>
    <w:uiPriority w:val="0"/>
    <w:rPr>
      <w:rFonts w:eastAsiaTheme="minorEastAsia"/>
      <w:kern w:val="2"/>
      <w:sz w:val="24"/>
      <w:szCs w:val="22"/>
    </w:rPr>
  </w:style>
  <w:style w:type="character" w:customStyle="1" w:styleId="307">
    <w:name w:val="web-item2"/>
    <w:basedOn w:val="70"/>
    <w:qFormat/>
    <w:uiPriority w:val="0"/>
    <w:rPr>
      <w:sz w:val="18"/>
      <w:szCs w:val="18"/>
    </w:rPr>
  </w:style>
  <w:style w:type="character" w:customStyle="1" w:styleId="308">
    <w:name w:val="脚注文本 字符"/>
    <w:basedOn w:val="70"/>
    <w:link w:val="46"/>
    <w:semiHidden/>
    <w:qFormat/>
    <w:uiPriority w:val="99"/>
    <w:rPr>
      <w:rFonts w:eastAsiaTheme="minorEastAsia" w:cstheme="minorBidi"/>
      <w:kern w:val="2"/>
      <w:sz w:val="18"/>
      <w:szCs w:val="18"/>
    </w:rPr>
  </w:style>
  <w:style w:type="paragraph" w:styleId="309">
    <w:name w:val="Quote"/>
    <w:basedOn w:val="1"/>
    <w:next w:val="1"/>
    <w:link w:val="310"/>
    <w:qFormat/>
    <w:uiPriority w:val="29"/>
    <w:pPr>
      <w:spacing w:line="360" w:lineRule="auto"/>
      <w:ind w:firstLine="200" w:firstLineChars="200"/>
    </w:pPr>
    <w:rPr>
      <w:rFonts w:eastAsiaTheme="minorEastAsia" w:cstheme="minorBidi"/>
      <w:i/>
      <w:iCs/>
      <w:color w:val="000000" w:themeColor="text1"/>
      <w:sz w:val="24"/>
      <w:szCs w:val="22"/>
      <w14:textFill>
        <w14:solidFill>
          <w14:schemeClr w14:val="tx1"/>
        </w14:solidFill>
      </w14:textFill>
    </w:rPr>
  </w:style>
  <w:style w:type="character" w:customStyle="1" w:styleId="310">
    <w:name w:val="引用 字符"/>
    <w:basedOn w:val="70"/>
    <w:link w:val="309"/>
    <w:qFormat/>
    <w:uiPriority w:val="29"/>
    <w:rPr>
      <w:rFonts w:eastAsiaTheme="minorEastAsia" w:cstheme="minorBidi"/>
      <w:i/>
      <w:iCs/>
      <w:color w:val="000000" w:themeColor="text1"/>
      <w:kern w:val="2"/>
      <w:sz w:val="24"/>
      <w:szCs w:val="22"/>
      <w14:textFill>
        <w14:solidFill>
          <w14:schemeClr w14:val="tx1"/>
        </w14:solidFill>
      </w14:textFill>
    </w:rPr>
  </w:style>
  <w:style w:type="character" w:customStyle="1" w:styleId="311">
    <w:name w:val="copied"/>
    <w:basedOn w:val="70"/>
    <w:qFormat/>
    <w:uiPriority w:val="0"/>
  </w:style>
  <w:style w:type="paragraph" w:customStyle="1" w:styleId="312">
    <w:name w:val="样式 正文首行缩进:  2 字符 + 首行缩进:  2 字符"/>
    <w:basedOn w:val="1"/>
    <w:qFormat/>
    <w:uiPriority w:val="0"/>
    <w:pPr>
      <w:spacing w:line="360" w:lineRule="auto"/>
      <w:ind w:firstLine="480" w:firstLineChars="200"/>
    </w:pPr>
    <w:rPr>
      <w:rFonts w:cs="宋体"/>
      <w:sz w:val="24"/>
      <w:szCs w:val="20"/>
    </w:rPr>
  </w:style>
  <w:style w:type="character" w:customStyle="1" w:styleId="313">
    <w:name w:val="正文缩进 字符"/>
    <w:link w:val="19"/>
    <w:qFormat/>
    <w:uiPriority w:val="0"/>
    <w:rPr>
      <w:kern w:val="2"/>
      <w:sz w:val="24"/>
      <w:szCs w:val="24"/>
    </w:rPr>
  </w:style>
  <w:style w:type="paragraph" w:customStyle="1" w:styleId="314">
    <w:name w:val="自定正文"/>
    <w:basedOn w:val="1"/>
    <w:link w:val="315"/>
    <w:qFormat/>
    <w:uiPriority w:val="0"/>
    <w:pPr>
      <w:snapToGrid w:val="0"/>
      <w:spacing w:line="360" w:lineRule="auto"/>
      <w:ind w:firstLine="200" w:firstLineChars="200"/>
      <w:textAlignment w:val="center"/>
    </w:pPr>
    <w:rPr>
      <w:rFonts w:ascii="Arial" w:hAnsi="Arial"/>
      <w:snapToGrid w:val="0"/>
      <w:color w:val="000000"/>
      <w:sz w:val="24"/>
      <w:szCs w:val="20"/>
    </w:rPr>
  </w:style>
  <w:style w:type="character" w:customStyle="1" w:styleId="315">
    <w:name w:val="自定正文 Char"/>
    <w:basedOn w:val="70"/>
    <w:link w:val="314"/>
    <w:qFormat/>
    <w:uiPriority w:val="0"/>
    <w:rPr>
      <w:rFonts w:ascii="Arial" w:hAnsi="Arial"/>
      <w:snapToGrid w:val="0"/>
      <w:color w:val="000000"/>
      <w:kern w:val="2"/>
      <w:sz w:val="24"/>
    </w:rPr>
  </w:style>
  <w:style w:type="paragraph" w:customStyle="1" w:styleId="316">
    <w:name w:val="自定标题1"/>
    <w:basedOn w:val="3"/>
    <w:next w:val="317"/>
    <w:qFormat/>
    <w:uiPriority w:val="0"/>
    <w:pPr>
      <w:keepNext w:val="0"/>
      <w:keepLines w:val="0"/>
      <w:numPr>
        <w:numId w:val="0"/>
      </w:numPr>
      <w:tabs>
        <w:tab w:val="left" w:pos="360"/>
        <w:tab w:val="clear" w:pos="0"/>
      </w:tabs>
      <w:autoSpaceDE w:val="0"/>
      <w:autoSpaceDN w:val="0"/>
      <w:adjustRightInd w:val="0"/>
      <w:spacing w:before="300" w:after="300"/>
      <w:jc w:val="center"/>
      <w:textAlignment w:val="baseline"/>
    </w:pPr>
    <w:rPr>
      <w:snapToGrid w:val="0"/>
      <w:kern w:val="0"/>
      <w:sz w:val="36"/>
      <w:szCs w:val="20"/>
    </w:rPr>
  </w:style>
  <w:style w:type="paragraph" w:customStyle="1" w:styleId="317">
    <w:name w:val="自定标题2"/>
    <w:basedOn w:val="4"/>
    <w:next w:val="314"/>
    <w:qFormat/>
    <w:uiPriority w:val="0"/>
    <w:pPr>
      <w:keepNext w:val="0"/>
      <w:keepLines w:val="0"/>
      <w:numPr>
        <w:ilvl w:val="0"/>
        <w:numId w:val="0"/>
      </w:numPr>
      <w:tabs>
        <w:tab w:val="left" w:pos="360"/>
        <w:tab w:val="clear" w:pos="0"/>
        <w:tab w:val="clear" w:pos="709"/>
      </w:tabs>
      <w:snapToGrid w:val="0"/>
      <w:spacing w:before="50" w:beforeLines="50" w:after="50" w:afterLines="50"/>
    </w:pPr>
    <w:rPr>
      <w:bCs w:val="0"/>
      <w:smallCaps w:val="0"/>
      <w:snapToGrid w:val="0"/>
      <w:szCs w:val="20"/>
    </w:rPr>
  </w:style>
  <w:style w:type="paragraph" w:customStyle="1" w:styleId="318">
    <w:name w:val="自定标题4"/>
    <w:basedOn w:val="6"/>
    <w:next w:val="314"/>
    <w:link w:val="324"/>
    <w:qFormat/>
    <w:uiPriority w:val="0"/>
    <w:pPr>
      <w:numPr>
        <w:ilvl w:val="0"/>
        <w:numId w:val="0"/>
      </w:numPr>
      <w:tabs>
        <w:tab w:val="left" w:pos="360"/>
        <w:tab w:val="clear" w:pos="0"/>
      </w:tabs>
      <w:snapToGrid w:val="0"/>
      <w:spacing w:before="120" w:after="120"/>
      <w:jc w:val="both"/>
      <w:textAlignment w:val="auto"/>
    </w:pPr>
    <w:rPr>
      <w:rFonts w:eastAsia="微软雅黑"/>
      <w:b w:val="0"/>
      <w:bCs w:val="0"/>
      <w:smallCaps w:val="0"/>
      <w:snapToGrid w:val="0"/>
      <w:szCs w:val="20"/>
    </w:rPr>
  </w:style>
  <w:style w:type="paragraph" w:customStyle="1" w:styleId="319">
    <w:name w:val="自定表格"/>
    <w:basedOn w:val="1"/>
    <w:link w:val="322"/>
    <w:qFormat/>
    <w:uiPriority w:val="0"/>
    <w:pPr>
      <w:autoSpaceDE w:val="0"/>
      <w:autoSpaceDN w:val="0"/>
      <w:adjustRightInd w:val="0"/>
      <w:spacing w:line="360" w:lineRule="auto"/>
      <w:jc w:val="center"/>
      <w:textAlignment w:val="center"/>
    </w:pPr>
    <w:rPr>
      <w:rFonts w:ascii="Arial" w:hAnsi="Arial"/>
      <w:kern w:val="0"/>
      <w:szCs w:val="20"/>
    </w:rPr>
  </w:style>
  <w:style w:type="paragraph" w:customStyle="1" w:styleId="320">
    <w:name w:val="自定表头"/>
    <w:basedOn w:val="7"/>
    <w:link w:val="321"/>
    <w:qFormat/>
    <w:uiPriority w:val="0"/>
    <w:pPr>
      <w:autoSpaceDE w:val="0"/>
      <w:autoSpaceDN w:val="0"/>
      <w:adjustRightInd w:val="0"/>
      <w:spacing w:beforeLines="0" w:afterLines="0" w:line="360" w:lineRule="auto"/>
      <w:ind w:firstLine="0" w:firstLineChars="0"/>
      <w:jc w:val="center"/>
    </w:pPr>
    <w:rPr>
      <w:rFonts w:ascii="Arial" w:hAnsi="Arial"/>
      <w:kern w:val="2"/>
      <w:szCs w:val="20"/>
    </w:rPr>
  </w:style>
  <w:style w:type="character" w:customStyle="1" w:styleId="321">
    <w:name w:val="自定表头 Char Char"/>
    <w:basedOn w:val="70"/>
    <w:link w:val="320"/>
    <w:qFormat/>
    <w:uiPriority w:val="0"/>
    <w:rPr>
      <w:rFonts w:ascii="Arial" w:hAnsi="Arial"/>
      <w:b/>
      <w:kern w:val="2"/>
      <w:sz w:val="24"/>
    </w:rPr>
  </w:style>
  <w:style w:type="character" w:customStyle="1" w:styleId="322">
    <w:name w:val="自定表格 Char"/>
    <w:basedOn w:val="70"/>
    <w:link w:val="319"/>
    <w:qFormat/>
    <w:uiPriority w:val="0"/>
    <w:rPr>
      <w:rFonts w:ascii="Arial" w:hAnsi="Arial"/>
      <w:sz w:val="21"/>
    </w:rPr>
  </w:style>
  <w:style w:type="paragraph" w:customStyle="1" w:styleId="323">
    <w:name w:val="图片"/>
    <w:basedOn w:val="1"/>
    <w:qFormat/>
    <w:uiPriority w:val="0"/>
    <w:pPr>
      <w:spacing w:line="440" w:lineRule="exact"/>
    </w:pPr>
    <w:rPr>
      <w:sz w:val="24"/>
    </w:rPr>
  </w:style>
  <w:style w:type="character" w:customStyle="1" w:styleId="324">
    <w:name w:val="自定标题4 Char"/>
    <w:basedOn w:val="70"/>
    <w:link w:val="318"/>
    <w:qFormat/>
    <w:uiPriority w:val="0"/>
    <w:rPr>
      <w:rFonts w:eastAsia="微软雅黑"/>
      <w:snapToGrid w:val="0"/>
      <w:kern w:val="2"/>
      <w:sz w:val="24"/>
    </w:rPr>
  </w:style>
  <w:style w:type="paragraph" w:customStyle="1" w:styleId="325">
    <w:name w:val="样式 标题 1标题 11一、 + Times New Roman 行距: 固定值 23 磅"/>
    <w:basedOn w:val="3"/>
    <w:qFormat/>
    <w:uiPriority w:val="0"/>
    <w:pPr>
      <w:numPr>
        <w:numId w:val="0"/>
      </w:numPr>
      <w:tabs>
        <w:tab w:val="clear" w:pos="0"/>
      </w:tabs>
      <w:spacing w:line="460" w:lineRule="exact"/>
    </w:pPr>
    <w:rPr>
      <w:rFonts w:ascii="黑体" w:eastAsia="黑体" w:cs="宋体"/>
      <w:b w:val="0"/>
      <w:bCs/>
      <w:szCs w:val="32"/>
      <w:lang w:val="zh-CN" w:eastAsia="zh-CN"/>
    </w:rPr>
  </w:style>
  <w:style w:type="paragraph" w:customStyle="1" w:styleId="326">
    <w:name w:val="自定义图标"/>
    <w:basedOn w:val="1"/>
    <w:qFormat/>
    <w:uiPriority w:val="0"/>
    <w:pPr>
      <w:spacing w:line="360" w:lineRule="auto"/>
      <w:ind w:left="-50" w:leftChars="-50" w:right="-50" w:rightChars="-50"/>
      <w:jc w:val="center"/>
    </w:pPr>
    <w:rPr>
      <w:rFonts w:cs="Arial"/>
      <w:b/>
    </w:rPr>
  </w:style>
  <w:style w:type="table" w:customStyle="1" w:styleId="327">
    <w:name w:val="黄桥表1"/>
    <w:basedOn w:val="63"/>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28">
    <w:name w:val="正文何黎 Char"/>
    <w:link w:val="329"/>
    <w:qFormat/>
    <w:uiPriority w:val="0"/>
    <w:rPr>
      <w:rFonts w:ascii="宋体" w:hAnsi="宋体" w:cs="宋体"/>
      <w:sz w:val="24"/>
      <w:szCs w:val="24"/>
    </w:rPr>
  </w:style>
  <w:style w:type="paragraph" w:customStyle="1" w:styleId="329">
    <w:name w:val="正文何黎"/>
    <w:basedOn w:val="1"/>
    <w:link w:val="328"/>
    <w:qFormat/>
    <w:uiPriority w:val="0"/>
    <w:pPr>
      <w:spacing w:line="360" w:lineRule="auto"/>
      <w:ind w:firstLine="480" w:firstLineChars="200"/>
    </w:pPr>
    <w:rPr>
      <w:rFonts w:ascii="宋体" w:hAnsi="宋体" w:cs="宋体"/>
      <w:kern w:val="0"/>
      <w:sz w:val="24"/>
    </w:rPr>
  </w:style>
  <w:style w:type="character" w:customStyle="1" w:styleId="330">
    <w:name w:val="正文缩进1 Char1"/>
    <w:qFormat/>
    <w:uiPriority w:val="0"/>
    <w:rPr>
      <w:rFonts w:hint="eastAsia" w:ascii="宋体" w:hAnsi="宋体" w:eastAsia="宋体"/>
      <w:kern w:val="2"/>
      <w:sz w:val="28"/>
      <w:szCs w:val="24"/>
      <w:lang w:val="en-US" w:eastAsia="zh-CN" w:bidi="ar-SA"/>
    </w:rPr>
  </w:style>
  <w:style w:type="character" w:customStyle="1" w:styleId="331">
    <w:name w:val="样式33 Char"/>
    <w:link w:val="332"/>
    <w:qFormat/>
    <w:uiPriority w:val="0"/>
    <w:rPr>
      <w:rFonts w:eastAsia="黑体"/>
      <w:sz w:val="24"/>
      <w:szCs w:val="32"/>
    </w:rPr>
  </w:style>
  <w:style w:type="paragraph" w:customStyle="1" w:styleId="332">
    <w:name w:val="样式33"/>
    <w:basedOn w:val="1"/>
    <w:link w:val="331"/>
    <w:qFormat/>
    <w:uiPriority w:val="0"/>
    <w:pPr>
      <w:keepNext/>
      <w:keepLines/>
      <w:tabs>
        <w:tab w:val="left" w:pos="360"/>
        <w:tab w:val="left" w:pos="540"/>
        <w:tab w:val="left" w:pos="1260"/>
      </w:tabs>
      <w:spacing w:before="156" w:beforeLines="50" w:after="156" w:afterLines="50" w:line="360" w:lineRule="auto"/>
      <w:ind w:left="1260" w:hanging="420"/>
      <w:outlineLvl w:val="2"/>
    </w:pPr>
    <w:rPr>
      <w:rFonts w:eastAsia="黑体"/>
      <w:kern w:val="0"/>
      <w:sz w:val="24"/>
      <w:szCs w:val="32"/>
    </w:rPr>
  </w:style>
  <w:style w:type="paragraph" w:customStyle="1" w:styleId="333">
    <w:name w:val="文章正文"/>
    <w:basedOn w:val="1"/>
    <w:qFormat/>
    <w:uiPriority w:val="0"/>
    <w:pPr>
      <w:spacing w:line="360" w:lineRule="auto"/>
      <w:ind w:firstLine="200" w:firstLineChars="200"/>
    </w:pPr>
    <w:rPr>
      <w:rFonts w:cs="華康細圓體"/>
      <w:kern w:val="0"/>
      <w:sz w:val="24"/>
    </w:rPr>
  </w:style>
  <w:style w:type="character" w:customStyle="1" w:styleId="334">
    <w:name w:val="报告书正文 Char2"/>
    <w:link w:val="214"/>
    <w:qFormat/>
    <w:uiPriority w:val="0"/>
    <w:rPr>
      <w:kern w:val="2"/>
      <w:sz w:val="24"/>
      <w:szCs w:val="24"/>
    </w:rPr>
  </w:style>
  <w:style w:type="paragraph" w:customStyle="1" w:styleId="335">
    <w:name w:val="正文样式"/>
    <w:basedOn w:val="1"/>
    <w:link w:val="336"/>
    <w:qFormat/>
    <w:uiPriority w:val="0"/>
    <w:pPr>
      <w:tabs>
        <w:tab w:val="left" w:pos="4200"/>
      </w:tabs>
      <w:spacing w:line="360" w:lineRule="auto"/>
      <w:ind w:firstLine="522"/>
    </w:pPr>
    <w:rPr>
      <w:color w:val="000000"/>
      <w:sz w:val="24"/>
    </w:rPr>
  </w:style>
  <w:style w:type="character" w:customStyle="1" w:styleId="336">
    <w:name w:val="正文样式 Char"/>
    <w:link w:val="335"/>
    <w:qFormat/>
    <w:uiPriority w:val="0"/>
    <w:rPr>
      <w:color w:val="000000"/>
      <w:kern w:val="2"/>
      <w:sz w:val="24"/>
      <w:szCs w:val="24"/>
    </w:rPr>
  </w:style>
  <w:style w:type="paragraph" w:customStyle="1" w:styleId="337">
    <w:name w:val="图表内容"/>
    <w:basedOn w:val="1"/>
    <w:link w:val="338"/>
    <w:qFormat/>
    <w:uiPriority w:val="0"/>
    <w:pPr>
      <w:tabs>
        <w:tab w:val="left" w:pos="7200"/>
      </w:tabs>
      <w:spacing w:line="360" w:lineRule="auto"/>
      <w:jc w:val="center"/>
    </w:pPr>
    <w:rPr>
      <w:color w:val="000000"/>
      <w:kern w:val="0"/>
    </w:rPr>
  </w:style>
  <w:style w:type="character" w:customStyle="1" w:styleId="338">
    <w:name w:val="图表内容 Char"/>
    <w:link w:val="337"/>
    <w:qFormat/>
    <w:uiPriority w:val="0"/>
    <w:rPr>
      <w:color w:val="000000"/>
      <w:sz w:val="21"/>
      <w:szCs w:val="24"/>
    </w:rPr>
  </w:style>
  <w:style w:type="paragraph" w:customStyle="1" w:styleId="339">
    <w:name w:val="图表名称"/>
    <w:basedOn w:val="61"/>
    <w:next w:val="61"/>
    <w:link w:val="340"/>
    <w:qFormat/>
    <w:uiPriority w:val="0"/>
    <w:pPr>
      <w:topLinePunct w:val="0"/>
      <w:adjustRightInd/>
      <w:snapToGrid/>
      <w:spacing w:after="120" w:line="240" w:lineRule="auto"/>
      <w:ind w:firstLine="0" w:firstLineChars="0"/>
      <w:jc w:val="center"/>
      <w:textAlignment w:val="auto"/>
    </w:pPr>
    <w:rPr>
      <w:b/>
      <w:kern w:val="2"/>
      <w:szCs w:val="24"/>
    </w:rPr>
  </w:style>
  <w:style w:type="character" w:customStyle="1" w:styleId="340">
    <w:name w:val="图表名称 Char"/>
    <w:link w:val="339"/>
    <w:qFormat/>
    <w:uiPriority w:val="0"/>
    <w:rPr>
      <w:b/>
      <w:kern w:val="2"/>
      <w:sz w:val="24"/>
      <w:szCs w:val="24"/>
    </w:rPr>
  </w:style>
  <w:style w:type="character" w:customStyle="1" w:styleId="341">
    <w:name w:val="正文文本缩进 3 Char1"/>
    <w:link w:val="342"/>
    <w:qFormat/>
    <w:uiPriority w:val="99"/>
    <w:rPr>
      <w:sz w:val="16"/>
      <w:szCs w:val="16"/>
    </w:rPr>
  </w:style>
  <w:style w:type="paragraph" w:customStyle="1" w:styleId="342">
    <w:name w:val="正文文本缩进 33"/>
    <w:basedOn w:val="1"/>
    <w:link w:val="341"/>
    <w:qFormat/>
    <w:uiPriority w:val="99"/>
    <w:pPr>
      <w:spacing w:after="120" w:line="360" w:lineRule="auto"/>
      <w:ind w:left="420" w:leftChars="200"/>
    </w:pPr>
    <w:rPr>
      <w:kern w:val="0"/>
      <w:sz w:val="16"/>
      <w:szCs w:val="16"/>
    </w:rPr>
  </w:style>
  <w:style w:type="paragraph" w:customStyle="1" w:styleId="343">
    <w:name w:val="标题2"/>
    <w:basedOn w:val="1"/>
    <w:qFormat/>
    <w:uiPriority w:val="0"/>
    <w:pPr>
      <w:spacing w:line="360" w:lineRule="auto"/>
      <w:ind w:left="850" w:hanging="425"/>
    </w:pPr>
    <w:rPr>
      <w:szCs w:val="20"/>
    </w:rPr>
  </w:style>
  <w:style w:type="paragraph" w:customStyle="1" w:styleId="344">
    <w:name w:val="正文文本缩进 31"/>
    <w:basedOn w:val="1"/>
    <w:qFormat/>
    <w:uiPriority w:val="0"/>
    <w:pPr>
      <w:spacing w:after="120" w:line="360" w:lineRule="auto"/>
      <w:ind w:left="420" w:leftChars="200"/>
    </w:pPr>
    <w:rPr>
      <w:sz w:val="16"/>
      <w:szCs w:val="16"/>
    </w:rPr>
  </w:style>
  <w:style w:type="paragraph" w:customStyle="1" w:styleId="345">
    <w:name w:val="正文文本缩进 35"/>
    <w:basedOn w:val="1"/>
    <w:qFormat/>
    <w:uiPriority w:val="0"/>
    <w:pPr>
      <w:spacing w:after="120" w:line="360" w:lineRule="auto"/>
      <w:ind w:left="420" w:leftChars="200"/>
    </w:pPr>
    <w:rPr>
      <w:sz w:val="16"/>
      <w:szCs w:val="16"/>
    </w:rPr>
  </w:style>
  <w:style w:type="character" w:customStyle="1" w:styleId="346">
    <w:name w:val="正文何黎 Char Char"/>
    <w:qFormat/>
    <w:uiPriority w:val="0"/>
    <w:rPr>
      <w:rFonts w:ascii="宋体" w:hAnsi="宋体" w:eastAsia="宋体" w:cs="Times New Roman"/>
      <w:sz w:val="24"/>
      <w:szCs w:val="24"/>
    </w:rPr>
  </w:style>
  <w:style w:type="paragraph" w:customStyle="1" w:styleId="34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8">
    <w:name w:val="1"/>
    <w:basedOn w:val="27"/>
    <w:next w:val="62"/>
    <w:qFormat/>
    <w:uiPriority w:val="0"/>
    <w:pPr>
      <w:widowControl/>
      <w:numPr>
        <w:ilvl w:val="0"/>
        <w:numId w:val="4"/>
      </w:numPr>
      <w:tabs>
        <w:tab w:val="clear" w:pos="605"/>
      </w:tabs>
      <w:adjustRightInd w:val="0"/>
      <w:snapToGrid w:val="0"/>
      <w:spacing w:after="0"/>
      <w:ind w:left="0" w:leftChars="0" w:firstLine="200"/>
      <w:jc w:val="left"/>
    </w:pPr>
    <w:rPr>
      <w:rFonts w:ascii="宋体" w:hAnsi="宋体"/>
      <w:snapToGrid w:val="0"/>
      <w:color w:val="000000"/>
      <w:kern w:val="0"/>
      <w:szCs w:val="20"/>
    </w:rPr>
  </w:style>
  <w:style w:type="paragraph" w:customStyle="1" w:styleId="349">
    <w:name w:val="样式12"/>
    <w:basedOn w:val="1"/>
    <w:link w:val="350"/>
    <w:qFormat/>
    <w:uiPriority w:val="0"/>
    <w:pPr>
      <w:keepNext/>
      <w:keepLines/>
      <w:numPr>
        <w:ilvl w:val="1"/>
        <w:numId w:val="4"/>
      </w:numPr>
      <w:tabs>
        <w:tab w:val="left" w:pos="360"/>
      </w:tabs>
      <w:spacing w:beforeLines="50" w:afterLines="50" w:line="360" w:lineRule="auto"/>
      <w:ind w:firstLine="0"/>
      <w:outlineLvl w:val="1"/>
    </w:pPr>
    <w:rPr>
      <w:rFonts w:eastAsia="黑体"/>
      <w:sz w:val="28"/>
      <w:szCs w:val="28"/>
    </w:rPr>
  </w:style>
  <w:style w:type="character" w:customStyle="1" w:styleId="350">
    <w:name w:val="样式12 Char"/>
    <w:link w:val="349"/>
    <w:qFormat/>
    <w:uiPriority w:val="0"/>
    <w:rPr>
      <w:rFonts w:eastAsia="黑体"/>
      <w:kern w:val="2"/>
      <w:sz w:val="28"/>
      <w:szCs w:val="28"/>
    </w:rPr>
  </w:style>
  <w:style w:type="paragraph" w:customStyle="1" w:styleId="351">
    <w:name w:val="样式13"/>
    <w:basedOn w:val="1"/>
    <w:link w:val="461"/>
    <w:qFormat/>
    <w:uiPriority w:val="0"/>
    <w:pPr>
      <w:keepNext/>
      <w:keepLines/>
      <w:numPr>
        <w:ilvl w:val="2"/>
        <w:numId w:val="4"/>
      </w:numPr>
      <w:tabs>
        <w:tab w:val="left" w:pos="0"/>
        <w:tab w:val="left" w:pos="360"/>
        <w:tab w:val="left" w:pos="540"/>
      </w:tabs>
      <w:spacing w:beforeLines="50" w:afterLines="50" w:line="360" w:lineRule="auto"/>
      <w:ind w:left="0" w:firstLine="0"/>
      <w:outlineLvl w:val="2"/>
    </w:pPr>
    <w:rPr>
      <w:rFonts w:eastAsia="黑体"/>
      <w:kern w:val="0"/>
      <w:sz w:val="24"/>
      <w:szCs w:val="32"/>
    </w:rPr>
  </w:style>
  <w:style w:type="paragraph" w:customStyle="1" w:styleId="352">
    <w:name w:val="样式14"/>
    <w:basedOn w:val="1"/>
    <w:link w:val="388"/>
    <w:qFormat/>
    <w:uiPriority w:val="0"/>
    <w:pPr>
      <w:keepNext/>
      <w:keepLines/>
      <w:numPr>
        <w:ilvl w:val="3"/>
        <w:numId w:val="4"/>
      </w:numPr>
      <w:tabs>
        <w:tab w:val="left" w:pos="720"/>
      </w:tabs>
      <w:spacing w:beforeLines="50" w:afterLines="50" w:line="360" w:lineRule="auto"/>
      <w:ind w:firstLine="0"/>
      <w:outlineLvl w:val="3"/>
    </w:pPr>
    <w:rPr>
      <w:sz w:val="24"/>
      <w:szCs w:val="28"/>
    </w:rPr>
  </w:style>
  <w:style w:type="character" w:customStyle="1" w:styleId="353">
    <w:name w:val="Char Char"/>
    <w:link w:val="296"/>
    <w:qFormat/>
    <w:uiPriority w:val="0"/>
    <w:rPr>
      <w:kern w:val="2"/>
      <w:sz w:val="21"/>
      <w:szCs w:val="21"/>
    </w:rPr>
  </w:style>
  <w:style w:type="character" w:customStyle="1" w:styleId="354">
    <w:name w:val="批注文字 Char"/>
    <w:qFormat/>
    <w:uiPriority w:val="99"/>
    <w:rPr>
      <w:kern w:val="2"/>
      <w:sz w:val="21"/>
    </w:rPr>
  </w:style>
  <w:style w:type="character" w:customStyle="1" w:styleId="355">
    <w:name w:val="题注 Char2"/>
    <w:qFormat/>
    <w:uiPriority w:val="0"/>
    <w:rPr>
      <w:rFonts w:eastAsia="黑体"/>
      <w:color w:val="000000"/>
      <w:kern w:val="2"/>
      <w:sz w:val="24"/>
    </w:rPr>
  </w:style>
  <w:style w:type="character" w:customStyle="1" w:styleId="356">
    <w:name w:val="Char Char3"/>
    <w:link w:val="357"/>
    <w:qFormat/>
    <w:uiPriority w:val="0"/>
    <w:rPr>
      <w:rFonts w:ascii="宋体" w:hAnsi="宋体"/>
      <w:sz w:val="24"/>
    </w:rPr>
  </w:style>
  <w:style w:type="paragraph" w:customStyle="1" w:styleId="357">
    <w:name w:val="Char4"/>
    <w:basedOn w:val="1"/>
    <w:link w:val="356"/>
    <w:qFormat/>
    <w:uiPriority w:val="0"/>
    <w:pPr>
      <w:spacing w:line="360" w:lineRule="auto"/>
      <w:ind w:firstLine="200" w:firstLineChars="200"/>
    </w:pPr>
    <w:rPr>
      <w:rFonts w:ascii="宋体" w:hAnsi="宋体"/>
      <w:kern w:val="0"/>
      <w:sz w:val="24"/>
      <w:szCs w:val="20"/>
    </w:rPr>
  </w:style>
  <w:style w:type="character" w:customStyle="1" w:styleId="358">
    <w:name w:val="尾注文本 字符"/>
    <w:basedOn w:val="70"/>
    <w:link w:val="38"/>
    <w:semiHidden/>
    <w:qFormat/>
    <w:uiPriority w:val="99"/>
    <w:rPr>
      <w:rFonts w:eastAsiaTheme="minorEastAsia" w:cstheme="minorBidi"/>
      <w:kern w:val="2"/>
      <w:sz w:val="24"/>
      <w:szCs w:val="22"/>
    </w:rPr>
  </w:style>
  <w:style w:type="character" w:customStyle="1" w:styleId="359">
    <w:name w:val="页眉 Char"/>
    <w:qFormat/>
    <w:uiPriority w:val="99"/>
    <w:rPr>
      <w:sz w:val="18"/>
      <w:szCs w:val="18"/>
    </w:rPr>
  </w:style>
  <w:style w:type="character" w:customStyle="1" w:styleId="360">
    <w:name w:val="正文文本 3 字符"/>
    <w:basedOn w:val="70"/>
    <w:link w:val="24"/>
    <w:semiHidden/>
    <w:qFormat/>
    <w:uiPriority w:val="0"/>
    <w:rPr>
      <w:rFonts w:eastAsia="楷体_GB2312"/>
      <w:color w:val="0000FF"/>
      <w:spacing w:val="16"/>
      <w:sz w:val="24"/>
    </w:rPr>
  </w:style>
  <w:style w:type="character" w:customStyle="1" w:styleId="361">
    <w:name w:val="正文文本缩进 2 字符"/>
    <w:basedOn w:val="70"/>
    <w:link w:val="37"/>
    <w:semiHidden/>
    <w:qFormat/>
    <w:uiPriority w:val="0"/>
    <w:rPr>
      <w:kern w:val="2"/>
      <w:sz w:val="21"/>
      <w:szCs w:val="24"/>
    </w:rPr>
  </w:style>
  <w:style w:type="character" w:customStyle="1" w:styleId="362">
    <w:name w:val="正文文本缩进 3 字符"/>
    <w:basedOn w:val="70"/>
    <w:link w:val="48"/>
    <w:semiHidden/>
    <w:qFormat/>
    <w:uiPriority w:val="0"/>
    <w:rPr>
      <w:rFonts w:asciiTheme="minorHAnsi" w:hAnsiTheme="minorHAnsi" w:cstheme="minorBidi"/>
      <w:kern w:val="2"/>
      <w:sz w:val="16"/>
      <w:szCs w:val="16"/>
    </w:rPr>
  </w:style>
  <w:style w:type="character" w:customStyle="1" w:styleId="363">
    <w:name w:val="标题 2 Char"/>
    <w:basedOn w:val="70"/>
    <w:qFormat/>
    <w:uiPriority w:val="9"/>
    <w:rPr>
      <w:rFonts w:asciiTheme="majorHAnsi" w:hAnsiTheme="majorHAnsi" w:eastAsiaTheme="majorEastAsia" w:cstheme="majorBidi"/>
      <w:b/>
      <w:bCs/>
      <w:sz w:val="32"/>
      <w:szCs w:val="32"/>
    </w:rPr>
  </w:style>
  <w:style w:type="character" w:customStyle="1" w:styleId="364">
    <w:name w:val="表格内容 Char Char Char"/>
    <w:semiHidden/>
    <w:qFormat/>
    <w:uiPriority w:val="0"/>
    <w:rPr>
      <w:rFonts w:ascii="宋体" w:hAnsi="宋体" w:eastAsia="宋体" w:cs="宋体"/>
      <w:color w:val="000000"/>
      <w:kern w:val="2"/>
      <w:sz w:val="21"/>
      <w:szCs w:val="16"/>
      <w:lang w:val="en-US" w:eastAsia="zh-CN" w:bidi="ar-SA"/>
    </w:rPr>
  </w:style>
  <w:style w:type="character" w:customStyle="1" w:styleId="365">
    <w:name w:val="下标"/>
    <w:semiHidden/>
    <w:qFormat/>
    <w:uiPriority w:val="0"/>
    <w:rPr>
      <w:rFonts w:ascii="Times New Roman" w:hAnsi="Times New Roman" w:eastAsia="宋体" w:cs="宋体"/>
      <w:spacing w:val="0"/>
      <w:kern w:val="2"/>
      <w:position w:val="-7"/>
      <w:sz w:val="18"/>
      <w:szCs w:val="24"/>
      <w:lang w:val="en-US" w:eastAsia="zh-CN" w:bidi="ar-SA"/>
    </w:rPr>
  </w:style>
  <w:style w:type="character" w:customStyle="1" w:styleId="366">
    <w:name w:val="正文（YHY-GDB) Char"/>
    <w:link w:val="367"/>
    <w:semiHidden/>
    <w:qFormat/>
    <w:uiPriority w:val="0"/>
    <w:rPr>
      <w:sz w:val="24"/>
      <w:szCs w:val="24"/>
    </w:rPr>
  </w:style>
  <w:style w:type="paragraph" w:customStyle="1" w:styleId="367">
    <w:name w:val="正文（YHY-GDB)"/>
    <w:basedOn w:val="1"/>
    <w:link w:val="366"/>
    <w:semiHidden/>
    <w:qFormat/>
    <w:uiPriority w:val="0"/>
    <w:pPr>
      <w:spacing w:before="50" w:beforeLines="50" w:after="50" w:afterLines="50" w:line="360" w:lineRule="auto"/>
      <w:ind w:firstLine="200" w:firstLineChars="200"/>
    </w:pPr>
    <w:rPr>
      <w:kern w:val="0"/>
      <w:sz w:val="24"/>
    </w:rPr>
  </w:style>
  <w:style w:type="character" w:customStyle="1" w:styleId="368">
    <w:name w:val="样式 标题 3 + 宋体 小四 非加粗 Char"/>
    <w:link w:val="369"/>
    <w:semiHidden/>
    <w:qFormat/>
    <w:uiPriority w:val="0"/>
    <w:rPr>
      <w:rFonts w:ascii="宋体" w:hAnsi="宋体"/>
      <w:sz w:val="24"/>
      <w:szCs w:val="32"/>
    </w:rPr>
  </w:style>
  <w:style w:type="paragraph" w:customStyle="1" w:styleId="369">
    <w:name w:val="样式 标题 3 + 宋体 小四 非加粗"/>
    <w:basedOn w:val="5"/>
    <w:link w:val="368"/>
    <w:semiHidden/>
    <w:qFormat/>
    <w:uiPriority w:val="0"/>
    <w:pPr>
      <w:numPr>
        <w:ilvl w:val="0"/>
        <w:numId w:val="0"/>
      </w:numPr>
      <w:tabs>
        <w:tab w:val="left" w:pos="632"/>
        <w:tab w:val="clear" w:pos="0"/>
      </w:tabs>
      <w:spacing w:before="260" w:after="120" w:line="416" w:lineRule="auto"/>
      <w:ind w:left="632" w:hanging="432"/>
      <w:jc w:val="both"/>
    </w:pPr>
    <w:rPr>
      <w:rFonts w:ascii="宋体" w:hAnsi="宋体"/>
      <w:b w:val="0"/>
      <w:bCs w:val="0"/>
      <w:kern w:val="0"/>
      <w:sz w:val="24"/>
      <w:szCs w:val="32"/>
    </w:rPr>
  </w:style>
  <w:style w:type="character" w:customStyle="1" w:styleId="370">
    <w:name w:val="样式15 Char Char"/>
    <w:semiHidden/>
    <w:qFormat/>
    <w:uiPriority w:val="0"/>
    <w:rPr>
      <w:rFonts w:ascii="宋体" w:hAnsi="宋体" w:eastAsia="宋体" w:cs="宋体"/>
      <w:bCs/>
      <w:color w:val="000000"/>
      <w:kern w:val="2"/>
      <w:sz w:val="24"/>
      <w:szCs w:val="24"/>
      <w:lang w:val="en-US" w:eastAsia="zh-CN" w:bidi="ar-SA"/>
    </w:rPr>
  </w:style>
  <w:style w:type="character" w:customStyle="1" w:styleId="371">
    <w:name w:val="Char Char9"/>
    <w:qFormat/>
    <w:uiPriority w:val="0"/>
    <w:rPr>
      <w:rFonts w:ascii="Times New Roman" w:hAnsi="Times New Roman"/>
      <w:kern w:val="2"/>
      <w:sz w:val="18"/>
      <w:szCs w:val="24"/>
    </w:rPr>
  </w:style>
  <w:style w:type="character" w:customStyle="1" w:styleId="372">
    <w:name w:val="样式1 Char Char Char Char Char"/>
    <w:link w:val="373"/>
    <w:semiHidden/>
    <w:qFormat/>
    <w:uiPriority w:val="0"/>
    <w:rPr>
      <w:rFonts w:ascii="宋体" w:hAnsi="宋体" w:cs="宋体"/>
      <w:sz w:val="24"/>
      <w:szCs w:val="24"/>
    </w:rPr>
  </w:style>
  <w:style w:type="paragraph" w:customStyle="1" w:styleId="373">
    <w:name w:val="样式1 Char Char Char Char"/>
    <w:basedOn w:val="55"/>
    <w:link w:val="372"/>
    <w:semiHidden/>
    <w:qFormat/>
    <w:uiPriority w:val="0"/>
    <w:pPr>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djustRightInd w:val="0"/>
      <w:spacing w:line="312" w:lineRule="atLeast"/>
      <w:jc w:val="both"/>
      <w:textAlignment w:val="baseline"/>
    </w:pPr>
  </w:style>
  <w:style w:type="character" w:customStyle="1" w:styleId="374">
    <w:name w:val="四级标题 Char"/>
    <w:link w:val="375"/>
    <w:semiHidden/>
    <w:qFormat/>
    <w:uiPriority w:val="0"/>
    <w:rPr>
      <w:rFonts w:ascii="宋体" w:hAnsi="宋体"/>
      <w:b/>
      <w:bCs/>
      <w:sz w:val="24"/>
      <w:szCs w:val="24"/>
    </w:rPr>
  </w:style>
  <w:style w:type="paragraph" w:customStyle="1" w:styleId="375">
    <w:name w:val="四级标题"/>
    <w:basedOn w:val="6"/>
    <w:link w:val="374"/>
    <w:semiHidden/>
    <w:qFormat/>
    <w:uiPriority w:val="0"/>
    <w:pPr>
      <w:keepNext/>
      <w:keepLines/>
      <w:numPr>
        <w:ilvl w:val="0"/>
        <w:numId w:val="0"/>
      </w:numPr>
      <w:tabs>
        <w:tab w:val="clear" w:pos="0"/>
      </w:tabs>
      <w:adjustRightInd/>
      <w:spacing w:before="156" w:beforeLines="50" w:after="156" w:afterLines="50"/>
      <w:jc w:val="both"/>
      <w:textAlignment w:val="auto"/>
    </w:pPr>
    <w:rPr>
      <w:rFonts w:ascii="宋体" w:hAnsi="宋体"/>
      <w:smallCaps w:val="0"/>
      <w:kern w:val="0"/>
    </w:rPr>
  </w:style>
  <w:style w:type="character" w:customStyle="1" w:styleId="376">
    <w:name w:val="正文15 Char"/>
    <w:link w:val="377"/>
    <w:semiHidden/>
    <w:qFormat/>
    <w:uiPriority w:val="0"/>
    <w:rPr>
      <w:sz w:val="28"/>
      <w:szCs w:val="28"/>
    </w:rPr>
  </w:style>
  <w:style w:type="paragraph" w:customStyle="1" w:styleId="377">
    <w:name w:val="正文15"/>
    <w:basedOn w:val="1"/>
    <w:link w:val="376"/>
    <w:semiHidden/>
    <w:qFormat/>
    <w:uiPriority w:val="0"/>
    <w:pPr>
      <w:overflowPunct w:val="0"/>
      <w:topLinePunct/>
      <w:snapToGrid w:val="0"/>
      <w:spacing w:line="360" w:lineRule="auto"/>
      <w:ind w:firstLine="567"/>
    </w:pPr>
    <w:rPr>
      <w:kern w:val="0"/>
      <w:sz w:val="28"/>
      <w:szCs w:val="28"/>
    </w:rPr>
  </w:style>
  <w:style w:type="character" w:customStyle="1" w:styleId="378">
    <w:name w:val="样式8 Char"/>
    <w:link w:val="379"/>
    <w:semiHidden/>
    <w:qFormat/>
    <w:uiPriority w:val="0"/>
    <w:rPr>
      <w:rFonts w:ascii="宋体"/>
      <w:sz w:val="24"/>
      <w:szCs w:val="24"/>
    </w:rPr>
  </w:style>
  <w:style w:type="paragraph" w:customStyle="1" w:styleId="379">
    <w:name w:val="样式8"/>
    <w:basedOn w:val="1"/>
    <w:link w:val="378"/>
    <w:semiHidden/>
    <w:qFormat/>
    <w:uiPriority w:val="0"/>
    <w:pPr>
      <w:spacing w:line="360" w:lineRule="auto"/>
      <w:ind w:firstLine="557" w:firstLineChars="232"/>
    </w:pPr>
    <w:rPr>
      <w:rFonts w:ascii="宋体"/>
      <w:kern w:val="0"/>
      <w:sz w:val="24"/>
    </w:rPr>
  </w:style>
  <w:style w:type="character" w:customStyle="1" w:styleId="380">
    <w:name w:val="标题 33 Char Char"/>
    <w:semiHidden/>
    <w:qFormat/>
    <w:uiPriority w:val="0"/>
    <w:rPr>
      <w:rFonts w:ascii="宋体" w:hAnsi="宋体" w:eastAsia="宋体" w:cs="宋体"/>
      <w:kern w:val="2"/>
      <w:sz w:val="28"/>
      <w:szCs w:val="24"/>
      <w:lang w:val="en-US" w:eastAsia="zh-CN" w:bidi="ar-SA"/>
    </w:rPr>
  </w:style>
  <w:style w:type="character" w:customStyle="1" w:styleId="381">
    <w:name w:val="样式44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382">
    <w:name w:val="自动A Char Char"/>
    <w:semiHidden/>
    <w:qFormat/>
    <w:uiPriority w:val="0"/>
    <w:rPr>
      <w:rFonts w:ascii="宋体" w:hAnsi="宋体" w:eastAsia="宋体" w:cs="宋体"/>
      <w:color w:val="000000"/>
      <w:kern w:val="2"/>
      <w:sz w:val="24"/>
      <w:szCs w:val="24"/>
      <w:lang w:val="en-US" w:eastAsia="zh-CN" w:bidi="ar-SA"/>
    </w:rPr>
  </w:style>
  <w:style w:type="character" w:customStyle="1" w:styleId="383">
    <w:name w:val="apple-style-span"/>
    <w:semiHidden/>
    <w:qFormat/>
    <w:uiPriority w:val="0"/>
    <w:rPr>
      <w:rFonts w:ascii="宋体" w:hAnsi="宋体" w:eastAsia="宋体" w:cs="宋体"/>
      <w:kern w:val="2"/>
      <w:sz w:val="24"/>
      <w:szCs w:val="24"/>
      <w:lang w:val="en-US" w:eastAsia="zh-CN" w:bidi="ar-SA"/>
    </w:rPr>
  </w:style>
  <w:style w:type="character" w:customStyle="1" w:styleId="384">
    <w:name w:val="正文文本缩进 Char"/>
    <w:semiHidden/>
    <w:qFormat/>
    <w:uiPriority w:val="99"/>
    <w:rPr>
      <w:rFonts w:ascii="宋体" w:hAnsi="宋体" w:eastAsia="宋体"/>
      <w:kern w:val="2"/>
      <w:sz w:val="24"/>
      <w:lang w:val="en-US" w:eastAsia="zh-CN"/>
    </w:rPr>
  </w:style>
  <w:style w:type="character" w:customStyle="1" w:styleId="385">
    <w:name w:val="我的表头 Char"/>
    <w:link w:val="386"/>
    <w:semiHidden/>
    <w:qFormat/>
    <w:uiPriority w:val="0"/>
    <w:rPr>
      <w:rFonts w:eastAsia="黑体"/>
    </w:rPr>
  </w:style>
  <w:style w:type="paragraph" w:customStyle="1" w:styleId="386">
    <w:name w:val="我的表头"/>
    <w:basedOn w:val="7"/>
    <w:link w:val="385"/>
    <w:semiHidden/>
    <w:qFormat/>
    <w:uiPriority w:val="0"/>
    <w:pPr>
      <w:keepNext w:val="0"/>
      <w:keepLines w:val="0"/>
      <w:spacing w:beforeLines="0" w:afterLines="0" w:line="360" w:lineRule="auto"/>
      <w:ind w:firstLine="0" w:firstLineChars="0"/>
      <w:jc w:val="center"/>
    </w:pPr>
    <w:rPr>
      <w:rFonts w:eastAsia="黑体"/>
      <w:b w:val="0"/>
      <w:sz w:val="20"/>
      <w:szCs w:val="20"/>
    </w:rPr>
  </w:style>
  <w:style w:type="character" w:customStyle="1" w:styleId="387">
    <w:name w:val="纯文本 Char Char Char Char Char Char"/>
    <w:semiHidden/>
    <w:qFormat/>
    <w:uiPriority w:val="0"/>
    <w:rPr>
      <w:rFonts w:ascii="宋体" w:hAnsi="Courier New" w:eastAsia="宋体" w:cs="Courier New"/>
      <w:kern w:val="2"/>
      <w:sz w:val="21"/>
      <w:szCs w:val="21"/>
      <w:lang w:val="en-US" w:eastAsia="zh-CN" w:bidi="ar-SA"/>
    </w:rPr>
  </w:style>
  <w:style w:type="character" w:customStyle="1" w:styleId="388">
    <w:name w:val="样式14 Char"/>
    <w:link w:val="352"/>
    <w:qFormat/>
    <w:uiPriority w:val="0"/>
    <w:rPr>
      <w:kern w:val="2"/>
      <w:sz w:val="24"/>
      <w:szCs w:val="28"/>
    </w:rPr>
  </w:style>
  <w:style w:type="character" w:customStyle="1" w:styleId="389">
    <w:name w:val="123YJ Char Char1"/>
    <w:semiHidden/>
    <w:qFormat/>
    <w:uiPriority w:val="0"/>
    <w:rPr>
      <w:rFonts w:ascii="宋体" w:hAnsi="宋体" w:eastAsia="宋体" w:cs="宋体"/>
      <w:kern w:val="2"/>
      <w:sz w:val="18"/>
      <w:szCs w:val="18"/>
      <w:lang w:val="en-US" w:eastAsia="zh-CN" w:bidi="ar-SA"/>
    </w:rPr>
  </w:style>
  <w:style w:type="character" w:customStyle="1" w:styleId="390">
    <w:name w:val="文章正文 Char Char"/>
    <w:link w:val="391"/>
    <w:semiHidden/>
    <w:qFormat/>
    <w:uiPriority w:val="0"/>
    <w:rPr>
      <w:rFonts w:ascii="宋体" w:hAnsi="宋体"/>
      <w:sz w:val="24"/>
      <w:szCs w:val="24"/>
    </w:rPr>
  </w:style>
  <w:style w:type="paragraph" w:customStyle="1" w:styleId="391">
    <w:name w:val="文章正文 Char"/>
    <w:basedOn w:val="1"/>
    <w:link w:val="390"/>
    <w:semiHidden/>
    <w:qFormat/>
    <w:uiPriority w:val="0"/>
    <w:pPr>
      <w:spacing w:before="156" w:beforeLines="50" w:after="156" w:afterLines="50" w:line="360" w:lineRule="auto"/>
      <w:ind w:firstLine="480" w:firstLineChars="200"/>
    </w:pPr>
    <w:rPr>
      <w:rFonts w:ascii="宋体" w:hAnsi="宋体"/>
      <w:kern w:val="0"/>
      <w:sz w:val="24"/>
    </w:rPr>
  </w:style>
  <w:style w:type="character" w:customStyle="1" w:styleId="392">
    <w:name w:val="3 一级标题 Char"/>
    <w:link w:val="393"/>
    <w:qFormat/>
    <w:uiPriority w:val="0"/>
    <w:rPr>
      <w:rFonts w:ascii="黑体" w:hAnsi="Calibri" w:eastAsia="仿宋_GB2312"/>
      <w:b/>
      <w:sz w:val="36"/>
    </w:rPr>
  </w:style>
  <w:style w:type="paragraph" w:customStyle="1" w:styleId="393">
    <w:name w:val="3 一级标题"/>
    <w:basedOn w:val="1"/>
    <w:next w:val="1"/>
    <w:link w:val="392"/>
    <w:qFormat/>
    <w:uiPriority w:val="0"/>
    <w:pPr>
      <w:spacing w:line="360" w:lineRule="auto"/>
      <w:ind w:left="100" w:leftChars="100" w:right="100" w:rightChars="100"/>
    </w:pPr>
    <w:rPr>
      <w:rFonts w:ascii="黑体" w:hAnsi="Calibri" w:eastAsia="仿宋_GB2312"/>
      <w:b/>
      <w:kern w:val="0"/>
      <w:sz w:val="36"/>
      <w:szCs w:val="20"/>
    </w:rPr>
  </w:style>
  <w:style w:type="character" w:customStyle="1" w:styleId="394">
    <w:name w:val="正文文本缩进 2 Char1 Char"/>
    <w:semiHidden/>
    <w:qFormat/>
    <w:uiPriority w:val="0"/>
    <w:rPr>
      <w:rFonts w:ascii="宋体" w:hAnsi="宋体" w:eastAsia="宋体" w:cs="宋体"/>
      <w:kern w:val="2"/>
      <w:sz w:val="24"/>
      <w:szCs w:val="24"/>
      <w:lang w:val="en-US" w:eastAsia="zh-CN" w:bidi="ar-SA"/>
    </w:rPr>
  </w:style>
  <w:style w:type="character" w:customStyle="1" w:styleId="395">
    <w:name w:val="正文文本缩进 2 Char"/>
    <w:semiHidden/>
    <w:qFormat/>
    <w:uiPriority w:val="0"/>
    <w:rPr>
      <w:rFonts w:ascii="宋体" w:hAnsi="宋体" w:eastAsia="宋体" w:cs="宋体"/>
      <w:color w:val="000000"/>
      <w:kern w:val="2"/>
      <w:sz w:val="24"/>
      <w:szCs w:val="24"/>
      <w:lang w:val="en-US" w:eastAsia="zh-CN" w:bidi="ar-SA"/>
    </w:rPr>
  </w:style>
  <w:style w:type="character" w:customStyle="1" w:styleId="396">
    <w:name w:val="自动4 Char"/>
    <w:link w:val="397"/>
    <w:semiHidden/>
    <w:qFormat/>
    <w:uiPriority w:val="0"/>
    <w:rPr>
      <w:rFonts w:ascii="宋体" w:hAnsi="宋体"/>
      <w:bCs/>
      <w:color w:val="000000"/>
      <w:sz w:val="24"/>
      <w:szCs w:val="24"/>
    </w:rPr>
  </w:style>
  <w:style w:type="paragraph" w:customStyle="1" w:styleId="397">
    <w:name w:val="自动4"/>
    <w:basedOn w:val="1"/>
    <w:link w:val="396"/>
    <w:semiHidden/>
    <w:qFormat/>
    <w:uiPriority w:val="0"/>
    <w:pPr>
      <w:keepNext/>
      <w:keepLines/>
      <w:spacing w:before="120" w:after="120" w:line="360" w:lineRule="auto"/>
      <w:outlineLvl w:val="3"/>
    </w:pPr>
    <w:rPr>
      <w:rFonts w:ascii="宋体" w:hAnsi="宋体"/>
      <w:bCs/>
      <w:color w:val="000000"/>
      <w:kern w:val="0"/>
      <w:sz w:val="24"/>
    </w:rPr>
  </w:style>
  <w:style w:type="character" w:customStyle="1" w:styleId="398">
    <w:name w:val="样式9 Char"/>
    <w:link w:val="399"/>
    <w:semiHidden/>
    <w:qFormat/>
    <w:uiPriority w:val="0"/>
    <w:rPr>
      <w:sz w:val="24"/>
      <w:szCs w:val="28"/>
    </w:rPr>
  </w:style>
  <w:style w:type="paragraph" w:customStyle="1" w:styleId="399">
    <w:name w:val="样式9"/>
    <w:basedOn w:val="352"/>
    <w:link w:val="398"/>
    <w:semiHidden/>
    <w:qFormat/>
    <w:uiPriority w:val="0"/>
    <w:pPr>
      <w:numPr>
        <w:ilvl w:val="0"/>
        <w:numId w:val="0"/>
      </w:numPr>
      <w:tabs>
        <w:tab w:val="left" w:pos="605"/>
      </w:tabs>
      <w:spacing w:before="120" w:after="120"/>
    </w:pPr>
    <w:rPr>
      <w:kern w:val="0"/>
    </w:rPr>
  </w:style>
  <w:style w:type="character" w:customStyle="1" w:styleId="400">
    <w:name w:val="样式7 Char"/>
    <w:link w:val="401"/>
    <w:semiHidden/>
    <w:qFormat/>
    <w:uiPriority w:val="0"/>
    <w:rPr>
      <w:rFonts w:eastAsia="黑体"/>
      <w:sz w:val="24"/>
      <w:szCs w:val="32"/>
    </w:rPr>
  </w:style>
  <w:style w:type="paragraph" w:customStyle="1" w:styleId="401">
    <w:name w:val="样式7"/>
    <w:basedOn w:val="351"/>
    <w:link w:val="400"/>
    <w:semiHidden/>
    <w:qFormat/>
    <w:uiPriority w:val="0"/>
    <w:pPr>
      <w:numPr>
        <w:ilvl w:val="0"/>
        <w:numId w:val="0"/>
      </w:numPr>
      <w:tabs>
        <w:tab w:val="left" w:pos="605"/>
      </w:tabs>
      <w:spacing w:before="156" w:after="156"/>
    </w:pPr>
  </w:style>
  <w:style w:type="character" w:customStyle="1" w:styleId="402">
    <w:name w:val="上标"/>
    <w:semiHidden/>
    <w:qFormat/>
    <w:uiPriority w:val="0"/>
    <w:rPr>
      <w:rFonts w:ascii="宋体" w:hAnsi="宋体" w:eastAsia="宋体" w:cs="宋体"/>
      <w:spacing w:val="0"/>
      <w:kern w:val="2"/>
      <w:position w:val="7"/>
      <w:sz w:val="21"/>
      <w:szCs w:val="24"/>
      <w:lang w:val="en-US" w:eastAsia="zh-CN" w:bidi="ar-SA"/>
    </w:rPr>
  </w:style>
  <w:style w:type="character" w:customStyle="1" w:styleId="403">
    <w:name w:val="表头样式"/>
    <w:semiHidden/>
    <w:qFormat/>
    <w:uiPriority w:val="0"/>
    <w:rPr>
      <w:rFonts w:ascii="黑体" w:hAnsi="宋体" w:eastAsia="黑体" w:cs="宋体"/>
      <w:b/>
      <w:bCs/>
      <w:kern w:val="2"/>
      <w:sz w:val="24"/>
      <w:szCs w:val="24"/>
      <w:lang w:val="en-US" w:eastAsia="zh-CN" w:bidi="ar-SA"/>
    </w:rPr>
  </w:style>
  <w:style w:type="character" w:customStyle="1" w:styleId="404">
    <w:name w:val="彩云湾表格标题 Char"/>
    <w:link w:val="405"/>
    <w:semiHidden/>
    <w:qFormat/>
    <w:uiPriority w:val="0"/>
    <w:rPr>
      <w:rFonts w:eastAsia="黑体"/>
      <w:sz w:val="24"/>
    </w:rPr>
  </w:style>
  <w:style w:type="paragraph" w:customStyle="1" w:styleId="405">
    <w:name w:val="彩云湾表格标题"/>
    <w:basedOn w:val="1"/>
    <w:link w:val="404"/>
    <w:semiHidden/>
    <w:qFormat/>
    <w:uiPriority w:val="0"/>
    <w:pPr>
      <w:adjustRightInd w:val="0"/>
      <w:snapToGrid w:val="0"/>
      <w:spacing w:line="360" w:lineRule="auto"/>
      <w:jc w:val="left"/>
      <w:textAlignment w:val="baseline"/>
    </w:pPr>
    <w:rPr>
      <w:rFonts w:eastAsia="黑体"/>
      <w:kern w:val="0"/>
      <w:sz w:val="24"/>
      <w:szCs w:val="20"/>
    </w:rPr>
  </w:style>
  <w:style w:type="character" w:customStyle="1" w:styleId="406">
    <w:name w:val="样式44 Char"/>
    <w:basedOn w:val="407"/>
    <w:link w:val="409"/>
    <w:semiHidden/>
    <w:qFormat/>
    <w:uiPriority w:val="0"/>
    <w:rPr>
      <w:color w:val="000000"/>
      <w:sz w:val="24"/>
    </w:rPr>
  </w:style>
  <w:style w:type="character" w:customStyle="1" w:styleId="407">
    <w:name w:val="自动A Char"/>
    <w:link w:val="408"/>
    <w:semiHidden/>
    <w:qFormat/>
    <w:uiPriority w:val="0"/>
    <w:rPr>
      <w:color w:val="000000"/>
      <w:sz w:val="24"/>
    </w:rPr>
  </w:style>
  <w:style w:type="paragraph" w:customStyle="1" w:styleId="408">
    <w:name w:val="自动A"/>
    <w:basedOn w:val="1"/>
    <w:link w:val="407"/>
    <w:semiHidden/>
    <w:qFormat/>
    <w:uiPriority w:val="0"/>
    <w:pPr>
      <w:spacing w:before="120" w:after="120" w:line="360" w:lineRule="auto"/>
      <w:ind w:firstLine="480" w:firstLineChars="200"/>
    </w:pPr>
    <w:rPr>
      <w:color w:val="000000"/>
      <w:kern w:val="0"/>
      <w:sz w:val="24"/>
      <w:szCs w:val="20"/>
    </w:rPr>
  </w:style>
  <w:style w:type="paragraph" w:customStyle="1" w:styleId="409">
    <w:name w:val="样式44"/>
    <w:basedOn w:val="408"/>
    <w:link w:val="406"/>
    <w:semiHidden/>
    <w:qFormat/>
    <w:uiPriority w:val="0"/>
  </w:style>
  <w:style w:type="character" w:customStyle="1" w:styleId="410">
    <w:name w:val="第一条1"/>
    <w:semiHidden/>
    <w:qFormat/>
    <w:uiPriority w:val="0"/>
    <w:rPr>
      <w:rFonts w:hint="eastAsia" w:ascii="黑体" w:hAnsi="宋体" w:eastAsia="黑体" w:cs="宋体"/>
      <w:kern w:val="2"/>
      <w:sz w:val="24"/>
      <w:szCs w:val="24"/>
      <w:lang w:val="en-US" w:eastAsia="zh-CN" w:bidi="ar-SA"/>
    </w:rPr>
  </w:style>
  <w:style w:type="character" w:customStyle="1" w:styleId="411">
    <w:name w:val="样式37 Char"/>
    <w:link w:val="412"/>
    <w:semiHidden/>
    <w:qFormat/>
    <w:uiPriority w:val="0"/>
    <w:rPr>
      <w:rFonts w:ascii="宋体" w:hAnsi="宋体"/>
      <w:color w:val="000000"/>
      <w:sz w:val="24"/>
      <w:szCs w:val="24"/>
    </w:rPr>
  </w:style>
  <w:style w:type="paragraph" w:customStyle="1" w:styleId="412">
    <w:name w:val="样式37"/>
    <w:basedOn w:val="1"/>
    <w:link w:val="411"/>
    <w:semiHidden/>
    <w:qFormat/>
    <w:uiPriority w:val="0"/>
    <w:pPr>
      <w:spacing w:before="120" w:beforeLines="50" w:after="120" w:afterLines="50" w:line="360" w:lineRule="auto"/>
      <w:ind w:firstLine="480" w:firstLineChars="200"/>
      <w:jc w:val="left"/>
    </w:pPr>
    <w:rPr>
      <w:rFonts w:ascii="宋体" w:hAnsi="宋体"/>
      <w:color w:val="000000"/>
      <w:kern w:val="0"/>
      <w:sz w:val="24"/>
    </w:rPr>
  </w:style>
  <w:style w:type="character" w:customStyle="1" w:styleId="413">
    <w:name w:val="表格内文字 Char"/>
    <w:link w:val="414"/>
    <w:semiHidden/>
    <w:qFormat/>
    <w:uiPriority w:val="0"/>
    <w:rPr>
      <w:spacing w:val="10"/>
      <w:sz w:val="24"/>
    </w:rPr>
  </w:style>
  <w:style w:type="paragraph" w:customStyle="1" w:styleId="414">
    <w:name w:val="表格内文字"/>
    <w:basedOn w:val="1"/>
    <w:link w:val="413"/>
    <w:semiHidden/>
    <w:qFormat/>
    <w:uiPriority w:val="0"/>
    <w:pPr>
      <w:spacing w:before="100" w:after="100" w:line="320" w:lineRule="exact"/>
      <w:jc w:val="center"/>
    </w:pPr>
    <w:rPr>
      <w:spacing w:val="10"/>
      <w:kern w:val="0"/>
      <w:sz w:val="24"/>
      <w:szCs w:val="20"/>
    </w:rPr>
  </w:style>
  <w:style w:type="character" w:customStyle="1" w:styleId="415">
    <w:name w:val="123YJ Char Char"/>
    <w:semiHidden/>
    <w:qFormat/>
    <w:uiPriority w:val="0"/>
    <w:rPr>
      <w:rFonts w:ascii="宋体" w:hAnsi="宋体" w:eastAsia="宋体" w:cs="宋体"/>
      <w:kern w:val="2"/>
      <w:sz w:val="18"/>
      <w:szCs w:val="18"/>
      <w:lang w:val="en-US" w:eastAsia="zh-CN" w:bidi="ar-SA"/>
    </w:rPr>
  </w:style>
  <w:style w:type="character" w:customStyle="1" w:styleId="416">
    <w:name w:val="样式18 Char"/>
    <w:link w:val="417"/>
    <w:semiHidden/>
    <w:qFormat/>
    <w:uiPriority w:val="0"/>
    <w:rPr>
      <w:rFonts w:ascii="宋体"/>
      <w:sz w:val="24"/>
      <w:szCs w:val="24"/>
      <w:lang w:val="zh-CN"/>
    </w:rPr>
  </w:style>
  <w:style w:type="paragraph" w:customStyle="1" w:styleId="417">
    <w:name w:val="样式18"/>
    <w:basedOn w:val="1"/>
    <w:link w:val="416"/>
    <w:semiHidden/>
    <w:qFormat/>
    <w:uiPriority w:val="0"/>
    <w:pPr>
      <w:spacing w:line="360" w:lineRule="auto"/>
      <w:ind w:firstLine="480" w:firstLineChars="200"/>
    </w:pPr>
    <w:rPr>
      <w:rFonts w:ascii="宋体"/>
      <w:kern w:val="0"/>
      <w:sz w:val="24"/>
      <w:lang w:val="zh-CN"/>
    </w:rPr>
  </w:style>
  <w:style w:type="character" w:customStyle="1" w:styleId="418">
    <w:name w:val="样式6 Char Char"/>
    <w:semiHidden/>
    <w:qFormat/>
    <w:uiPriority w:val="0"/>
    <w:rPr>
      <w:rFonts w:ascii="黑体" w:hAnsi="黑体" w:eastAsia="黑体" w:cs="宋体"/>
      <w:color w:val="000000"/>
      <w:kern w:val="44"/>
      <w:sz w:val="30"/>
      <w:szCs w:val="44"/>
      <w:lang w:val="en-US" w:eastAsia="zh-CN" w:bidi="ar-SA"/>
    </w:rPr>
  </w:style>
  <w:style w:type="character" w:customStyle="1" w:styleId="419">
    <w:name w:val="duan1"/>
    <w:semiHidden/>
    <w:qFormat/>
    <w:uiPriority w:val="0"/>
    <w:rPr>
      <w:rFonts w:ascii="宋体" w:hAnsi="宋体" w:eastAsia="宋体" w:cs="宋体"/>
      <w:kern w:val="2"/>
      <w:sz w:val="24"/>
      <w:szCs w:val="24"/>
      <w:lang w:val="en-US" w:eastAsia="zh-CN" w:bidi="ar-SA"/>
    </w:rPr>
  </w:style>
  <w:style w:type="character" w:customStyle="1" w:styleId="420">
    <w:name w:val="样式3 Char"/>
    <w:link w:val="421"/>
    <w:semiHidden/>
    <w:qFormat/>
    <w:uiPriority w:val="0"/>
    <w:rPr>
      <w:rFonts w:eastAsia="黑体"/>
      <w:sz w:val="24"/>
      <w:szCs w:val="32"/>
    </w:rPr>
  </w:style>
  <w:style w:type="paragraph" w:customStyle="1" w:styleId="421">
    <w:name w:val="样式3"/>
    <w:basedOn w:val="1"/>
    <w:link w:val="420"/>
    <w:semiHidden/>
    <w:qFormat/>
    <w:uiPriority w:val="0"/>
    <w:pPr>
      <w:keepNext/>
      <w:keepLines/>
      <w:tabs>
        <w:tab w:val="left" w:pos="360"/>
        <w:tab w:val="left" w:pos="540"/>
        <w:tab w:val="left" w:pos="720"/>
        <w:tab w:val="left" w:pos="900"/>
      </w:tabs>
      <w:spacing w:before="156" w:beforeLines="50" w:after="156" w:afterLines="50" w:line="360" w:lineRule="auto"/>
      <w:ind w:left="900"/>
      <w:outlineLvl w:val="2"/>
    </w:pPr>
    <w:rPr>
      <w:rFonts w:eastAsia="黑体"/>
      <w:kern w:val="0"/>
      <w:sz w:val="24"/>
      <w:szCs w:val="32"/>
    </w:rPr>
  </w:style>
  <w:style w:type="character" w:customStyle="1" w:styleId="422">
    <w:name w:val="环评正文格式 Char Char"/>
    <w:link w:val="423"/>
    <w:semiHidden/>
    <w:qFormat/>
    <w:uiPriority w:val="0"/>
    <w:rPr>
      <w:rFonts w:cs="宋体"/>
      <w:sz w:val="24"/>
    </w:rPr>
  </w:style>
  <w:style w:type="paragraph" w:customStyle="1" w:styleId="423">
    <w:name w:val="环评正文格式"/>
    <w:basedOn w:val="1"/>
    <w:link w:val="422"/>
    <w:semiHidden/>
    <w:qFormat/>
    <w:uiPriority w:val="0"/>
    <w:pPr>
      <w:spacing w:line="360" w:lineRule="auto"/>
      <w:ind w:firstLine="200" w:firstLineChars="200"/>
      <w:jc w:val="left"/>
    </w:pPr>
    <w:rPr>
      <w:rFonts w:cs="宋体"/>
      <w:kern w:val="0"/>
      <w:sz w:val="24"/>
      <w:szCs w:val="20"/>
    </w:rPr>
  </w:style>
  <w:style w:type="character" w:customStyle="1" w:styleId="424">
    <w:name w:val="文章正文 Char1"/>
    <w:semiHidden/>
    <w:qFormat/>
    <w:uiPriority w:val="0"/>
    <w:rPr>
      <w:rFonts w:ascii="宋体" w:hAnsi="宋体" w:eastAsia="宋体" w:cs="宋体"/>
      <w:kern w:val="2"/>
      <w:sz w:val="24"/>
      <w:szCs w:val="24"/>
      <w:lang w:val="en-US" w:eastAsia="zh-CN" w:bidi="ar-SA"/>
    </w:rPr>
  </w:style>
  <w:style w:type="character" w:customStyle="1" w:styleId="425">
    <w:name w:val="WENZHANG Char Char"/>
    <w:semiHidden/>
    <w:qFormat/>
    <w:uiPriority w:val="0"/>
    <w:rPr>
      <w:rFonts w:ascii="宋体" w:hAnsi="宋体" w:eastAsia="宋体" w:cs="宋体"/>
      <w:color w:val="000000"/>
      <w:kern w:val="2"/>
      <w:sz w:val="24"/>
      <w:szCs w:val="24"/>
      <w:lang w:val="en-US" w:eastAsia="zh-CN" w:bidi="ar-SA"/>
    </w:rPr>
  </w:style>
  <w:style w:type="character" w:customStyle="1" w:styleId="426">
    <w:name w:val="文章 Char"/>
    <w:link w:val="427"/>
    <w:semiHidden/>
    <w:qFormat/>
    <w:uiPriority w:val="0"/>
    <w:rPr>
      <w:rFonts w:ascii="宋体" w:hAnsi="宋体" w:cs="宋体"/>
      <w:sz w:val="24"/>
      <w:szCs w:val="24"/>
    </w:rPr>
  </w:style>
  <w:style w:type="paragraph" w:customStyle="1" w:styleId="427">
    <w:name w:val="文章"/>
    <w:basedOn w:val="27"/>
    <w:link w:val="426"/>
    <w:semiHidden/>
    <w:qFormat/>
    <w:uiPriority w:val="0"/>
    <w:pPr>
      <w:spacing w:beforeLines="50" w:after="0" w:afterLines="50"/>
      <w:ind w:left="0" w:leftChars="0" w:firstLine="480"/>
    </w:pPr>
    <w:rPr>
      <w:rFonts w:ascii="宋体" w:hAnsi="宋体" w:cs="宋体"/>
      <w:kern w:val="0"/>
    </w:rPr>
  </w:style>
  <w:style w:type="character" w:customStyle="1" w:styleId="428">
    <w:name w:val="样式6 Char"/>
    <w:link w:val="429"/>
    <w:semiHidden/>
    <w:qFormat/>
    <w:uiPriority w:val="0"/>
    <w:rPr>
      <w:rFonts w:ascii="黑体" w:hAnsi="黑体" w:eastAsia="黑体"/>
      <w:color w:val="000000"/>
      <w:kern w:val="44"/>
      <w:sz w:val="30"/>
      <w:szCs w:val="44"/>
    </w:rPr>
  </w:style>
  <w:style w:type="paragraph" w:customStyle="1" w:styleId="429">
    <w:name w:val="样式6"/>
    <w:basedOn w:val="430"/>
    <w:link w:val="428"/>
    <w:semiHidden/>
    <w:qFormat/>
    <w:uiPriority w:val="0"/>
    <w:pPr>
      <w:numPr>
        <w:ilvl w:val="0"/>
        <w:numId w:val="0"/>
      </w:numPr>
      <w:tabs>
        <w:tab w:val="left" w:pos="360"/>
        <w:tab w:val="left" w:pos="1418"/>
      </w:tabs>
      <w:spacing w:before="156" w:beforeLines="50" w:after="156" w:afterLines="50" w:line="360" w:lineRule="auto"/>
      <w:ind w:left="425" w:hanging="425"/>
    </w:pPr>
    <w:rPr>
      <w:color w:val="000000"/>
    </w:rPr>
  </w:style>
  <w:style w:type="paragraph" w:customStyle="1" w:styleId="430">
    <w:name w:val="样式 标题 1 + 黑体 小三 非加粗"/>
    <w:basedOn w:val="3"/>
    <w:semiHidden/>
    <w:qFormat/>
    <w:uiPriority w:val="0"/>
    <w:pPr>
      <w:numPr>
        <w:ilvl w:val="2"/>
        <w:numId w:val="5"/>
      </w:numPr>
      <w:tabs>
        <w:tab w:val="clear" w:pos="0"/>
      </w:tabs>
      <w:spacing w:before="340" w:after="330" w:line="578" w:lineRule="auto"/>
    </w:pPr>
    <w:rPr>
      <w:rFonts w:ascii="黑体" w:hAnsi="黑体" w:eastAsia="黑体"/>
      <w:b w:val="0"/>
      <w:sz w:val="30"/>
      <w:szCs w:val="44"/>
    </w:rPr>
  </w:style>
  <w:style w:type="character" w:customStyle="1" w:styleId="431">
    <w:name w:val="样式1 Char"/>
    <w:qFormat/>
    <w:uiPriority w:val="0"/>
    <w:rPr>
      <w:rFonts w:ascii="黑体" w:eastAsia="黑体"/>
      <w:b/>
      <w:bCs/>
      <w:sz w:val="28"/>
      <w:szCs w:val="21"/>
    </w:rPr>
  </w:style>
  <w:style w:type="character" w:customStyle="1" w:styleId="432">
    <w:name w:val="样式43 Char"/>
    <w:link w:val="433"/>
    <w:semiHidden/>
    <w:qFormat/>
    <w:uiPriority w:val="0"/>
    <w:rPr>
      <w:snapToGrid w:val="0"/>
      <w:color w:val="000000"/>
      <w:sz w:val="24"/>
      <w:szCs w:val="24"/>
      <w:lang w:val="zh-CN"/>
    </w:rPr>
  </w:style>
  <w:style w:type="paragraph" w:customStyle="1" w:styleId="433">
    <w:name w:val="样式43"/>
    <w:basedOn w:val="1"/>
    <w:link w:val="432"/>
    <w:semiHidden/>
    <w:qFormat/>
    <w:uiPriority w:val="0"/>
    <w:pPr>
      <w:tabs>
        <w:tab w:val="left" w:pos="465"/>
      </w:tabs>
      <w:spacing w:line="360" w:lineRule="auto"/>
      <w:ind w:firstLine="480" w:firstLineChars="200"/>
    </w:pPr>
    <w:rPr>
      <w:snapToGrid w:val="0"/>
      <w:color w:val="000000"/>
      <w:kern w:val="0"/>
      <w:sz w:val="24"/>
      <w:lang w:val="zh-CN"/>
    </w:rPr>
  </w:style>
  <w:style w:type="character" w:customStyle="1" w:styleId="434">
    <w:name w:val="样式10 Char"/>
    <w:link w:val="435"/>
    <w:semiHidden/>
    <w:qFormat/>
    <w:uiPriority w:val="0"/>
    <w:rPr>
      <w:rFonts w:eastAsia="黑体"/>
      <w:sz w:val="28"/>
      <w:szCs w:val="28"/>
    </w:rPr>
  </w:style>
  <w:style w:type="paragraph" w:customStyle="1" w:styleId="435">
    <w:name w:val="样式10"/>
    <w:basedOn w:val="1"/>
    <w:link w:val="434"/>
    <w:semiHidden/>
    <w:qFormat/>
    <w:uiPriority w:val="0"/>
    <w:pPr>
      <w:keepNext/>
      <w:keepLines/>
      <w:tabs>
        <w:tab w:val="left" w:pos="0"/>
        <w:tab w:val="left" w:pos="360"/>
      </w:tabs>
      <w:spacing w:before="156" w:beforeLines="50" w:after="156" w:afterLines="50" w:line="360" w:lineRule="auto"/>
      <w:outlineLvl w:val="1"/>
    </w:pPr>
    <w:rPr>
      <w:rFonts w:eastAsia="黑体"/>
      <w:kern w:val="0"/>
      <w:sz w:val="28"/>
      <w:szCs w:val="28"/>
    </w:rPr>
  </w:style>
  <w:style w:type="character" w:customStyle="1" w:styleId="436">
    <w:name w:val="正文 Char"/>
    <w:semiHidden/>
    <w:qFormat/>
    <w:uiPriority w:val="0"/>
    <w:rPr>
      <w:rFonts w:eastAsia="宋体"/>
      <w:kern w:val="2"/>
      <w:sz w:val="24"/>
      <w:lang w:val="en-US" w:eastAsia="zh-CN" w:bidi="ar-SA"/>
    </w:rPr>
  </w:style>
  <w:style w:type="character" w:customStyle="1" w:styleId="437">
    <w:name w:val="s1"/>
    <w:qFormat/>
    <w:uiPriority w:val="0"/>
    <w:rPr>
      <w:sz w:val="18"/>
      <w:szCs w:val="18"/>
    </w:rPr>
  </w:style>
  <w:style w:type="character" w:customStyle="1" w:styleId="438">
    <w:name w:val="样式34 Char Char"/>
    <w:semiHidden/>
    <w:qFormat/>
    <w:uiPriority w:val="0"/>
    <w:rPr>
      <w:rFonts w:ascii="宋体" w:hAnsi="宋体" w:eastAsia="宋体" w:cs="宋体"/>
      <w:bCs/>
      <w:color w:val="000000"/>
      <w:kern w:val="2"/>
      <w:sz w:val="24"/>
      <w:szCs w:val="24"/>
      <w:lang w:val="en-US" w:eastAsia="zh-CN" w:bidi="ar-SA"/>
    </w:rPr>
  </w:style>
  <w:style w:type="character" w:customStyle="1" w:styleId="439">
    <w:name w:val="表标题样式 Char1"/>
    <w:semiHidden/>
    <w:qFormat/>
    <w:uiPriority w:val="0"/>
    <w:rPr>
      <w:rFonts w:ascii="宋体" w:hAnsi="宋体" w:eastAsia="黑体" w:cs="宋体"/>
      <w:b/>
      <w:bCs/>
      <w:kern w:val="2"/>
      <w:sz w:val="28"/>
      <w:szCs w:val="28"/>
      <w:lang w:val="en-US" w:eastAsia="zh-CN" w:bidi="ar-SA"/>
    </w:rPr>
  </w:style>
  <w:style w:type="character" w:customStyle="1" w:styleId="440">
    <w:name w:val="麦志勤正文 Char Char Char"/>
    <w:link w:val="441"/>
    <w:semiHidden/>
    <w:qFormat/>
    <w:uiPriority w:val="0"/>
    <w:rPr>
      <w:rFonts w:ascii="宋体" w:hAnsi="宋体"/>
      <w:sz w:val="24"/>
    </w:rPr>
  </w:style>
  <w:style w:type="paragraph" w:customStyle="1" w:styleId="441">
    <w:name w:val="麦志勤正文 Char Char"/>
    <w:basedOn w:val="1"/>
    <w:link w:val="440"/>
    <w:semiHidden/>
    <w:qFormat/>
    <w:uiPriority w:val="0"/>
    <w:pPr>
      <w:adjustRightInd w:val="0"/>
      <w:snapToGrid w:val="0"/>
      <w:spacing w:beforeLines="20" w:line="300" w:lineRule="auto"/>
      <w:ind w:firstLine="200" w:firstLineChars="200"/>
    </w:pPr>
    <w:rPr>
      <w:rFonts w:ascii="宋体" w:hAnsi="宋体"/>
      <w:kern w:val="0"/>
      <w:sz w:val="24"/>
      <w:szCs w:val="20"/>
    </w:rPr>
  </w:style>
  <w:style w:type="character" w:customStyle="1" w:styleId="442">
    <w:name w:val="样式34 Char"/>
    <w:link w:val="443"/>
    <w:semiHidden/>
    <w:qFormat/>
    <w:uiPriority w:val="0"/>
    <w:rPr>
      <w:rFonts w:ascii="宋体" w:hAnsi="宋体"/>
      <w:bCs/>
      <w:color w:val="000000"/>
      <w:sz w:val="24"/>
      <w:szCs w:val="24"/>
    </w:rPr>
  </w:style>
  <w:style w:type="paragraph" w:customStyle="1" w:styleId="443">
    <w:name w:val="样式34"/>
    <w:basedOn w:val="444"/>
    <w:link w:val="442"/>
    <w:semiHidden/>
    <w:qFormat/>
    <w:uiPriority w:val="0"/>
    <w:pPr>
      <w:tabs>
        <w:tab w:val="left" w:pos="864"/>
      </w:tabs>
      <w:spacing w:before="0" w:beforeLines="0" w:after="0" w:afterLines="0"/>
    </w:pPr>
    <w:rPr>
      <w:rFonts w:cs="Times New Roman"/>
    </w:rPr>
  </w:style>
  <w:style w:type="paragraph" w:customStyle="1" w:styleId="444">
    <w:name w:val="样式19"/>
    <w:basedOn w:val="445"/>
    <w:semiHidden/>
    <w:qFormat/>
    <w:uiPriority w:val="0"/>
    <w:pPr>
      <w:keepNext/>
      <w:keepLines/>
      <w:tabs>
        <w:tab w:val="left" w:pos="864"/>
      </w:tabs>
      <w:spacing w:before="156" w:beforeLines="50" w:after="156" w:afterLines="50"/>
      <w:ind w:left="864" w:hanging="864" w:firstLineChars="0"/>
      <w:outlineLvl w:val="3"/>
    </w:pPr>
    <w:rPr>
      <w:rFonts w:hAnsi="宋体"/>
      <w:bCs/>
      <w:color w:val="000000"/>
      <w:kern w:val="0"/>
    </w:rPr>
  </w:style>
  <w:style w:type="paragraph" w:customStyle="1" w:styleId="445">
    <w:name w:val="样式15"/>
    <w:basedOn w:val="446"/>
    <w:link w:val="502"/>
    <w:semiHidden/>
    <w:qFormat/>
    <w:uiPriority w:val="0"/>
    <w:pPr>
      <w:ind w:firstLine="600" w:firstLineChars="250"/>
    </w:pPr>
  </w:style>
  <w:style w:type="paragraph" w:customStyle="1" w:styleId="446">
    <w:name w:val="样式5"/>
    <w:basedOn w:val="1"/>
    <w:link w:val="455"/>
    <w:semiHidden/>
    <w:qFormat/>
    <w:uiPriority w:val="0"/>
    <w:pPr>
      <w:spacing w:line="360" w:lineRule="auto"/>
      <w:ind w:firstLine="480" w:firstLineChars="200"/>
    </w:pPr>
    <w:rPr>
      <w:rFonts w:ascii="宋体" w:hAnsiTheme="minorHAnsi" w:cstheme="minorBidi"/>
      <w:sz w:val="24"/>
    </w:rPr>
  </w:style>
  <w:style w:type="character" w:customStyle="1" w:styleId="447">
    <w:name w:val="ZW Char Char"/>
    <w:link w:val="448"/>
    <w:qFormat/>
    <w:uiPriority w:val="0"/>
    <w:rPr>
      <w:sz w:val="24"/>
      <w:szCs w:val="24"/>
    </w:rPr>
  </w:style>
  <w:style w:type="paragraph" w:customStyle="1" w:styleId="448">
    <w:name w:val="ZW"/>
    <w:basedOn w:val="1"/>
    <w:link w:val="447"/>
    <w:qFormat/>
    <w:uiPriority w:val="0"/>
    <w:pPr>
      <w:adjustRightInd w:val="0"/>
      <w:spacing w:before="156" w:beforeLines="50" w:line="360" w:lineRule="auto"/>
      <w:ind w:firstLine="480" w:firstLineChars="200"/>
    </w:pPr>
    <w:rPr>
      <w:kern w:val="0"/>
      <w:sz w:val="24"/>
    </w:rPr>
  </w:style>
  <w:style w:type="character" w:customStyle="1" w:styleId="449">
    <w:name w:val="样式4 Char"/>
    <w:link w:val="450"/>
    <w:semiHidden/>
    <w:qFormat/>
    <w:uiPriority w:val="0"/>
    <w:rPr>
      <w:sz w:val="24"/>
      <w:szCs w:val="24"/>
    </w:rPr>
  </w:style>
  <w:style w:type="paragraph" w:customStyle="1" w:styleId="450">
    <w:name w:val="样式4"/>
    <w:basedOn w:val="1"/>
    <w:link w:val="449"/>
    <w:semiHidden/>
    <w:qFormat/>
    <w:uiPriority w:val="0"/>
    <w:pPr>
      <w:spacing w:line="360" w:lineRule="auto"/>
      <w:ind w:firstLine="480" w:firstLineChars="200"/>
    </w:pPr>
    <w:rPr>
      <w:kern w:val="0"/>
      <w:sz w:val="24"/>
    </w:rPr>
  </w:style>
  <w:style w:type="character" w:customStyle="1" w:styleId="451">
    <w:name w:val="样式 自动A + Char"/>
    <w:link w:val="452"/>
    <w:semiHidden/>
    <w:qFormat/>
    <w:uiPriority w:val="0"/>
    <w:rPr>
      <w:color w:val="000000"/>
      <w:sz w:val="24"/>
    </w:rPr>
  </w:style>
  <w:style w:type="paragraph" w:customStyle="1" w:styleId="452">
    <w:name w:val="样式 自动A +"/>
    <w:basedOn w:val="408"/>
    <w:link w:val="451"/>
    <w:semiHidden/>
    <w:qFormat/>
    <w:uiPriority w:val="0"/>
    <w:pPr>
      <w:spacing w:beforeLines="50" w:afterLines="50"/>
    </w:pPr>
  </w:style>
  <w:style w:type="character" w:customStyle="1" w:styleId="453">
    <w:name w:val="报告 Char"/>
    <w:link w:val="454"/>
    <w:semiHidden/>
    <w:qFormat/>
    <w:uiPriority w:val="0"/>
    <w:rPr>
      <w:sz w:val="24"/>
    </w:rPr>
  </w:style>
  <w:style w:type="paragraph" w:customStyle="1" w:styleId="454">
    <w:name w:val="报告"/>
    <w:basedOn w:val="1"/>
    <w:link w:val="453"/>
    <w:semiHidden/>
    <w:qFormat/>
    <w:uiPriority w:val="0"/>
    <w:pPr>
      <w:overflowPunct w:val="0"/>
      <w:autoSpaceDE w:val="0"/>
      <w:autoSpaceDN w:val="0"/>
      <w:adjustRightInd w:val="0"/>
      <w:snapToGrid w:val="0"/>
      <w:spacing w:before="93" w:after="93" w:line="400" w:lineRule="atLeast"/>
      <w:ind w:left="-25" w:leftChars="-12" w:firstLine="480" w:firstLineChars="200"/>
    </w:pPr>
    <w:rPr>
      <w:kern w:val="0"/>
      <w:sz w:val="24"/>
      <w:szCs w:val="20"/>
    </w:rPr>
  </w:style>
  <w:style w:type="character" w:customStyle="1" w:styleId="455">
    <w:name w:val="样式5 Char"/>
    <w:link w:val="446"/>
    <w:semiHidden/>
    <w:qFormat/>
    <w:uiPriority w:val="0"/>
    <w:rPr>
      <w:rFonts w:ascii="宋体" w:hAnsiTheme="minorHAnsi" w:cstheme="minorBidi"/>
      <w:kern w:val="2"/>
      <w:sz w:val="24"/>
      <w:szCs w:val="24"/>
    </w:rPr>
  </w:style>
  <w:style w:type="character" w:customStyle="1" w:styleId="456">
    <w:name w:val="！正文 Char Char"/>
    <w:semiHidden/>
    <w:qFormat/>
    <w:uiPriority w:val="0"/>
    <w:rPr>
      <w:rFonts w:ascii="宋体" w:hAnsi="宋体" w:eastAsia="宋体" w:cs="宋体"/>
      <w:kern w:val="2"/>
      <w:sz w:val="24"/>
      <w:szCs w:val="24"/>
      <w:lang w:val="en-US" w:eastAsia="zh-CN" w:bidi="ar-SA"/>
    </w:rPr>
  </w:style>
  <w:style w:type="character" w:customStyle="1" w:styleId="457">
    <w:name w:val="正文文本 Char"/>
    <w:qFormat/>
    <w:uiPriority w:val="99"/>
    <w:rPr>
      <w:rFonts w:eastAsia="宋体"/>
      <w:kern w:val="2"/>
      <w:sz w:val="21"/>
      <w:szCs w:val="24"/>
      <w:lang w:val="en-US" w:eastAsia="zh-CN" w:bidi="ar-SA"/>
    </w:rPr>
  </w:style>
  <w:style w:type="character" w:customStyle="1" w:styleId="458">
    <w:name w:val="插图名称 Char"/>
    <w:link w:val="459"/>
    <w:semiHidden/>
    <w:qFormat/>
    <w:uiPriority w:val="0"/>
    <w:rPr>
      <w:rFonts w:ascii="Arial" w:hAnsi="Arial" w:cs="宋体"/>
      <w:b/>
      <w:bCs/>
      <w:sz w:val="24"/>
    </w:rPr>
  </w:style>
  <w:style w:type="paragraph" w:customStyle="1" w:styleId="459">
    <w:name w:val="插图名称"/>
    <w:basedOn w:val="1"/>
    <w:link w:val="458"/>
    <w:semiHidden/>
    <w:qFormat/>
    <w:uiPriority w:val="0"/>
    <w:pPr>
      <w:spacing w:afterLines="40" w:line="400" w:lineRule="atLeast"/>
      <w:jc w:val="center"/>
    </w:pPr>
    <w:rPr>
      <w:rFonts w:ascii="Arial" w:hAnsi="Arial" w:cs="宋体"/>
      <w:b/>
      <w:bCs/>
      <w:kern w:val="0"/>
      <w:sz w:val="24"/>
      <w:szCs w:val="20"/>
    </w:rPr>
  </w:style>
  <w:style w:type="character" w:customStyle="1" w:styleId="460">
    <w:name w:val="样式 自动A +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461">
    <w:name w:val="样式13 Char"/>
    <w:link w:val="351"/>
    <w:qFormat/>
    <w:uiPriority w:val="0"/>
    <w:rPr>
      <w:rFonts w:eastAsia="黑体"/>
      <w:sz w:val="24"/>
      <w:szCs w:val="32"/>
    </w:rPr>
  </w:style>
  <w:style w:type="character" w:customStyle="1" w:styleId="462">
    <w:name w:val="自动表头 Char"/>
    <w:link w:val="463"/>
    <w:semiHidden/>
    <w:qFormat/>
    <w:uiPriority w:val="0"/>
    <w:rPr>
      <w:rFonts w:ascii="黑体"/>
      <w:szCs w:val="21"/>
    </w:rPr>
  </w:style>
  <w:style w:type="paragraph" w:customStyle="1" w:styleId="463">
    <w:name w:val="自动表头"/>
    <w:basedOn w:val="129"/>
    <w:link w:val="462"/>
    <w:semiHidden/>
    <w:qFormat/>
    <w:uiPriority w:val="0"/>
    <w:pPr>
      <w:autoSpaceDE w:val="0"/>
      <w:autoSpaceDN w:val="0"/>
      <w:spacing w:before="120" w:beforeLines="50" w:after="120" w:afterLines="50"/>
      <w:ind w:firstLine="422" w:firstLineChars="200"/>
      <w:textAlignment w:val="auto"/>
    </w:pPr>
    <w:rPr>
      <w:rFonts w:ascii="黑体"/>
      <w:snapToGrid/>
      <w:kern w:val="0"/>
      <w:sz w:val="20"/>
      <w:szCs w:val="21"/>
    </w:rPr>
  </w:style>
  <w:style w:type="character" w:customStyle="1" w:styleId="464">
    <w:name w:val="我的标题2 Char"/>
    <w:link w:val="465"/>
    <w:semiHidden/>
    <w:qFormat/>
    <w:uiPriority w:val="0"/>
    <w:rPr>
      <w:rFonts w:ascii="黑体" w:eastAsia="黑体"/>
      <w:sz w:val="28"/>
      <w:szCs w:val="24"/>
    </w:rPr>
  </w:style>
  <w:style w:type="paragraph" w:customStyle="1" w:styleId="465">
    <w:name w:val="我的标题2"/>
    <w:basedOn w:val="1"/>
    <w:link w:val="464"/>
    <w:semiHidden/>
    <w:qFormat/>
    <w:uiPriority w:val="0"/>
    <w:pPr>
      <w:spacing w:beforeLines="50" w:afterLines="50" w:line="360" w:lineRule="auto"/>
      <w:outlineLvl w:val="1"/>
    </w:pPr>
    <w:rPr>
      <w:rFonts w:ascii="黑体" w:eastAsia="黑体"/>
      <w:kern w:val="0"/>
      <w:sz w:val="28"/>
    </w:rPr>
  </w:style>
  <w:style w:type="character" w:customStyle="1" w:styleId="466">
    <w:name w:val="正文文字 Char"/>
    <w:link w:val="467"/>
    <w:semiHidden/>
    <w:qFormat/>
    <w:uiPriority w:val="0"/>
    <w:rPr>
      <w:rFonts w:ascii="宋体" w:hAnsi="宋体" w:cs="Courier New"/>
      <w:sz w:val="24"/>
      <w:szCs w:val="24"/>
    </w:rPr>
  </w:style>
  <w:style w:type="paragraph" w:customStyle="1" w:styleId="467">
    <w:name w:val="正文文字"/>
    <w:basedOn w:val="1"/>
    <w:link w:val="466"/>
    <w:semiHidden/>
    <w:qFormat/>
    <w:uiPriority w:val="0"/>
    <w:pPr>
      <w:spacing w:line="480" w:lineRule="exact"/>
      <w:ind w:firstLine="480" w:firstLineChars="200"/>
    </w:pPr>
    <w:rPr>
      <w:rFonts w:ascii="宋体" w:hAnsi="宋体" w:cs="Courier New"/>
      <w:kern w:val="0"/>
      <w:sz w:val="24"/>
    </w:rPr>
  </w:style>
  <w:style w:type="character" w:customStyle="1" w:styleId="468">
    <w:name w:val="样式24 Char"/>
    <w:link w:val="469"/>
    <w:semiHidden/>
    <w:qFormat/>
    <w:uiPriority w:val="0"/>
    <w:rPr>
      <w:rFonts w:ascii="宋体" w:hAnsi="宋体"/>
      <w:bCs/>
      <w:color w:val="000000"/>
      <w:sz w:val="24"/>
      <w:szCs w:val="24"/>
    </w:rPr>
  </w:style>
  <w:style w:type="paragraph" w:customStyle="1" w:styleId="469">
    <w:name w:val="样式24"/>
    <w:basedOn w:val="444"/>
    <w:link w:val="468"/>
    <w:semiHidden/>
    <w:qFormat/>
    <w:uiPriority w:val="0"/>
    <w:pPr>
      <w:spacing w:before="120" w:after="120"/>
    </w:pPr>
    <w:rPr>
      <w:rFonts w:cs="Times New Roman"/>
    </w:rPr>
  </w:style>
  <w:style w:type="character" w:customStyle="1" w:styleId="470">
    <w:name w:val="自动2 Char"/>
    <w:link w:val="471"/>
    <w:semiHidden/>
    <w:qFormat/>
    <w:uiPriority w:val="0"/>
    <w:rPr>
      <w:rFonts w:ascii="黑体" w:hAnsi="Arial" w:eastAsia="黑体"/>
      <w:b/>
      <w:bCs/>
      <w:color w:val="000000"/>
      <w:sz w:val="28"/>
      <w:szCs w:val="28"/>
    </w:rPr>
  </w:style>
  <w:style w:type="paragraph" w:customStyle="1" w:styleId="471">
    <w:name w:val="自动2"/>
    <w:basedOn w:val="1"/>
    <w:link w:val="470"/>
    <w:semiHidden/>
    <w:qFormat/>
    <w:uiPriority w:val="0"/>
    <w:pPr>
      <w:keepNext/>
      <w:keepLines/>
      <w:tabs>
        <w:tab w:val="left" w:pos="360"/>
      </w:tabs>
      <w:spacing w:before="50" w:after="50" w:line="360" w:lineRule="auto"/>
      <w:outlineLvl w:val="1"/>
    </w:pPr>
    <w:rPr>
      <w:rFonts w:ascii="黑体" w:hAnsi="Arial" w:eastAsia="黑体"/>
      <w:b/>
      <w:bCs/>
      <w:color w:val="000000"/>
      <w:kern w:val="0"/>
      <w:sz w:val="28"/>
      <w:szCs w:val="28"/>
    </w:rPr>
  </w:style>
  <w:style w:type="character" w:customStyle="1" w:styleId="472">
    <w:name w:val="WENZHANG Char"/>
    <w:link w:val="473"/>
    <w:semiHidden/>
    <w:qFormat/>
    <w:uiPriority w:val="0"/>
    <w:rPr>
      <w:color w:val="000000"/>
      <w:sz w:val="24"/>
      <w:szCs w:val="24"/>
    </w:rPr>
  </w:style>
  <w:style w:type="paragraph" w:customStyle="1" w:styleId="473">
    <w:name w:val="WENZHANG"/>
    <w:basedOn w:val="1"/>
    <w:link w:val="472"/>
    <w:semiHidden/>
    <w:qFormat/>
    <w:uiPriority w:val="0"/>
    <w:pPr>
      <w:spacing w:before="50" w:beforeLines="50" w:after="50" w:afterLines="50" w:line="360" w:lineRule="auto"/>
      <w:ind w:firstLine="200" w:firstLineChars="200"/>
    </w:pPr>
    <w:rPr>
      <w:color w:val="000000"/>
      <w:kern w:val="0"/>
      <w:sz w:val="24"/>
    </w:rPr>
  </w:style>
  <w:style w:type="character" w:customStyle="1" w:styleId="474">
    <w:name w:val="表格标题新 Char"/>
    <w:link w:val="475"/>
    <w:semiHidden/>
    <w:qFormat/>
    <w:uiPriority w:val="0"/>
    <w:rPr>
      <w:rFonts w:ascii="仿宋_GB2312" w:eastAsia="仿宋_GB2312"/>
      <w:b/>
      <w:snapToGrid w:val="0"/>
      <w:spacing w:val="10"/>
      <w:sz w:val="24"/>
      <w:szCs w:val="24"/>
    </w:rPr>
  </w:style>
  <w:style w:type="paragraph" w:customStyle="1" w:styleId="475">
    <w:name w:val="表格标题新"/>
    <w:basedOn w:val="414"/>
    <w:link w:val="474"/>
    <w:semiHidden/>
    <w:qFormat/>
    <w:uiPriority w:val="0"/>
    <w:pPr>
      <w:tabs>
        <w:tab w:val="left" w:pos="0"/>
      </w:tabs>
      <w:adjustRightInd w:val="0"/>
      <w:snapToGrid w:val="0"/>
      <w:spacing w:before="0" w:after="0" w:line="240" w:lineRule="auto"/>
    </w:pPr>
    <w:rPr>
      <w:rFonts w:ascii="仿宋_GB2312" w:eastAsia="仿宋_GB2312"/>
      <w:b/>
      <w:snapToGrid w:val="0"/>
      <w:szCs w:val="24"/>
    </w:rPr>
  </w:style>
  <w:style w:type="character" w:customStyle="1" w:styleId="476">
    <w:name w:val="4 二级标题 Char"/>
    <w:link w:val="477"/>
    <w:semiHidden/>
    <w:qFormat/>
    <w:uiPriority w:val="0"/>
    <w:rPr>
      <w:rFonts w:ascii="Calibri" w:hAnsi="Calibri" w:eastAsia="仿宋_GB2312"/>
      <w:b/>
      <w:sz w:val="28"/>
    </w:rPr>
  </w:style>
  <w:style w:type="paragraph" w:customStyle="1" w:styleId="477">
    <w:name w:val="4 二级标题"/>
    <w:basedOn w:val="1"/>
    <w:next w:val="1"/>
    <w:link w:val="476"/>
    <w:semiHidden/>
    <w:qFormat/>
    <w:uiPriority w:val="0"/>
    <w:pPr>
      <w:spacing w:line="360" w:lineRule="auto"/>
    </w:pPr>
    <w:rPr>
      <w:rFonts w:ascii="Calibri" w:hAnsi="Calibri" w:eastAsia="仿宋_GB2312"/>
      <w:b/>
      <w:kern w:val="0"/>
      <w:sz w:val="28"/>
      <w:szCs w:val="20"/>
    </w:rPr>
  </w:style>
  <w:style w:type="character" w:customStyle="1" w:styleId="478">
    <w:name w:val="表标题  Char"/>
    <w:semiHidden/>
    <w:qFormat/>
    <w:uiPriority w:val="0"/>
    <w:rPr>
      <w:rFonts w:eastAsia="宋体"/>
      <w:b/>
      <w:spacing w:val="10"/>
      <w:sz w:val="24"/>
    </w:rPr>
  </w:style>
  <w:style w:type="character" w:customStyle="1" w:styleId="479">
    <w:name w:val="表格内容 Char Char Char Char"/>
    <w:semiHidden/>
    <w:qFormat/>
    <w:uiPriority w:val="0"/>
    <w:rPr>
      <w:rFonts w:ascii="宋体" w:hAnsi="宋体" w:eastAsia="宋体" w:cs="宋体"/>
      <w:color w:val="000000"/>
      <w:kern w:val="2"/>
      <w:sz w:val="21"/>
      <w:szCs w:val="16"/>
      <w:lang w:val="en-US" w:eastAsia="zh-CN" w:bidi="ar-SA"/>
    </w:rPr>
  </w:style>
  <w:style w:type="character" w:customStyle="1" w:styleId="480">
    <w:name w:val="标题42 Char"/>
    <w:basedOn w:val="396"/>
    <w:link w:val="481"/>
    <w:semiHidden/>
    <w:qFormat/>
    <w:uiPriority w:val="0"/>
    <w:rPr>
      <w:rFonts w:ascii="宋体" w:hAnsi="宋体"/>
      <w:color w:val="000000"/>
      <w:sz w:val="24"/>
      <w:szCs w:val="24"/>
    </w:rPr>
  </w:style>
  <w:style w:type="paragraph" w:customStyle="1" w:styleId="481">
    <w:name w:val="标题42"/>
    <w:basedOn w:val="397"/>
    <w:link w:val="480"/>
    <w:semiHidden/>
    <w:qFormat/>
    <w:uiPriority w:val="0"/>
    <w:pPr>
      <w:tabs>
        <w:tab w:val="left" w:pos="864"/>
      </w:tabs>
      <w:spacing w:before="156" w:beforeLines="50" w:after="156" w:afterLines="50"/>
      <w:ind w:left="864" w:hanging="864"/>
    </w:pPr>
  </w:style>
  <w:style w:type="character" w:customStyle="1" w:styleId="482">
    <w:name w:val="word21"/>
    <w:semiHidden/>
    <w:qFormat/>
    <w:uiPriority w:val="0"/>
    <w:rPr>
      <w:rFonts w:ascii="宋体" w:hAnsi="宋体" w:eastAsia="宋体" w:cs="宋体"/>
      <w:color w:val="000000"/>
      <w:kern w:val="2"/>
      <w:sz w:val="18"/>
      <w:szCs w:val="18"/>
      <w:u w:val="none"/>
      <w:lang w:val="en-US" w:eastAsia="zh-CN" w:bidi="ar-SA"/>
    </w:rPr>
  </w:style>
  <w:style w:type="character" w:customStyle="1" w:styleId="483">
    <w:name w:val="content1"/>
    <w:semiHidden/>
    <w:qFormat/>
    <w:uiPriority w:val="0"/>
    <w:rPr>
      <w:rFonts w:ascii="宋体" w:hAnsi="宋体" w:eastAsia="宋体" w:cs="宋体"/>
      <w:color w:val="000000"/>
      <w:kern w:val="2"/>
      <w:sz w:val="21"/>
      <w:szCs w:val="21"/>
      <w:u w:val="none"/>
      <w:lang w:val="en-US" w:eastAsia="zh-CN" w:bidi="ar-SA"/>
    </w:rPr>
  </w:style>
  <w:style w:type="character" w:customStyle="1" w:styleId="484">
    <w:name w:val="样式 自定表头 + Arial Char"/>
    <w:link w:val="485"/>
    <w:semiHidden/>
    <w:qFormat/>
    <w:uiPriority w:val="0"/>
    <w:rPr>
      <w:rFonts w:ascii="Arial" w:hAnsi="Arial"/>
      <w:b/>
      <w:bCs/>
      <w:sz w:val="24"/>
    </w:rPr>
  </w:style>
  <w:style w:type="paragraph" w:customStyle="1" w:styleId="485">
    <w:name w:val="样式 自定表头 + Arial"/>
    <w:basedOn w:val="320"/>
    <w:link w:val="484"/>
    <w:semiHidden/>
    <w:qFormat/>
    <w:uiPriority w:val="0"/>
    <w:pPr>
      <w:numPr>
        <w:ilvl w:val="4"/>
        <w:numId w:val="2"/>
      </w:numPr>
      <w:ind w:left="284"/>
    </w:pPr>
    <w:rPr>
      <w:bCs/>
      <w:kern w:val="0"/>
    </w:rPr>
  </w:style>
  <w:style w:type="character" w:customStyle="1" w:styleId="486">
    <w:name w:val="报告表格 Char"/>
    <w:link w:val="487"/>
    <w:semiHidden/>
    <w:qFormat/>
    <w:uiPriority w:val="0"/>
    <w:rPr>
      <w:rFonts w:ascii="Arial" w:hAnsi="Arial" w:cs="Arial"/>
      <w:color w:val="000080"/>
      <w:szCs w:val="21"/>
    </w:rPr>
  </w:style>
  <w:style w:type="paragraph" w:customStyle="1" w:styleId="487">
    <w:name w:val="报告表格"/>
    <w:basedOn w:val="19"/>
    <w:link w:val="486"/>
    <w:semiHidden/>
    <w:qFormat/>
    <w:uiPriority w:val="0"/>
    <w:pPr>
      <w:ind w:firstLine="0" w:firstLineChars="0"/>
      <w:jc w:val="center"/>
    </w:pPr>
    <w:rPr>
      <w:rFonts w:ascii="Arial" w:hAnsi="Arial" w:cs="Arial"/>
      <w:color w:val="000080"/>
      <w:kern w:val="0"/>
      <w:sz w:val="20"/>
      <w:szCs w:val="21"/>
    </w:rPr>
  </w:style>
  <w:style w:type="character" w:customStyle="1" w:styleId="488">
    <w:name w:val="自定标题3 Char"/>
    <w:link w:val="489"/>
    <w:qFormat/>
    <w:uiPriority w:val="0"/>
    <w:rPr>
      <w:b/>
      <w:snapToGrid w:val="0"/>
      <w:sz w:val="24"/>
    </w:rPr>
  </w:style>
  <w:style w:type="paragraph" w:customStyle="1" w:styleId="489">
    <w:name w:val="自定标题3"/>
    <w:basedOn w:val="5"/>
    <w:next w:val="314"/>
    <w:link w:val="488"/>
    <w:qFormat/>
    <w:uiPriority w:val="0"/>
    <w:pPr>
      <w:keepNext w:val="0"/>
      <w:keepLines w:val="0"/>
      <w:numPr>
        <w:numId w:val="2"/>
      </w:numPr>
      <w:tabs>
        <w:tab w:val="left" w:pos="8221"/>
        <w:tab w:val="clear" w:pos="0"/>
      </w:tabs>
      <w:snapToGrid w:val="0"/>
      <w:spacing w:before="120" w:beforeLines="50"/>
      <w:ind w:firstLineChars="0"/>
    </w:pPr>
    <w:rPr>
      <w:bCs w:val="0"/>
      <w:snapToGrid w:val="0"/>
      <w:kern w:val="0"/>
      <w:sz w:val="24"/>
      <w:szCs w:val="20"/>
    </w:rPr>
  </w:style>
  <w:style w:type="character" w:customStyle="1" w:styleId="490">
    <w:name w:val="我的表格 Char"/>
    <w:link w:val="491"/>
    <w:semiHidden/>
    <w:qFormat/>
    <w:uiPriority w:val="0"/>
  </w:style>
  <w:style w:type="paragraph" w:customStyle="1" w:styleId="491">
    <w:name w:val="我的表格"/>
    <w:basedOn w:val="1"/>
    <w:link w:val="490"/>
    <w:semiHidden/>
    <w:qFormat/>
    <w:uiPriority w:val="0"/>
    <w:pPr>
      <w:adjustRightInd w:val="0"/>
      <w:snapToGrid w:val="0"/>
      <w:spacing w:line="360" w:lineRule="auto"/>
      <w:jc w:val="center"/>
    </w:pPr>
    <w:rPr>
      <w:kern w:val="0"/>
      <w:sz w:val="20"/>
      <w:szCs w:val="20"/>
    </w:rPr>
  </w:style>
  <w:style w:type="character" w:customStyle="1" w:styleId="492">
    <w:name w:val="样式11 Char"/>
    <w:link w:val="493"/>
    <w:semiHidden/>
    <w:qFormat/>
    <w:uiPriority w:val="0"/>
    <w:rPr>
      <w:rFonts w:ascii="黑体" w:hAnsi="黑体"/>
      <w:color w:val="000000"/>
      <w:sz w:val="24"/>
      <w:szCs w:val="28"/>
    </w:rPr>
  </w:style>
  <w:style w:type="paragraph" w:customStyle="1" w:styleId="493">
    <w:name w:val="样式11"/>
    <w:basedOn w:val="450"/>
    <w:link w:val="492"/>
    <w:semiHidden/>
    <w:qFormat/>
    <w:uiPriority w:val="0"/>
    <w:pPr>
      <w:keepNext/>
      <w:keepLines/>
      <w:tabs>
        <w:tab w:val="left" w:pos="0"/>
        <w:tab w:val="left" w:pos="720"/>
      </w:tabs>
      <w:spacing w:before="156" w:beforeLines="50" w:after="156" w:afterLines="50"/>
      <w:ind w:firstLine="0" w:firstLineChars="0"/>
      <w:outlineLvl w:val="3"/>
    </w:pPr>
    <w:rPr>
      <w:rFonts w:ascii="黑体" w:hAnsi="黑体"/>
      <w:color w:val="000000"/>
      <w:szCs w:val="28"/>
    </w:rPr>
  </w:style>
  <w:style w:type="character" w:customStyle="1" w:styleId="494">
    <w:name w:val="正文体 Char"/>
    <w:link w:val="495"/>
    <w:semiHidden/>
    <w:qFormat/>
    <w:uiPriority w:val="0"/>
    <w:rPr>
      <w:rFonts w:cs="宋体"/>
      <w:sz w:val="24"/>
    </w:rPr>
  </w:style>
  <w:style w:type="paragraph" w:customStyle="1" w:styleId="495">
    <w:name w:val="正文体"/>
    <w:basedOn w:val="1"/>
    <w:link w:val="494"/>
    <w:semiHidden/>
    <w:qFormat/>
    <w:uiPriority w:val="0"/>
    <w:pPr>
      <w:spacing w:line="360" w:lineRule="auto"/>
      <w:ind w:firstLine="480" w:firstLineChars="200"/>
    </w:pPr>
    <w:rPr>
      <w:rFonts w:cs="宋体"/>
      <w:kern w:val="0"/>
      <w:sz w:val="24"/>
      <w:szCs w:val="20"/>
    </w:rPr>
  </w:style>
  <w:style w:type="character" w:customStyle="1" w:styleId="496">
    <w:name w:val="style12"/>
    <w:semiHidden/>
    <w:qFormat/>
    <w:uiPriority w:val="0"/>
    <w:rPr>
      <w:rFonts w:hint="default" w:ascii="Arial" w:hAnsi="Arial" w:eastAsia="宋体" w:cs="Arial"/>
      <w:b/>
      <w:bCs/>
      <w:color w:val="FFFF00"/>
      <w:kern w:val="2"/>
      <w:sz w:val="36"/>
      <w:szCs w:val="36"/>
      <w:lang w:val="en-US" w:eastAsia="zh-CN" w:bidi="ar-SA"/>
    </w:rPr>
  </w:style>
  <w:style w:type="character" w:customStyle="1" w:styleId="497">
    <w:name w:val="news21"/>
    <w:semiHidden/>
    <w:qFormat/>
    <w:uiPriority w:val="0"/>
    <w:rPr>
      <w:rFonts w:ascii="宋体" w:hAnsi="宋体" w:eastAsia="宋体" w:cs="宋体"/>
      <w:kern w:val="2"/>
      <w:sz w:val="21"/>
      <w:szCs w:val="21"/>
      <w:lang w:val="en-US" w:eastAsia="zh-CN" w:bidi="ar-SA"/>
    </w:rPr>
  </w:style>
  <w:style w:type="character" w:customStyle="1" w:styleId="498">
    <w:name w:val="T2 Char"/>
    <w:link w:val="499"/>
    <w:semiHidden/>
    <w:qFormat/>
    <w:uiPriority w:val="0"/>
    <w:rPr>
      <w:rFonts w:ascii="宋体" w:hAnsi="宋体"/>
      <w:b/>
      <w:sz w:val="30"/>
      <w:szCs w:val="28"/>
    </w:rPr>
  </w:style>
  <w:style w:type="paragraph" w:customStyle="1" w:styleId="499">
    <w:name w:val="T2"/>
    <w:basedOn w:val="500"/>
    <w:next w:val="26"/>
    <w:link w:val="498"/>
    <w:semiHidden/>
    <w:qFormat/>
    <w:uiPriority w:val="0"/>
    <w:pPr>
      <w:spacing w:before="440" w:after="440"/>
      <w:outlineLvl w:val="1"/>
    </w:pPr>
    <w:rPr>
      <w:rFonts w:cs="Times New Roman"/>
      <w:kern w:val="0"/>
      <w:sz w:val="30"/>
    </w:rPr>
  </w:style>
  <w:style w:type="paragraph" w:customStyle="1" w:styleId="500">
    <w:name w:val="T1"/>
    <w:basedOn w:val="27"/>
    <w:next w:val="26"/>
    <w:semiHidden/>
    <w:qFormat/>
    <w:uiPriority w:val="0"/>
    <w:pPr>
      <w:spacing w:before="720" w:after="720" w:line="400" w:lineRule="atLeast"/>
      <w:ind w:left="0" w:leftChars="0" w:firstLine="0" w:firstLineChars="0"/>
      <w:jc w:val="left"/>
      <w:outlineLvl w:val="0"/>
    </w:pPr>
    <w:rPr>
      <w:rFonts w:ascii="宋体" w:hAnsi="宋体" w:cstheme="minorBidi"/>
      <w:b/>
      <w:sz w:val="32"/>
      <w:szCs w:val="28"/>
    </w:rPr>
  </w:style>
  <w:style w:type="character" w:customStyle="1" w:styleId="501">
    <w:name w:val="style111"/>
    <w:semiHidden/>
    <w:qFormat/>
    <w:uiPriority w:val="0"/>
    <w:rPr>
      <w:rFonts w:ascii="宋体" w:hAnsi="宋体" w:eastAsia="宋体" w:cs="宋体"/>
      <w:kern w:val="2"/>
      <w:sz w:val="21"/>
      <w:szCs w:val="21"/>
      <w:lang w:val="en-US" w:eastAsia="zh-CN" w:bidi="ar-SA"/>
    </w:rPr>
  </w:style>
  <w:style w:type="character" w:customStyle="1" w:styleId="502">
    <w:name w:val="样式15 Char"/>
    <w:basedOn w:val="455"/>
    <w:link w:val="445"/>
    <w:semiHidden/>
    <w:qFormat/>
    <w:uiPriority w:val="0"/>
    <w:rPr>
      <w:rFonts w:ascii="宋体" w:hAnsiTheme="minorHAnsi" w:cstheme="minorBidi"/>
      <w:kern w:val="2"/>
      <w:sz w:val="24"/>
      <w:szCs w:val="24"/>
    </w:rPr>
  </w:style>
  <w:style w:type="character" w:customStyle="1" w:styleId="503">
    <w:name w:val="样式14 Char Char"/>
    <w:semiHidden/>
    <w:qFormat/>
    <w:uiPriority w:val="0"/>
    <w:rPr>
      <w:rFonts w:ascii="宋体" w:hAnsi="宋体" w:eastAsia="宋体" w:cs="宋体"/>
      <w:color w:val="000000"/>
      <w:kern w:val="2"/>
      <w:sz w:val="24"/>
      <w:szCs w:val="24"/>
      <w:shd w:val="clear" w:color="auto" w:fill="FFFFFF"/>
      <w:lang w:val="en-US" w:eastAsia="zh-CN" w:bidi="ar-SA"/>
    </w:rPr>
  </w:style>
  <w:style w:type="character" w:customStyle="1" w:styleId="504">
    <w:name w:val="样式17 Char"/>
    <w:link w:val="505"/>
    <w:semiHidden/>
    <w:qFormat/>
    <w:uiPriority w:val="0"/>
    <w:rPr>
      <w:rFonts w:eastAsia="黑体"/>
      <w:kern w:val="44"/>
      <w:sz w:val="30"/>
      <w:szCs w:val="44"/>
    </w:rPr>
  </w:style>
  <w:style w:type="paragraph" w:customStyle="1" w:styleId="505">
    <w:name w:val="样式17"/>
    <w:basedOn w:val="1"/>
    <w:link w:val="504"/>
    <w:semiHidden/>
    <w:qFormat/>
    <w:uiPriority w:val="0"/>
    <w:pPr>
      <w:keepNext/>
      <w:keepLines/>
      <w:tabs>
        <w:tab w:val="left" w:pos="987"/>
      </w:tabs>
      <w:spacing w:before="156" w:beforeLines="50" w:after="156" w:afterLines="50" w:line="360" w:lineRule="auto"/>
      <w:ind w:left="987" w:hanging="420"/>
      <w:outlineLvl w:val="0"/>
    </w:pPr>
    <w:rPr>
      <w:rFonts w:eastAsia="黑体"/>
      <w:kern w:val="44"/>
      <w:sz w:val="30"/>
      <w:szCs w:val="44"/>
    </w:rPr>
  </w:style>
  <w:style w:type="character" w:customStyle="1" w:styleId="506">
    <w:name w:val="样式53 Char"/>
    <w:link w:val="507"/>
    <w:semiHidden/>
    <w:qFormat/>
    <w:uiPriority w:val="0"/>
    <w:rPr>
      <w:rFonts w:eastAsia="黑体"/>
      <w:sz w:val="24"/>
      <w:szCs w:val="32"/>
    </w:rPr>
  </w:style>
  <w:style w:type="paragraph" w:customStyle="1" w:styleId="507">
    <w:name w:val="样式53"/>
    <w:basedOn w:val="351"/>
    <w:link w:val="506"/>
    <w:semiHidden/>
    <w:qFormat/>
    <w:uiPriority w:val="0"/>
    <w:pPr>
      <w:numPr>
        <w:ilvl w:val="0"/>
        <w:numId w:val="0"/>
      </w:numPr>
      <w:tabs>
        <w:tab w:val="left" w:pos="605"/>
        <w:tab w:val="left" w:pos="889"/>
        <w:tab w:val="clear" w:pos="720"/>
      </w:tabs>
      <w:spacing w:before="120" w:after="120"/>
      <w:ind w:left="889" w:hanging="709"/>
    </w:pPr>
  </w:style>
  <w:style w:type="character" w:customStyle="1" w:styleId="508">
    <w:name w:val="我的标题4 Char"/>
    <w:link w:val="509"/>
    <w:semiHidden/>
    <w:qFormat/>
    <w:uiPriority w:val="0"/>
    <w:rPr>
      <w:b/>
      <w:sz w:val="24"/>
    </w:rPr>
  </w:style>
  <w:style w:type="paragraph" w:customStyle="1" w:styleId="509">
    <w:name w:val="我的标题4"/>
    <w:basedOn w:val="6"/>
    <w:link w:val="508"/>
    <w:semiHidden/>
    <w:qFormat/>
    <w:uiPriority w:val="0"/>
    <w:pPr>
      <w:keepNext/>
      <w:keepLines/>
      <w:numPr>
        <w:ilvl w:val="0"/>
        <w:numId w:val="0"/>
      </w:numPr>
      <w:tabs>
        <w:tab w:val="clear" w:pos="0"/>
      </w:tabs>
      <w:adjustRightInd/>
      <w:spacing w:before="0" w:beforeLines="50" w:after="0" w:afterLines="50"/>
      <w:jc w:val="both"/>
      <w:textAlignment w:val="auto"/>
    </w:pPr>
    <w:rPr>
      <w:bCs w:val="0"/>
      <w:smallCaps w:val="0"/>
      <w:kern w:val="0"/>
      <w:szCs w:val="20"/>
    </w:rPr>
  </w:style>
  <w:style w:type="character" w:customStyle="1" w:styleId="510">
    <w:name w:val="我的正文 Char Char"/>
    <w:qFormat/>
    <w:uiPriority w:val="0"/>
    <w:rPr>
      <w:sz w:val="24"/>
      <w:szCs w:val="24"/>
    </w:rPr>
  </w:style>
  <w:style w:type="character" w:customStyle="1" w:styleId="511">
    <w:name w:val="自定表头 Char"/>
    <w:semiHidden/>
    <w:qFormat/>
    <w:uiPriority w:val="0"/>
    <w:rPr>
      <w:rFonts w:eastAsia="宋体"/>
      <w:b/>
      <w:bCs/>
      <w:kern w:val="2"/>
      <w:sz w:val="24"/>
      <w:lang w:val="en-US" w:eastAsia="zh-CN" w:bidi="ar-SA"/>
    </w:rPr>
  </w:style>
  <w:style w:type="character" w:customStyle="1" w:styleId="512">
    <w:name w:val="！正文 Char"/>
    <w:link w:val="513"/>
    <w:semiHidden/>
    <w:qFormat/>
    <w:uiPriority w:val="0"/>
    <w:rPr>
      <w:rFonts w:cs="宋体"/>
      <w:sz w:val="24"/>
    </w:rPr>
  </w:style>
  <w:style w:type="paragraph" w:customStyle="1" w:styleId="513">
    <w:name w:val="！正文"/>
    <w:basedOn w:val="1"/>
    <w:link w:val="512"/>
    <w:semiHidden/>
    <w:qFormat/>
    <w:uiPriority w:val="0"/>
    <w:pPr>
      <w:spacing w:line="360" w:lineRule="auto"/>
      <w:ind w:firstLine="480" w:firstLineChars="200"/>
    </w:pPr>
    <w:rPr>
      <w:rFonts w:cs="宋体"/>
      <w:kern w:val="0"/>
      <w:sz w:val="24"/>
      <w:szCs w:val="20"/>
    </w:rPr>
  </w:style>
  <w:style w:type="character" w:customStyle="1" w:styleId="514">
    <w:name w:val="ringhtct1"/>
    <w:semiHidden/>
    <w:qFormat/>
    <w:uiPriority w:val="0"/>
    <w:rPr>
      <w:rFonts w:ascii="宋体" w:hAnsi="宋体" w:eastAsia="宋体" w:cs="宋体"/>
      <w:kern w:val="2"/>
      <w:sz w:val="21"/>
      <w:szCs w:val="21"/>
      <w:lang w:val="en-US" w:eastAsia="zh-CN" w:bidi="ar-SA"/>
    </w:rPr>
  </w:style>
  <w:style w:type="character" w:customStyle="1" w:styleId="515">
    <w:name w:val="我的标题3 Char"/>
    <w:link w:val="516"/>
    <w:semiHidden/>
    <w:qFormat/>
    <w:uiPriority w:val="0"/>
    <w:rPr>
      <w:rFonts w:ascii="黑体" w:eastAsia="黑体"/>
      <w:sz w:val="24"/>
      <w:szCs w:val="21"/>
    </w:rPr>
  </w:style>
  <w:style w:type="paragraph" w:customStyle="1" w:styleId="516">
    <w:name w:val="我的标题3"/>
    <w:basedOn w:val="1"/>
    <w:link w:val="515"/>
    <w:semiHidden/>
    <w:qFormat/>
    <w:uiPriority w:val="0"/>
    <w:pPr>
      <w:snapToGrid w:val="0"/>
      <w:spacing w:beforeLines="50" w:afterLines="50" w:line="360" w:lineRule="auto"/>
      <w:jc w:val="left"/>
      <w:outlineLvl w:val="2"/>
    </w:pPr>
    <w:rPr>
      <w:rFonts w:ascii="黑体" w:eastAsia="黑体"/>
      <w:kern w:val="0"/>
      <w:sz w:val="24"/>
      <w:szCs w:val="21"/>
    </w:rPr>
  </w:style>
  <w:style w:type="character" w:customStyle="1" w:styleId="517">
    <w:name w:val="A正文 Char Char"/>
    <w:link w:val="518"/>
    <w:qFormat/>
    <w:uiPriority w:val="0"/>
    <w:rPr>
      <w:rFonts w:ascii="仿宋_GB2312" w:hAnsi="Tms Rmn" w:eastAsia="仿宋_GB2312"/>
      <w:color w:val="FF0000"/>
      <w:sz w:val="28"/>
    </w:rPr>
  </w:style>
  <w:style w:type="paragraph" w:customStyle="1" w:styleId="518">
    <w:name w:val="A正文"/>
    <w:basedOn w:val="1"/>
    <w:next w:val="26"/>
    <w:link w:val="517"/>
    <w:qFormat/>
    <w:uiPriority w:val="0"/>
    <w:pPr>
      <w:overflowPunct w:val="0"/>
      <w:autoSpaceDE w:val="0"/>
      <w:autoSpaceDN w:val="0"/>
      <w:adjustRightInd w:val="0"/>
      <w:spacing w:line="360" w:lineRule="auto"/>
      <w:ind w:left="105" w:leftChars="50" w:right="105" w:rightChars="50" w:firstLine="840" w:firstLineChars="300"/>
      <w:jc w:val="left"/>
      <w:textAlignment w:val="baseline"/>
    </w:pPr>
    <w:rPr>
      <w:rFonts w:ascii="仿宋_GB2312" w:hAnsi="Tms Rmn" w:eastAsia="仿宋_GB2312"/>
      <w:color w:val="FF0000"/>
      <w:kern w:val="0"/>
      <w:sz w:val="28"/>
      <w:szCs w:val="20"/>
    </w:rPr>
  </w:style>
  <w:style w:type="character" w:customStyle="1" w:styleId="519">
    <w:name w:val="font71"/>
    <w:semiHidden/>
    <w:qFormat/>
    <w:uiPriority w:val="0"/>
    <w:rPr>
      <w:rFonts w:hint="default" w:ascii="Times New Roman" w:hAnsi="Times New Roman" w:cs="Times New Roman"/>
      <w:color w:val="000000"/>
      <w:sz w:val="21"/>
      <w:szCs w:val="21"/>
      <w:u w:val="none"/>
    </w:rPr>
  </w:style>
  <w:style w:type="character" w:customStyle="1" w:styleId="520">
    <w:name w:val="样式2 Char"/>
    <w:link w:val="521"/>
    <w:semiHidden/>
    <w:qFormat/>
    <w:uiPriority w:val="0"/>
    <w:rPr>
      <w:b/>
      <w:bCs/>
      <w:color w:val="000000"/>
      <w:szCs w:val="16"/>
    </w:rPr>
  </w:style>
  <w:style w:type="paragraph" w:customStyle="1" w:styleId="521">
    <w:name w:val="样式2"/>
    <w:basedOn w:val="1"/>
    <w:link w:val="520"/>
    <w:semiHidden/>
    <w:qFormat/>
    <w:uiPriority w:val="0"/>
    <w:pPr>
      <w:tabs>
        <w:tab w:val="left" w:pos="1535"/>
        <w:tab w:val="left" w:pos="3105"/>
        <w:tab w:val="left" w:pos="4676"/>
        <w:tab w:val="left" w:pos="6247"/>
        <w:tab w:val="left" w:pos="7740"/>
        <w:tab w:val="left" w:pos="9288"/>
      </w:tabs>
      <w:spacing w:line="360" w:lineRule="auto"/>
      <w:jc w:val="center"/>
      <w:textAlignment w:val="baseline"/>
    </w:pPr>
    <w:rPr>
      <w:b/>
      <w:bCs/>
      <w:color w:val="000000"/>
      <w:kern w:val="0"/>
      <w:sz w:val="20"/>
      <w:szCs w:val="16"/>
    </w:rPr>
  </w:style>
  <w:style w:type="character" w:customStyle="1" w:styleId="522">
    <w:name w:val="样式20 Char"/>
    <w:link w:val="523"/>
    <w:semiHidden/>
    <w:qFormat/>
    <w:uiPriority w:val="0"/>
    <w:rPr>
      <w:rFonts w:hAnsi="宋体"/>
      <w:sz w:val="24"/>
      <w:szCs w:val="24"/>
    </w:rPr>
  </w:style>
  <w:style w:type="paragraph" w:customStyle="1" w:styleId="523">
    <w:name w:val="样式20"/>
    <w:basedOn w:val="1"/>
    <w:link w:val="522"/>
    <w:semiHidden/>
    <w:qFormat/>
    <w:uiPriority w:val="0"/>
    <w:pPr>
      <w:spacing w:line="360" w:lineRule="auto"/>
      <w:ind w:firstLine="480" w:firstLineChars="200"/>
    </w:pPr>
    <w:rPr>
      <w:rFonts w:hAnsi="宋体"/>
      <w:kern w:val="0"/>
      <w:sz w:val="24"/>
    </w:rPr>
  </w:style>
  <w:style w:type="character" w:customStyle="1" w:styleId="524">
    <w:name w:val="正文文本缩进 Char2"/>
    <w:basedOn w:val="70"/>
    <w:semiHidden/>
    <w:qFormat/>
    <w:uiPriority w:val="99"/>
    <w:rPr>
      <w:rFonts w:ascii="Times New Roman" w:hAnsi="Times New Roman" w:eastAsia="宋体" w:cs="Times New Roman"/>
      <w:szCs w:val="24"/>
    </w:rPr>
  </w:style>
  <w:style w:type="paragraph" w:customStyle="1" w:styleId="525">
    <w:name w:val="样式48"/>
    <w:basedOn w:val="349"/>
    <w:semiHidden/>
    <w:qFormat/>
    <w:uiPriority w:val="0"/>
    <w:pPr>
      <w:numPr>
        <w:numId w:val="6"/>
      </w:numPr>
      <w:spacing w:before="120" w:after="120"/>
      <w:ind w:left="0" w:firstLine="0"/>
    </w:pPr>
    <w:rPr>
      <w:rFonts w:asciiTheme="minorHAnsi" w:hAnsiTheme="minorHAnsi" w:cstheme="minorBidi"/>
    </w:rPr>
  </w:style>
  <w:style w:type="character" w:customStyle="1" w:styleId="526">
    <w:name w:val="纯文本 Char2"/>
    <w:basedOn w:val="70"/>
    <w:semiHidden/>
    <w:qFormat/>
    <w:uiPriority w:val="99"/>
    <w:rPr>
      <w:rFonts w:ascii="宋体" w:hAnsi="Courier New" w:eastAsia="宋体" w:cs="Courier New"/>
      <w:szCs w:val="21"/>
    </w:rPr>
  </w:style>
  <w:style w:type="paragraph" w:customStyle="1" w:styleId="527">
    <w:name w:val="样式3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character" w:customStyle="1" w:styleId="528">
    <w:name w:val="页眉 Char1"/>
    <w:basedOn w:val="70"/>
    <w:semiHidden/>
    <w:qFormat/>
    <w:uiPriority w:val="99"/>
    <w:rPr>
      <w:rFonts w:ascii="Times New Roman" w:hAnsi="Times New Roman" w:eastAsia="宋体" w:cs="Times New Roman"/>
      <w:sz w:val="18"/>
      <w:szCs w:val="18"/>
    </w:rPr>
  </w:style>
  <w:style w:type="character" w:customStyle="1" w:styleId="529">
    <w:name w:val="标题 Char1"/>
    <w:basedOn w:val="70"/>
    <w:qFormat/>
    <w:uiPriority w:val="10"/>
    <w:rPr>
      <w:rFonts w:eastAsia="宋体" w:asciiTheme="majorHAnsi" w:hAnsiTheme="majorHAnsi" w:cstheme="majorBidi"/>
      <w:b/>
      <w:bCs/>
      <w:sz w:val="32"/>
      <w:szCs w:val="32"/>
    </w:rPr>
  </w:style>
  <w:style w:type="character" w:customStyle="1" w:styleId="530">
    <w:name w:val="页脚 Char1"/>
    <w:basedOn w:val="70"/>
    <w:semiHidden/>
    <w:qFormat/>
    <w:uiPriority w:val="99"/>
    <w:rPr>
      <w:rFonts w:ascii="Times New Roman" w:hAnsi="Times New Roman" w:eastAsia="宋体" w:cs="Times New Roman"/>
      <w:sz w:val="18"/>
      <w:szCs w:val="18"/>
    </w:rPr>
  </w:style>
  <w:style w:type="paragraph" w:customStyle="1" w:styleId="531">
    <w:name w:val="xzz"/>
    <w:basedOn w:val="1"/>
    <w:semiHidden/>
    <w:qFormat/>
    <w:uiPriority w:val="0"/>
    <w:pPr>
      <w:spacing w:line="360" w:lineRule="auto"/>
      <w:ind w:firstLine="480" w:firstLineChars="200"/>
    </w:pPr>
    <w:rPr>
      <w:sz w:val="24"/>
    </w:rPr>
  </w:style>
  <w:style w:type="paragraph" w:customStyle="1" w:styleId="532">
    <w:name w:val="xl44"/>
    <w:basedOn w:val="1"/>
    <w:semiHidden/>
    <w:qFormat/>
    <w:uiPriority w:val="0"/>
    <w:pPr>
      <w:pBdr>
        <w:top w:val="single" w:color="auto" w:sz="4" w:space="0"/>
        <w:left w:val="single" w:color="auto" w:sz="4" w:space="0"/>
        <w:bottom w:val="double" w:color="auto" w:sz="6" w:space="0"/>
        <w:right w:val="single" w:color="auto" w:sz="4" w:space="0"/>
      </w:pBdr>
      <w:spacing w:before="100" w:beforeAutospacing="1" w:after="100" w:afterAutospacing="1" w:line="360" w:lineRule="auto"/>
      <w:jc w:val="left"/>
    </w:pPr>
    <w:rPr>
      <w:rFonts w:ascii="Arial Unicode MS" w:hAnsi="Arial Unicode MS" w:eastAsia="Arial Unicode MS" w:cs="Arial Unicode MS"/>
      <w:kern w:val="0"/>
      <w:sz w:val="24"/>
    </w:rPr>
  </w:style>
  <w:style w:type="paragraph" w:customStyle="1" w:styleId="533">
    <w:name w:val="xl55"/>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534">
    <w:name w:val="段"/>
    <w:semiHidden/>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35">
    <w:name w:val="样式 标题 3标题 3 CharReHead 3 WSAh3H3B Head条标题1.1.1Section头..."/>
    <w:basedOn w:val="5"/>
    <w:semiHidden/>
    <w:qFormat/>
    <w:uiPriority w:val="0"/>
    <w:pPr>
      <w:numPr>
        <w:numId w:val="7"/>
      </w:numPr>
      <w:tabs>
        <w:tab w:val="left" w:pos="360"/>
        <w:tab w:val="left" w:pos="720"/>
        <w:tab w:val="clear" w:pos="0"/>
      </w:tabs>
      <w:adjustRightInd w:val="0"/>
      <w:snapToGrid w:val="0"/>
      <w:spacing w:before="156" w:beforeLines="50" w:after="156" w:afterLines="50"/>
      <w:ind w:firstLineChars="0"/>
    </w:pPr>
    <w:rPr>
      <w:rFonts w:cs="宋体"/>
      <w:kern w:val="0"/>
      <w:sz w:val="30"/>
      <w:szCs w:val="30"/>
      <w:lang w:val="zh-CN"/>
    </w:rPr>
  </w:style>
  <w:style w:type="paragraph" w:customStyle="1" w:styleId="536">
    <w:name w:val="Char3"/>
    <w:basedOn w:val="1"/>
    <w:semiHidden/>
    <w:qFormat/>
    <w:uiPriority w:val="0"/>
    <w:pPr>
      <w:spacing w:line="360" w:lineRule="auto"/>
      <w:ind w:firstLine="200" w:firstLineChars="200"/>
    </w:pPr>
    <w:rPr>
      <w:rFonts w:ascii="宋体" w:hAnsi="宋体" w:cs="宋体"/>
      <w:sz w:val="24"/>
    </w:rPr>
  </w:style>
  <w:style w:type="paragraph" w:customStyle="1" w:styleId="537">
    <w:name w:val="xl29"/>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538">
    <w:name w:val="hyp标题2"/>
    <w:basedOn w:val="4"/>
    <w:semiHidden/>
    <w:qFormat/>
    <w:uiPriority w:val="0"/>
    <w:pPr>
      <w:keepLines w:val="0"/>
      <w:widowControl/>
      <w:numPr>
        <w:numId w:val="8"/>
      </w:numPr>
      <w:tabs>
        <w:tab w:val="left" w:pos="432"/>
        <w:tab w:val="left" w:pos="576"/>
        <w:tab w:val="clear" w:pos="0"/>
        <w:tab w:val="clear" w:pos="709"/>
      </w:tabs>
      <w:adjustRightInd w:val="0"/>
      <w:snapToGrid w:val="0"/>
      <w:spacing w:before="120"/>
      <w:jc w:val="both"/>
    </w:pPr>
    <w:rPr>
      <w:rFonts w:eastAsia="黑体"/>
      <w:b w:val="0"/>
      <w:bCs w:val="0"/>
      <w:smallCaps w:val="0"/>
      <w:color w:val="000000"/>
      <w:kern w:val="0"/>
      <w:sz w:val="32"/>
      <w:szCs w:val="20"/>
    </w:rPr>
  </w:style>
  <w:style w:type="paragraph" w:customStyle="1" w:styleId="539">
    <w:name w:val="xl25"/>
    <w:basedOn w:val="1"/>
    <w:semiHidden/>
    <w:qFormat/>
    <w:uiPriority w:val="0"/>
    <w:pPr>
      <w:pBdr>
        <w:bottom w:val="single" w:color="auto" w:sz="4" w:space="0"/>
      </w:pBdr>
      <w:spacing w:before="100" w:beforeAutospacing="1" w:after="100" w:afterAutospacing="1" w:line="360" w:lineRule="auto"/>
      <w:jc w:val="left"/>
    </w:pPr>
    <w:rPr>
      <w:rFonts w:ascii="宋体" w:hAnsi="宋体"/>
      <w:kern w:val="0"/>
      <w:sz w:val="24"/>
    </w:rPr>
  </w:style>
  <w:style w:type="paragraph" w:customStyle="1" w:styleId="540">
    <w:name w:val="表格内容6"/>
    <w:basedOn w:val="541"/>
    <w:semiHidden/>
    <w:qFormat/>
    <w:uiPriority w:val="0"/>
    <w:pPr>
      <w:tabs>
        <w:tab w:val="left" w:pos="1535"/>
        <w:tab w:val="left" w:pos="3105"/>
        <w:tab w:val="left" w:pos="4676"/>
        <w:tab w:val="left" w:pos="6247"/>
        <w:tab w:val="left" w:pos="7740"/>
        <w:tab w:val="left" w:pos="9288"/>
      </w:tabs>
      <w:adjustRightInd w:val="0"/>
      <w:snapToGrid/>
      <w:spacing w:line="180" w:lineRule="atLeast"/>
    </w:pPr>
    <w:rPr>
      <w:rFonts w:ascii="Times New Roman" w:hAnsi="Times New Roman"/>
      <w:spacing w:val="-12"/>
      <w:sz w:val="15"/>
    </w:rPr>
  </w:style>
  <w:style w:type="paragraph" w:customStyle="1" w:styleId="541">
    <w:name w:val="表格内容1"/>
    <w:basedOn w:val="1"/>
    <w:semiHidden/>
    <w:qFormat/>
    <w:uiPriority w:val="0"/>
    <w:pPr>
      <w:tabs>
        <w:tab w:val="left" w:pos="1535"/>
        <w:tab w:val="left" w:pos="3105"/>
        <w:tab w:val="left" w:pos="4676"/>
        <w:tab w:val="left" w:pos="6247"/>
        <w:tab w:val="left" w:pos="7740"/>
        <w:tab w:val="left" w:pos="9288"/>
      </w:tabs>
      <w:snapToGrid w:val="0"/>
      <w:spacing w:line="240" w:lineRule="exact"/>
      <w:jc w:val="center"/>
      <w:textAlignment w:val="baseline"/>
    </w:pPr>
    <w:rPr>
      <w:rFonts w:ascii="宋体" w:hAnsi="宋体"/>
      <w:color w:val="000000"/>
      <w:kern w:val="0"/>
      <w:szCs w:val="16"/>
    </w:rPr>
  </w:style>
  <w:style w:type="paragraph" w:customStyle="1" w:styleId="542">
    <w:name w:val="样式 宋体 首行缩进:  0.99 厘米 行距: 1.5 倍行距"/>
    <w:basedOn w:val="1"/>
    <w:semiHidden/>
    <w:qFormat/>
    <w:uiPriority w:val="0"/>
    <w:pPr>
      <w:spacing w:line="360" w:lineRule="auto"/>
      <w:ind w:firstLine="560"/>
      <w:jc w:val="left"/>
    </w:pPr>
    <w:rPr>
      <w:kern w:val="0"/>
      <w:sz w:val="24"/>
      <w:szCs w:val="20"/>
    </w:rPr>
  </w:style>
  <w:style w:type="paragraph" w:customStyle="1" w:styleId="543">
    <w:name w:val="样式 标题 3 + 首行缩进:  2 字符"/>
    <w:basedOn w:val="5"/>
    <w:semiHidden/>
    <w:qFormat/>
    <w:uiPriority w:val="0"/>
    <w:pPr>
      <w:numPr>
        <w:ilvl w:val="0"/>
        <w:numId w:val="0"/>
      </w:numPr>
      <w:tabs>
        <w:tab w:val="left" w:pos="952"/>
        <w:tab w:val="clear" w:pos="0"/>
      </w:tabs>
      <w:spacing w:line="300" w:lineRule="auto"/>
      <w:ind w:left="952" w:hanging="680"/>
      <w:jc w:val="both"/>
    </w:pPr>
    <w:rPr>
      <w:rFonts w:eastAsia="黑体" w:cs="宋体"/>
      <w:b w:val="0"/>
      <w:szCs w:val="20"/>
    </w:rPr>
  </w:style>
  <w:style w:type="paragraph" w:customStyle="1" w:styleId="544">
    <w:name w:val="reader-word-layer reader-word-s1-18 reader-word-s1-24"/>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545">
    <w:name w:val="自动3"/>
    <w:basedOn w:val="1"/>
    <w:semiHidden/>
    <w:qFormat/>
    <w:uiPriority w:val="0"/>
    <w:pPr>
      <w:keepNext/>
      <w:keepLines/>
      <w:tabs>
        <w:tab w:val="left" w:pos="360"/>
      </w:tabs>
      <w:spacing w:before="50" w:after="50" w:line="360" w:lineRule="auto"/>
      <w:outlineLvl w:val="2"/>
    </w:pPr>
    <w:rPr>
      <w:rFonts w:hint="eastAsia" w:ascii="宋体" w:hAnsi="宋体"/>
      <w:b/>
      <w:color w:val="000000"/>
      <w:sz w:val="24"/>
    </w:rPr>
  </w:style>
  <w:style w:type="paragraph" w:customStyle="1" w:styleId="546">
    <w:name w:val="样式 样式12 + Times New Roman 自动设置"/>
    <w:basedOn w:val="349"/>
    <w:semiHidden/>
    <w:qFormat/>
    <w:uiPriority w:val="0"/>
    <w:pPr>
      <w:numPr>
        <w:numId w:val="0"/>
      </w:numPr>
      <w:tabs>
        <w:tab w:val="left" w:pos="540"/>
        <w:tab w:val="left" w:pos="860"/>
        <w:tab w:val="clear" w:pos="360"/>
      </w:tabs>
      <w:spacing w:before="50" w:after="50"/>
      <w:ind w:left="578" w:hanging="578"/>
    </w:pPr>
    <w:rPr>
      <w:rFonts w:asciiTheme="minorHAnsi" w:hAnsiTheme="minorHAnsi" w:cstheme="minorBidi"/>
      <w:szCs w:val="32"/>
    </w:rPr>
  </w:style>
  <w:style w:type="paragraph" w:customStyle="1" w:styleId="547">
    <w:name w:val="正文1"/>
    <w:basedOn w:val="1"/>
    <w:semiHidden/>
    <w:qFormat/>
    <w:uiPriority w:val="0"/>
    <w:pPr>
      <w:spacing w:line="360" w:lineRule="auto"/>
    </w:pPr>
    <w:rPr>
      <w:sz w:val="24"/>
    </w:rPr>
  </w:style>
  <w:style w:type="paragraph" w:customStyle="1" w:styleId="548">
    <w:name w:val="样式 样式12 + 自动设置 段前: 0.5 行 段后: 0.5 行1"/>
    <w:basedOn w:val="349"/>
    <w:semiHidden/>
    <w:qFormat/>
    <w:uiPriority w:val="0"/>
    <w:pPr>
      <w:numPr>
        <w:numId w:val="0"/>
      </w:numPr>
      <w:tabs>
        <w:tab w:val="left" w:pos="540"/>
        <w:tab w:val="left" w:pos="860"/>
        <w:tab w:val="clear" w:pos="360"/>
      </w:tabs>
      <w:spacing w:before="50" w:after="50"/>
      <w:ind w:left="860" w:hanging="576"/>
    </w:pPr>
    <w:rPr>
      <w:rFonts w:ascii="黑体" w:hAnsi="黑体" w:cs="宋体"/>
      <w:szCs w:val="20"/>
    </w:rPr>
  </w:style>
  <w:style w:type="paragraph" w:customStyle="1" w:styleId="549">
    <w:name w:val="表格，内容"/>
    <w:basedOn w:val="1"/>
    <w:semiHidden/>
    <w:qFormat/>
    <w:uiPriority w:val="0"/>
    <w:pPr>
      <w:spacing w:line="360" w:lineRule="auto"/>
      <w:jc w:val="center"/>
    </w:pPr>
    <w:rPr>
      <w:spacing w:val="10"/>
      <w:kern w:val="44"/>
    </w:rPr>
  </w:style>
  <w:style w:type="paragraph" w:customStyle="1" w:styleId="550">
    <w:name w:val="表图标题"/>
    <w:basedOn w:val="226"/>
    <w:semiHidden/>
    <w:qFormat/>
    <w:uiPriority w:val="0"/>
    <w:pPr>
      <w:tabs>
        <w:tab w:val="left" w:pos="3960"/>
      </w:tabs>
      <w:spacing w:line="240" w:lineRule="auto"/>
      <w:ind w:left="0" w:leftChars="0" w:right="0" w:rightChars="0" w:firstLine="0" w:firstLineChars="0"/>
    </w:pPr>
    <w:rPr>
      <w:rFonts w:asciiTheme="minorHAnsi" w:hAnsiTheme="minorHAnsi" w:cstheme="minorBidi"/>
      <w:b/>
      <w:bCs/>
      <w:snapToGrid/>
      <w:color w:val="auto"/>
      <w:sz w:val="24"/>
      <w:szCs w:val="24"/>
    </w:rPr>
  </w:style>
  <w:style w:type="paragraph" w:customStyle="1" w:styleId="551">
    <w:name w:val="列表1"/>
    <w:basedOn w:val="1"/>
    <w:next w:val="45"/>
    <w:semiHidden/>
    <w:qFormat/>
    <w:uiPriority w:val="0"/>
    <w:pPr>
      <w:spacing w:before="60" w:line="240" w:lineRule="exact"/>
      <w:jc w:val="center"/>
    </w:pPr>
    <w:rPr>
      <w:sz w:val="24"/>
      <w:szCs w:val="20"/>
    </w:rPr>
  </w:style>
  <w:style w:type="paragraph" w:customStyle="1" w:styleId="552">
    <w:name w:val="reader-word-layer reader-word-s3-16"/>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53">
    <w:name w:val="样式 标题 1 + 首行缩进:  2 字符1"/>
    <w:basedOn w:val="3"/>
    <w:semiHidden/>
    <w:qFormat/>
    <w:uiPriority w:val="0"/>
    <w:pPr>
      <w:numPr>
        <w:numId w:val="7"/>
      </w:numPr>
      <w:tabs>
        <w:tab w:val="left" w:pos="360"/>
        <w:tab w:val="clear" w:pos="0"/>
      </w:tabs>
      <w:adjustRightInd w:val="0"/>
      <w:spacing w:before="156" w:beforeLines="50" w:after="156" w:afterLines="50" w:line="240" w:lineRule="auto"/>
      <w:textAlignment w:val="baseline"/>
    </w:pPr>
    <w:rPr>
      <w:rFonts w:cs="宋体"/>
      <w:bCs/>
      <w:sz w:val="36"/>
      <w:szCs w:val="36"/>
    </w:rPr>
  </w:style>
  <w:style w:type="paragraph" w:customStyle="1" w:styleId="554">
    <w:name w:val="表格 32"/>
    <w:basedOn w:val="1"/>
    <w:semiHidden/>
    <w:qFormat/>
    <w:uiPriority w:val="0"/>
    <w:pPr>
      <w:autoSpaceDE w:val="0"/>
      <w:autoSpaceDN w:val="0"/>
      <w:adjustRightInd w:val="0"/>
      <w:spacing w:line="360" w:lineRule="auto"/>
      <w:ind w:firstLine="465"/>
      <w:jc w:val="center"/>
      <w:textAlignment w:val="baseline"/>
    </w:pPr>
    <w:rPr>
      <w:kern w:val="0"/>
      <w:sz w:val="24"/>
      <w:szCs w:val="20"/>
    </w:rPr>
  </w:style>
  <w:style w:type="paragraph" w:customStyle="1" w:styleId="555">
    <w:name w:val="Char Char Char Char Char Char1 Char"/>
    <w:basedOn w:val="1"/>
    <w:semiHidden/>
    <w:qFormat/>
    <w:uiPriority w:val="0"/>
    <w:pPr>
      <w:spacing w:line="360" w:lineRule="auto"/>
      <w:ind w:firstLine="200" w:firstLineChars="200"/>
    </w:pPr>
    <w:rPr>
      <w:rFonts w:ascii="宋体" w:hAnsi="宋体" w:cs="宋体"/>
      <w:sz w:val="24"/>
    </w:rPr>
  </w:style>
  <w:style w:type="paragraph" w:customStyle="1" w:styleId="556">
    <w:name w:val="表文字"/>
    <w:basedOn w:val="1"/>
    <w:semiHidden/>
    <w:qFormat/>
    <w:uiPriority w:val="0"/>
    <w:pPr>
      <w:adjustRightInd w:val="0"/>
      <w:snapToGrid w:val="0"/>
      <w:spacing w:before="25" w:beforeLines="25" w:after="25" w:afterLines="25" w:line="360" w:lineRule="auto"/>
      <w:ind w:left="-40" w:leftChars="-40" w:right="-40" w:rightChars="-40"/>
      <w:jc w:val="center"/>
      <w:textAlignment w:val="baseline"/>
    </w:pPr>
    <w:rPr>
      <w:snapToGrid w:val="0"/>
      <w:color w:val="000000"/>
      <w:spacing w:val="-6"/>
      <w:kern w:val="0"/>
      <w:szCs w:val="9"/>
    </w:rPr>
  </w:style>
  <w:style w:type="paragraph" w:customStyle="1" w:styleId="557">
    <w:name w:val="杠式表格"/>
    <w:basedOn w:val="1"/>
    <w:semiHidden/>
    <w:qFormat/>
    <w:uiPriority w:val="0"/>
    <w:pPr>
      <w:adjustRightInd w:val="0"/>
      <w:snapToGrid w:val="0"/>
      <w:spacing w:after="120" w:line="360" w:lineRule="auto"/>
      <w:jc w:val="center"/>
      <w:textAlignment w:val="baseline"/>
    </w:pPr>
    <w:rPr>
      <w:kern w:val="0"/>
      <w:szCs w:val="20"/>
    </w:rPr>
  </w:style>
  <w:style w:type="paragraph" w:customStyle="1" w:styleId="558">
    <w:name w:val="标题或表与下行间距"/>
    <w:basedOn w:val="1"/>
    <w:semiHidden/>
    <w:qFormat/>
    <w:uiPriority w:val="0"/>
    <w:pPr>
      <w:overflowPunct w:val="0"/>
      <w:topLinePunct/>
      <w:spacing w:line="360" w:lineRule="auto"/>
      <w:jc w:val="left"/>
      <w:outlineLvl w:val="0"/>
    </w:pPr>
    <w:rPr>
      <w:rFonts w:ascii="宋体" w:hAnsi="宋体"/>
      <w:szCs w:val="21"/>
    </w:rPr>
  </w:style>
  <w:style w:type="paragraph" w:customStyle="1" w:styleId="559">
    <w:name w:val="reader-word-layer reader-word-s3-15"/>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60">
    <w:name w:val="xz4"/>
    <w:basedOn w:val="1"/>
    <w:semiHidden/>
    <w:qFormat/>
    <w:uiPriority w:val="0"/>
    <w:pPr>
      <w:spacing w:before="259" w:beforeLines="50" w:line="360" w:lineRule="auto"/>
      <w:jc w:val="left"/>
      <w:outlineLvl w:val="3"/>
    </w:pPr>
    <w:rPr>
      <w:rFonts w:eastAsia="楷体_GB2312"/>
      <w:b/>
      <w:sz w:val="28"/>
    </w:rPr>
  </w:style>
  <w:style w:type="paragraph" w:customStyle="1" w:styleId="561">
    <w:name w:val="样式31"/>
    <w:basedOn w:val="1"/>
    <w:semiHidden/>
    <w:qFormat/>
    <w:uiPriority w:val="0"/>
    <w:pPr>
      <w:spacing w:line="360" w:lineRule="auto"/>
      <w:ind w:firstLine="1261" w:firstLineChars="598"/>
    </w:pPr>
    <w:rPr>
      <w:rFonts w:ascii="宋体"/>
      <w:b/>
      <w:szCs w:val="21"/>
    </w:rPr>
  </w:style>
  <w:style w:type="paragraph" w:customStyle="1" w:styleId="562">
    <w:name w:val="Char Char Char Char Char Char Char"/>
    <w:basedOn w:val="1"/>
    <w:semiHidden/>
    <w:qFormat/>
    <w:uiPriority w:val="0"/>
    <w:pPr>
      <w:spacing w:line="360" w:lineRule="auto"/>
    </w:pPr>
  </w:style>
  <w:style w:type="paragraph" w:customStyle="1" w:styleId="563">
    <w:name w:val="表框2"/>
    <w:basedOn w:val="1"/>
    <w:semiHidden/>
    <w:qFormat/>
    <w:uiPriority w:val="0"/>
    <w:pPr>
      <w:framePr w:hSpace="181" w:vSpace="181" w:wrap="notBeside" w:vAnchor="text" w:hAnchor="text" w:y="1"/>
      <w:pBdr>
        <w:top w:val="single" w:color="auto" w:sz="4" w:space="1"/>
        <w:left w:val="single" w:color="auto" w:sz="4" w:space="4"/>
        <w:bottom w:val="single" w:color="auto" w:sz="4" w:space="1"/>
        <w:right w:val="single" w:color="auto" w:sz="4" w:space="4"/>
      </w:pBdr>
      <w:adjustRightInd w:val="0"/>
      <w:snapToGrid w:val="0"/>
      <w:spacing w:line="360" w:lineRule="auto"/>
    </w:pPr>
    <w:rPr>
      <w:sz w:val="24"/>
      <w:szCs w:val="20"/>
    </w:rPr>
  </w:style>
  <w:style w:type="paragraph" w:customStyle="1" w:styleId="564">
    <w:name w:val="List Paragraph1"/>
    <w:basedOn w:val="1"/>
    <w:qFormat/>
    <w:uiPriority w:val="0"/>
    <w:pPr>
      <w:adjustRightInd w:val="0"/>
      <w:snapToGrid w:val="0"/>
      <w:spacing w:line="360" w:lineRule="auto"/>
      <w:ind w:firstLine="420" w:firstLineChars="200"/>
      <w:jc w:val="left"/>
    </w:pPr>
    <w:rPr>
      <w:kern w:val="0"/>
      <w:sz w:val="24"/>
      <w:szCs w:val="20"/>
    </w:rPr>
  </w:style>
  <w:style w:type="paragraph" w:customStyle="1" w:styleId="565">
    <w:name w:val="Char Char Char Char Char Char Char Char Char"/>
    <w:basedOn w:val="1"/>
    <w:semiHidden/>
    <w:qFormat/>
    <w:uiPriority w:val="0"/>
    <w:pPr>
      <w:spacing w:after="160" w:line="240" w:lineRule="exact"/>
      <w:jc w:val="left"/>
    </w:pPr>
    <w:rPr>
      <w:rFonts w:ascii="Verdana" w:hAnsi="Verdana" w:eastAsia="仿宋_GB2312"/>
      <w:kern w:val="0"/>
      <w:sz w:val="24"/>
      <w:szCs w:val="20"/>
      <w:lang w:eastAsia="en-US"/>
    </w:rPr>
  </w:style>
  <w:style w:type="paragraph" w:customStyle="1" w:styleId="566">
    <w:name w:val="样式40"/>
    <w:basedOn w:val="1"/>
    <w:semiHidden/>
    <w:qFormat/>
    <w:uiPriority w:val="0"/>
    <w:pPr>
      <w:keepNext/>
      <w:keepLines/>
      <w:tabs>
        <w:tab w:val="left" w:pos="720"/>
        <w:tab w:val="left" w:pos="864"/>
      </w:tabs>
      <w:spacing w:before="120" w:beforeLines="50" w:after="120" w:afterLines="50" w:line="360" w:lineRule="auto"/>
      <w:ind w:left="864" w:hanging="864"/>
      <w:outlineLvl w:val="3"/>
    </w:pPr>
    <w:rPr>
      <w:sz w:val="24"/>
      <w:szCs w:val="28"/>
    </w:rPr>
  </w:style>
  <w:style w:type="paragraph" w:customStyle="1" w:styleId="567">
    <w:name w:val="xl4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Arial Unicode MS" w:hAnsi="Arial Unicode MS" w:eastAsia="Arial Unicode MS" w:cs="Arial Unicode MS"/>
      <w:kern w:val="0"/>
      <w:sz w:val="24"/>
    </w:rPr>
  </w:style>
  <w:style w:type="paragraph" w:customStyle="1" w:styleId="568">
    <w:name w:val="样式 标题 3标题 13 + 黑色 段前: 4 磅 段后: 10 磅 行距: 单倍行距"/>
    <w:basedOn w:val="1"/>
    <w:semiHidden/>
    <w:qFormat/>
    <w:uiPriority w:val="0"/>
    <w:pPr>
      <w:spacing w:line="360" w:lineRule="auto"/>
    </w:pPr>
    <w:rPr>
      <w:sz w:val="28"/>
    </w:rPr>
  </w:style>
  <w:style w:type="paragraph" w:customStyle="1" w:styleId="569">
    <w:name w:val="玲标题四"/>
    <w:basedOn w:val="1"/>
    <w:next w:val="61"/>
    <w:semiHidden/>
    <w:qFormat/>
    <w:uiPriority w:val="0"/>
    <w:pPr>
      <w:adjustRightInd w:val="0"/>
      <w:snapToGrid w:val="0"/>
      <w:spacing w:before="100" w:after="100" w:line="360" w:lineRule="auto"/>
      <w:jc w:val="left"/>
      <w:outlineLvl w:val="3"/>
    </w:pPr>
    <w:rPr>
      <w:rFonts w:eastAsia="黑体"/>
      <w:sz w:val="28"/>
      <w:szCs w:val="22"/>
    </w:rPr>
  </w:style>
  <w:style w:type="paragraph" w:customStyle="1" w:styleId="570">
    <w:name w:val="样式 (西文) 宋体 四号 黑色 左 首行缩进:  2 字符"/>
    <w:basedOn w:val="1"/>
    <w:semiHidden/>
    <w:qFormat/>
    <w:uiPriority w:val="0"/>
    <w:pPr>
      <w:spacing w:line="360" w:lineRule="auto"/>
      <w:ind w:firstLine="200" w:firstLineChars="200"/>
    </w:pPr>
    <w:rPr>
      <w:rFonts w:ascii="仿宋_GB2312" w:hAnsi="宋体" w:eastAsia="仿宋_GB2312" w:cs="宋体"/>
      <w:color w:val="000000"/>
      <w:sz w:val="28"/>
      <w:szCs w:val="28"/>
    </w:rPr>
  </w:style>
  <w:style w:type="paragraph" w:customStyle="1" w:styleId="571">
    <w:name w:val="表文排版"/>
    <w:basedOn w:val="26"/>
    <w:qFormat/>
    <w:uiPriority w:val="0"/>
    <w:pPr>
      <w:adjustRightInd w:val="0"/>
      <w:spacing w:after="0"/>
      <w:jc w:val="center"/>
    </w:pPr>
    <w:rPr>
      <w:rFonts w:ascii="Verdana" w:hAnsi="Verdana" w:eastAsia="Cambria Math" w:cs="Verdana"/>
    </w:rPr>
  </w:style>
  <w:style w:type="paragraph" w:customStyle="1" w:styleId="572">
    <w:name w:val="佛表"/>
    <w:basedOn w:val="45"/>
    <w:semiHidden/>
    <w:qFormat/>
    <w:uiPriority w:val="0"/>
    <w:pPr>
      <w:spacing w:line="0" w:lineRule="atLeast"/>
      <w:ind w:left="0" w:firstLine="0" w:firstLineChars="0"/>
      <w:jc w:val="center"/>
    </w:pPr>
    <w:rPr>
      <w:rFonts w:ascii="宋体" w:hAnsi="宋体"/>
      <w:color w:val="FF0000"/>
      <w:kern w:val="0"/>
      <w:szCs w:val="20"/>
      <w:lang w:val="sq-AL"/>
    </w:rPr>
  </w:style>
  <w:style w:type="paragraph" w:customStyle="1" w:styleId="573">
    <w:name w:val="表标题样式"/>
    <w:basedOn w:val="1"/>
    <w:semiHidden/>
    <w:qFormat/>
    <w:uiPriority w:val="0"/>
    <w:pPr>
      <w:adjustRightInd w:val="0"/>
      <w:snapToGrid w:val="0"/>
      <w:spacing w:line="500" w:lineRule="exact"/>
      <w:jc w:val="center"/>
    </w:pPr>
    <w:rPr>
      <w:rFonts w:eastAsia="黑体"/>
      <w:b/>
      <w:bCs/>
      <w:sz w:val="28"/>
      <w:szCs w:val="28"/>
    </w:rPr>
  </w:style>
  <w:style w:type="paragraph" w:customStyle="1" w:styleId="574">
    <w:name w:val="小四宋居中1.0"/>
    <w:basedOn w:val="1"/>
    <w:next w:val="1"/>
    <w:semiHidden/>
    <w:qFormat/>
    <w:uiPriority w:val="0"/>
    <w:pPr>
      <w:spacing w:line="460" w:lineRule="exact"/>
      <w:jc w:val="center"/>
    </w:pPr>
    <w:rPr>
      <w:rFonts w:ascii="仿宋_GB2312" w:eastAsia="仿宋_GB2312"/>
      <w:sz w:val="24"/>
    </w:rPr>
  </w:style>
  <w:style w:type="paragraph" w:customStyle="1" w:styleId="575">
    <w:name w:val="样式 标题 1 + 首行缩进:  2 字符"/>
    <w:basedOn w:val="3"/>
    <w:semiHidden/>
    <w:qFormat/>
    <w:uiPriority w:val="0"/>
    <w:pPr>
      <w:numPr>
        <w:numId w:val="0"/>
      </w:numPr>
      <w:tabs>
        <w:tab w:val="clear" w:pos="0"/>
      </w:tabs>
      <w:adjustRightInd w:val="0"/>
      <w:snapToGrid w:val="0"/>
      <w:spacing w:before="312" w:after="312" w:afterLines="100"/>
      <w:jc w:val="center"/>
    </w:pPr>
    <w:rPr>
      <w:bCs/>
      <w:kern w:val="2"/>
      <w:sz w:val="44"/>
      <w:szCs w:val="36"/>
    </w:rPr>
  </w:style>
  <w:style w:type="paragraph" w:customStyle="1" w:styleId="576">
    <w:name w:val="xl24"/>
    <w:basedOn w:val="1"/>
    <w:semiHidden/>
    <w:qFormat/>
    <w:uiPriority w:val="0"/>
    <w:pPr>
      <w:spacing w:before="100" w:beforeAutospacing="1" w:after="100" w:afterAutospacing="1" w:line="360" w:lineRule="auto"/>
      <w:jc w:val="left"/>
    </w:pPr>
    <w:rPr>
      <w:kern w:val="0"/>
      <w:sz w:val="24"/>
    </w:rPr>
  </w:style>
  <w:style w:type="paragraph" w:customStyle="1" w:styleId="577">
    <w:name w:val="WPSOffice手动目录 1"/>
    <w:qFormat/>
    <w:uiPriority w:val="0"/>
    <w:rPr>
      <w:rFonts w:ascii="Times New Roman" w:hAnsi="Times New Roman" w:eastAsia="宋体" w:cs="Times New Roman"/>
      <w:lang w:val="en-US" w:eastAsia="zh-CN" w:bidi="ar-SA"/>
    </w:rPr>
  </w:style>
  <w:style w:type="paragraph" w:customStyle="1" w:styleId="578">
    <w:name w:val="reader-word-layer reader-word-s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79">
    <w:name w:val="正文文字缩进 3"/>
    <w:basedOn w:val="1"/>
    <w:semiHidden/>
    <w:qFormat/>
    <w:uiPriority w:val="0"/>
    <w:pPr>
      <w:spacing w:line="360" w:lineRule="auto"/>
      <w:ind w:firstLine="555"/>
    </w:pPr>
    <w:rPr>
      <w:rFonts w:ascii="宋体" w:cs="宋体"/>
      <w:sz w:val="24"/>
    </w:rPr>
  </w:style>
  <w:style w:type="paragraph" w:customStyle="1" w:styleId="580">
    <w:name w:val="xl6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581">
    <w:name w:val="Char Char Char"/>
    <w:basedOn w:val="22"/>
    <w:semiHidden/>
    <w:qFormat/>
    <w:uiPriority w:val="0"/>
    <w:pPr>
      <w:adjustRightInd w:val="0"/>
      <w:spacing w:line="436" w:lineRule="exact"/>
      <w:ind w:left="357"/>
      <w:jc w:val="left"/>
      <w:outlineLvl w:val="3"/>
    </w:pPr>
    <w:rPr>
      <w:rFonts w:ascii="Tahoma" w:hAnsi="Tahoma"/>
      <w:b/>
      <w:sz w:val="44"/>
    </w:rPr>
  </w:style>
  <w:style w:type="paragraph" w:customStyle="1" w:styleId="582">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583">
    <w:name w:val="样式 标题 2 + 段前: 0.5 行 段后: 0.5 行"/>
    <w:basedOn w:val="4"/>
    <w:semiHidden/>
    <w:qFormat/>
    <w:uiPriority w:val="0"/>
    <w:pPr>
      <w:numPr>
        <w:ilvl w:val="0"/>
        <w:numId w:val="0"/>
      </w:numPr>
      <w:tabs>
        <w:tab w:val="left" w:pos="567"/>
        <w:tab w:val="clear" w:pos="0"/>
        <w:tab w:val="clear" w:pos="709"/>
      </w:tabs>
      <w:spacing w:before="50" w:beforeLines="50" w:after="50" w:afterLines="50"/>
      <w:ind w:left="567" w:hanging="567"/>
      <w:jc w:val="both"/>
    </w:pPr>
    <w:rPr>
      <w:rFonts w:ascii="Arial" w:hAnsi="Arial" w:eastAsia="黑体" w:cs="宋体"/>
      <w:b w:val="0"/>
      <w:bCs w:val="0"/>
      <w:smallCaps w:val="0"/>
      <w:sz w:val="28"/>
      <w:szCs w:val="20"/>
    </w:rPr>
  </w:style>
  <w:style w:type="paragraph" w:customStyle="1" w:styleId="584">
    <w:name w:val="reader-word-layer reader-word-s3-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85">
    <w:name w:val="表格3"/>
    <w:basedOn w:val="1"/>
    <w:semiHidden/>
    <w:qFormat/>
    <w:uiPriority w:val="0"/>
    <w:pPr>
      <w:spacing w:line="320" w:lineRule="exact"/>
      <w:jc w:val="center"/>
    </w:pPr>
    <w:rPr>
      <w:rFonts w:cs="宋体"/>
      <w:sz w:val="18"/>
      <w:szCs w:val="20"/>
    </w:rPr>
  </w:style>
  <w:style w:type="paragraph" w:customStyle="1" w:styleId="586">
    <w:name w:val="二级"/>
    <w:basedOn w:val="4"/>
    <w:semiHidden/>
    <w:qFormat/>
    <w:uiPriority w:val="0"/>
    <w:pPr>
      <w:numPr>
        <w:ilvl w:val="0"/>
        <w:numId w:val="0"/>
      </w:numPr>
      <w:tabs>
        <w:tab w:val="clear" w:pos="0"/>
        <w:tab w:val="clear" w:pos="709"/>
      </w:tabs>
      <w:spacing w:before="120" w:beforeLines="50" w:after="120" w:afterLines="50"/>
      <w:jc w:val="both"/>
    </w:pPr>
    <w:rPr>
      <w:rFonts w:eastAsia="黑体"/>
      <w:smallCaps w:val="0"/>
      <w:sz w:val="28"/>
      <w:szCs w:val="32"/>
    </w:rPr>
  </w:style>
  <w:style w:type="paragraph" w:customStyle="1" w:styleId="587">
    <w:name w:val="表格11"/>
    <w:basedOn w:val="1"/>
    <w:semiHidden/>
    <w:qFormat/>
    <w:uiPriority w:val="0"/>
    <w:pPr>
      <w:adjustRightInd w:val="0"/>
      <w:snapToGrid w:val="0"/>
      <w:spacing w:line="360" w:lineRule="auto"/>
      <w:jc w:val="center"/>
    </w:pPr>
    <w:rPr>
      <w:rFonts w:cs="宋体"/>
      <w:bCs/>
      <w:kern w:val="0"/>
      <w:szCs w:val="21"/>
    </w:rPr>
  </w:style>
  <w:style w:type="paragraph" w:customStyle="1" w:styleId="588">
    <w:name w:val="样式27"/>
    <w:basedOn w:val="589"/>
    <w:semiHidden/>
    <w:qFormat/>
    <w:uiPriority w:val="0"/>
    <w:pPr>
      <w:spacing w:before="120" w:after="120"/>
      <w:jc w:val="center"/>
    </w:pPr>
    <w:rPr>
      <w:bCs/>
      <w:color w:val="000000"/>
    </w:rPr>
  </w:style>
  <w:style w:type="paragraph" w:customStyle="1" w:styleId="589">
    <w:name w:val="样式16"/>
    <w:basedOn w:val="1"/>
    <w:semiHidden/>
    <w:qFormat/>
    <w:uiPriority w:val="0"/>
    <w:pPr>
      <w:spacing w:before="156" w:beforeLines="50" w:after="156" w:afterLines="50" w:line="360" w:lineRule="auto"/>
    </w:pPr>
    <w:rPr>
      <w:b/>
      <w:szCs w:val="21"/>
    </w:rPr>
  </w:style>
  <w:style w:type="paragraph" w:customStyle="1" w:styleId="590">
    <w:name w:val="reader-word-layer reader-word-s11-13"/>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91">
    <w:name w:val="a表格"/>
    <w:basedOn w:val="1"/>
    <w:semiHidden/>
    <w:qFormat/>
    <w:uiPriority w:val="0"/>
    <w:pPr>
      <w:snapToGrid w:val="0"/>
      <w:spacing w:line="360" w:lineRule="auto"/>
      <w:jc w:val="center"/>
      <w:outlineLvl w:val="2"/>
    </w:pPr>
    <w:rPr>
      <w:szCs w:val="30"/>
    </w:rPr>
  </w:style>
  <w:style w:type="paragraph" w:customStyle="1" w:styleId="592">
    <w:name w:val="Char Char Char Char1"/>
    <w:basedOn w:val="1"/>
    <w:semiHidden/>
    <w:qFormat/>
    <w:uiPriority w:val="0"/>
    <w:pPr>
      <w:spacing w:line="360" w:lineRule="auto"/>
    </w:pPr>
    <w:rPr>
      <w:sz w:val="24"/>
    </w:rPr>
  </w:style>
  <w:style w:type="paragraph" w:customStyle="1" w:styleId="593">
    <w:name w:val="玲正文"/>
    <w:basedOn w:val="1"/>
    <w:next w:val="62"/>
    <w:semiHidden/>
    <w:qFormat/>
    <w:uiPriority w:val="0"/>
    <w:pPr>
      <w:spacing w:line="360" w:lineRule="auto"/>
      <w:ind w:firstLine="200" w:firstLineChars="200"/>
    </w:pPr>
    <w:rPr>
      <w:color w:val="000000"/>
      <w:sz w:val="24"/>
      <w:szCs w:val="22"/>
    </w:rPr>
  </w:style>
  <w:style w:type="paragraph" w:customStyle="1" w:styleId="594">
    <w:name w:val="xl26"/>
    <w:basedOn w:val="1"/>
    <w:semiHidden/>
    <w:qFormat/>
    <w:uiPriority w:val="0"/>
    <w:pPr>
      <w:pBdr>
        <w:bottom w:val="single" w:color="auto" w:sz="4" w:space="0"/>
      </w:pBdr>
      <w:spacing w:before="100" w:beforeAutospacing="1" w:after="100" w:afterAutospacing="1" w:line="360" w:lineRule="auto"/>
      <w:jc w:val="left"/>
    </w:pPr>
    <w:rPr>
      <w:kern w:val="0"/>
      <w:sz w:val="24"/>
    </w:rPr>
  </w:style>
  <w:style w:type="paragraph" w:customStyle="1" w:styleId="595">
    <w:name w:val="Char1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596">
    <w:name w:val="font10"/>
    <w:basedOn w:val="1"/>
    <w:qFormat/>
    <w:uiPriority w:val="0"/>
    <w:pPr>
      <w:spacing w:before="100" w:beforeAutospacing="1" w:after="100" w:afterAutospacing="1" w:line="360" w:lineRule="auto"/>
      <w:jc w:val="left"/>
    </w:pPr>
    <w:rPr>
      <w:rFonts w:hint="eastAsia" w:ascii="宋体" w:hAnsi="宋体"/>
      <w:b/>
      <w:bCs/>
      <w:kern w:val="0"/>
      <w:sz w:val="20"/>
      <w:szCs w:val="20"/>
    </w:rPr>
  </w:style>
  <w:style w:type="paragraph" w:customStyle="1" w:styleId="597">
    <w:name w:val="CM104"/>
    <w:basedOn w:val="263"/>
    <w:next w:val="263"/>
    <w:semiHidden/>
    <w:qFormat/>
    <w:uiPriority w:val="0"/>
    <w:pPr>
      <w:spacing w:after="543"/>
    </w:pPr>
    <w:rPr>
      <w:rFonts w:hAnsi="Times New Roman" w:cs="Times New Roman"/>
      <w:color w:val="auto"/>
    </w:rPr>
  </w:style>
  <w:style w:type="paragraph" w:customStyle="1" w:styleId="598">
    <w:name w:val="xl56"/>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599">
    <w:name w:val="表格内容2"/>
    <w:basedOn w:val="541"/>
    <w:semiHidden/>
    <w:qFormat/>
    <w:uiPriority w:val="0"/>
    <w:pPr>
      <w:adjustRightInd w:val="0"/>
      <w:spacing w:line="220" w:lineRule="exact"/>
    </w:pPr>
    <w:rPr>
      <w:rFonts w:ascii="Times New Roman" w:hAnsi="Times New Roman"/>
      <w:caps/>
      <w:sz w:val="18"/>
    </w:rPr>
  </w:style>
  <w:style w:type="paragraph" w:customStyle="1" w:styleId="600">
    <w:name w:val="xl23"/>
    <w:basedOn w:val="1"/>
    <w:semiHidden/>
    <w:qFormat/>
    <w:uiPriority w:val="0"/>
    <w:pPr>
      <w:spacing w:before="100" w:beforeAutospacing="1" w:after="100" w:afterAutospacing="1" w:line="360" w:lineRule="auto"/>
      <w:jc w:val="center"/>
    </w:pPr>
    <w:rPr>
      <w:rFonts w:ascii="Arial Unicode MS" w:hAnsi="Arial Unicode MS" w:eastAsia="Arial Unicode MS" w:cs="Arial Unicode MS"/>
      <w:kern w:val="0"/>
      <w:sz w:val="24"/>
    </w:rPr>
  </w:style>
  <w:style w:type="paragraph" w:customStyle="1" w:styleId="601">
    <w:name w:val="样式 样式12 + 自动设置 段前: 0.5 行 段后: 0.5 行"/>
    <w:basedOn w:val="349"/>
    <w:semiHidden/>
    <w:qFormat/>
    <w:uiPriority w:val="0"/>
    <w:pPr>
      <w:numPr>
        <w:numId w:val="0"/>
      </w:numPr>
      <w:tabs>
        <w:tab w:val="left" w:pos="540"/>
        <w:tab w:val="left" w:pos="860"/>
        <w:tab w:val="clear" w:pos="360"/>
      </w:tabs>
      <w:spacing w:before="50" w:after="50"/>
      <w:ind w:left="578" w:hanging="578"/>
    </w:pPr>
    <w:rPr>
      <w:rFonts w:ascii="黑体" w:hAnsi="黑体" w:cs="宋体"/>
      <w:szCs w:val="20"/>
    </w:rPr>
  </w:style>
  <w:style w:type="paragraph" w:customStyle="1" w:styleId="602">
    <w:name w:val="样式 标题 4标题 14 + 加粗 无下划线 自动设置 段前: 3 磅 段后: 10 磅4"/>
    <w:basedOn w:val="6"/>
    <w:semiHidden/>
    <w:qFormat/>
    <w:uiPriority w:val="0"/>
    <w:pPr>
      <w:keepNext/>
      <w:numPr>
        <w:numId w:val="9"/>
      </w:numPr>
      <w:tabs>
        <w:tab w:val="left" w:pos="432"/>
        <w:tab w:val="left" w:pos="864"/>
        <w:tab w:val="clear" w:pos="0"/>
      </w:tabs>
      <w:snapToGrid w:val="0"/>
      <w:spacing w:after="200" w:line="240" w:lineRule="auto"/>
      <w:jc w:val="both"/>
      <w:textAlignment w:val="auto"/>
    </w:pPr>
    <w:rPr>
      <w:smallCaps w:val="0"/>
      <w:szCs w:val="20"/>
    </w:rPr>
  </w:style>
  <w:style w:type="paragraph" w:customStyle="1" w:styleId="603">
    <w:name w:val="xl4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4">
    <w:name w:val="xl28"/>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05">
    <w:name w:val="图号"/>
    <w:basedOn w:val="1"/>
    <w:semiHidden/>
    <w:qFormat/>
    <w:uiPriority w:val="0"/>
    <w:pPr>
      <w:spacing w:after="120" w:line="460" w:lineRule="exact"/>
      <w:jc w:val="center"/>
      <w:outlineLvl w:val="0"/>
    </w:pPr>
    <w:rPr>
      <w:rFonts w:ascii="宋体" w:hAnsi="宋体"/>
      <w:b/>
      <w:color w:val="000000"/>
      <w:sz w:val="24"/>
    </w:rPr>
  </w:style>
  <w:style w:type="paragraph" w:customStyle="1" w:styleId="606">
    <w:name w:val="bg"/>
    <w:basedOn w:val="1"/>
    <w:semiHidden/>
    <w:qFormat/>
    <w:uiPriority w:val="0"/>
    <w:pPr>
      <w:adjustRightInd w:val="0"/>
      <w:snapToGrid w:val="0"/>
      <w:spacing w:before="50" w:beforeLines="50" w:line="360" w:lineRule="auto"/>
      <w:jc w:val="center"/>
    </w:pPr>
    <w:rPr>
      <w:rFonts w:cs="宋体"/>
      <w:kern w:val="0"/>
      <w:szCs w:val="21"/>
    </w:rPr>
  </w:style>
  <w:style w:type="paragraph" w:customStyle="1" w:styleId="607">
    <w:name w:val="xl4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8">
    <w:name w:val="样式 标题 2 + 首行缩进:  2 字符"/>
    <w:basedOn w:val="4"/>
    <w:semiHidden/>
    <w:qFormat/>
    <w:uiPriority w:val="0"/>
    <w:pPr>
      <w:numPr>
        <w:ilvl w:val="0"/>
        <w:numId w:val="0"/>
      </w:numPr>
      <w:tabs>
        <w:tab w:val="left" w:pos="860"/>
        <w:tab w:val="clear" w:pos="0"/>
        <w:tab w:val="clear" w:pos="709"/>
      </w:tabs>
      <w:spacing w:line="300" w:lineRule="auto"/>
      <w:ind w:left="860" w:hanging="680"/>
      <w:jc w:val="both"/>
    </w:pPr>
    <w:rPr>
      <w:rFonts w:ascii="Arial" w:hAnsi="Arial" w:eastAsia="黑体" w:cs="宋体"/>
      <w:b w:val="0"/>
      <w:smallCaps w:val="0"/>
      <w:szCs w:val="20"/>
    </w:rPr>
  </w:style>
  <w:style w:type="paragraph" w:customStyle="1" w:styleId="609">
    <w:name w:val="表格体"/>
    <w:basedOn w:val="1"/>
    <w:semiHidden/>
    <w:qFormat/>
    <w:uiPriority w:val="0"/>
    <w:pPr>
      <w:adjustRightInd w:val="0"/>
      <w:snapToGrid w:val="0"/>
      <w:spacing w:line="360" w:lineRule="auto"/>
      <w:jc w:val="center"/>
    </w:pPr>
    <w:rPr>
      <w:sz w:val="18"/>
      <w:szCs w:val="20"/>
    </w:rPr>
  </w:style>
  <w:style w:type="paragraph" w:customStyle="1" w:styleId="610">
    <w:name w:val="正文 1.5 倍行距"/>
    <w:semiHidden/>
    <w:qFormat/>
    <w:uiPriority w:val="0"/>
    <w:pPr>
      <w:widowControl w:val="0"/>
      <w:spacing w:line="440" w:lineRule="exact"/>
    </w:pPr>
    <w:rPr>
      <w:rFonts w:ascii="宋体" w:hAnsi="宋体" w:eastAsia="宋体" w:cs="Times New Roman"/>
      <w:sz w:val="21"/>
      <w:szCs w:val="21"/>
      <w:lang w:val="en-US" w:eastAsia="zh-CN" w:bidi="ar-SA"/>
    </w:rPr>
  </w:style>
  <w:style w:type="paragraph" w:customStyle="1" w:styleId="611">
    <w:name w:val="md二级标题"/>
    <w:basedOn w:val="4"/>
    <w:next w:val="5"/>
    <w:semiHidden/>
    <w:qFormat/>
    <w:uiPriority w:val="0"/>
    <w:pPr>
      <w:widowControl/>
      <w:numPr>
        <w:ilvl w:val="0"/>
        <w:numId w:val="0"/>
      </w:numPr>
      <w:tabs>
        <w:tab w:val="center" w:pos="500"/>
        <w:tab w:val="clear" w:pos="0"/>
        <w:tab w:val="clear" w:pos="709"/>
      </w:tabs>
      <w:overflowPunct w:val="0"/>
      <w:spacing w:before="120" w:beforeLines="50" w:after="120" w:afterLines="50"/>
      <w:ind w:firstLine="207" w:firstLineChars="74"/>
      <w:contextualSpacing/>
      <w:textAlignment w:val="baseline"/>
    </w:pPr>
    <w:rPr>
      <w:rFonts w:ascii="仿宋_GB2312" w:eastAsia="仿宋_GB2312" w:cs="Arial"/>
      <w:b w:val="0"/>
      <w:smallCaps w:val="0"/>
      <w:kern w:val="0"/>
      <w:sz w:val="28"/>
    </w:rPr>
  </w:style>
  <w:style w:type="paragraph" w:customStyle="1" w:styleId="612">
    <w:name w:val="样式36"/>
    <w:basedOn w:val="566"/>
    <w:semiHidden/>
    <w:qFormat/>
    <w:uiPriority w:val="0"/>
    <w:pPr>
      <w:tabs>
        <w:tab w:val="clear" w:pos="720"/>
      </w:tabs>
    </w:pPr>
  </w:style>
  <w:style w:type="paragraph" w:customStyle="1" w:styleId="613">
    <w:name w:val="reader-word-layer reader-word-s3-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14">
    <w:name w:val="date4"/>
    <w:basedOn w:val="1"/>
    <w:qFormat/>
    <w:uiPriority w:val="0"/>
    <w:pPr>
      <w:spacing w:line="432" w:lineRule="auto"/>
      <w:jc w:val="center"/>
    </w:pPr>
    <w:rPr>
      <w:rFonts w:ascii="宋体" w:hAnsi="宋体" w:cs="宋体"/>
      <w:color w:val="807F7F"/>
      <w:kern w:val="0"/>
      <w:sz w:val="20"/>
      <w:szCs w:val="20"/>
    </w:rPr>
  </w:style>
  <w:style w:type="paragraph" w:customStyle="1" w:styleId="615">
    <w:name w:val="z正文"/>
    <w:basedOn w:val="27"/>
    <w:semiHidden/>
    <w:qFormat/>
    <w:uiPriority w:val="0"/>
    <w:pPr>
      <w:autoSpaceDE w:val="0"/>
      <w:autoSpaceDN w:val="0"/>
      <w:adjustRightInd w:val="0"/>
      <w:snapToGrid w:val="0"/>
      <w:spacing w:after="0"/>
      <w:ind w:left="0" w:leftChars="0"/>
      <w:textAlignment w:val="baseline"/>
    </w:pPr>
    <w:rPr>
      <w:rFonts w:asciiTheme="minorHAnsi" w:hAnsiTheme="minorHAnsi" w:cstheme="minorBidi"/>
      <w:kern w:val="0"/>
    </w:rPr>
  </w:style>
  <w:style w:type="paragraph" w:customStyle="1" w:styleId="616">
    <w:name w:val="样式 样式 样式31 + 自动设置 + 段前: 0.5 行 段后: 0.5 行"/>
    <w:basedOn w:val="617"/>
    <w:semiHidden/>
    <w:qFormat/>
    <w:uiPriority w:val="0"/>
    <w:pPr>
      <w:tabs>
        <w:tab w:val="left" w:pos="540"/>
      </w:tabs>
    </w:pPr>
    <w:rPr>
      <w:rFonts w:cs="宋体"/>
      <w:szCs w:val="20"/>
    </w:rPr>
  </w:style>
  <w:style w:type="paragraph" w:customStyle="1" w:styleId="617">
    <w:name w:val="样式 样式31 + 自动设置"/>
    <w:basedOn w:val="561"/>
    <w:semiHidden/>
    <w:qFormat/>
    <w:uiPriority w:val="0"/>
    <w:pPr>
      <w:keepNext/>
      <w:keepLines/>
      <w:tabs>
        <w:tab w:val="left" w:pos="540"/>
      </w:tabs>
      <w:spacing w:before="50" w:beforeLines="50" w:after="50" w:afterLines="50"/>
      <w:ind w:firstLine="0" w:firstLineChars="0"/>
      <w:outlineLvl w:val="1"/>
    </w:pPr>
    <w:rPr>
      <w:rFonts w:ascii="黑体" w:hAnsi="黑体" w:eastAsia="黑体"/>
      <w:b w:val="0"/>
      <w:sz w:val="28"/>
      <w:szCs w:val="32"/>
    </w:rPr>
  </w:style>
  <w:style w:type="paragraph" w:customStyle="1" w:styleId="618">
    <w:name w:val="样式41"/>
    <w:basedOn w:val="421"/>
    <w:semiHidden/>
    <w:qFormat/>
    <w:uiPriority w:val="0"/>
    <w:pPr>
      <w:tabs>
        <w:tab w:val="clear" w:pos="540"/>
        <w:tab w:val="clear" w:pos="720"/>
        <w:tab w:val="clear" w:pos="900"/>
      </w:tabs>
      <w:spacing w:before="120" w:after="120"/>
      <w:ind w:left="0"/>
      <w:outlineLvl w:val="1"/>
    </w:pPr>
    <w:rPr>
      <w:sz w:val="28"/>
      <w:szCs w:val="28"/>
    </w:rPr>
  </w:style>
  <w:style w:type="paragraph" w:customStyle="1" w:styleId="619">
    <w:name w:val="Char2"/>
    <w:basedOn w:val="1"/>
    <w:semiHidden/>
    <w:qFormat/>
    <w:uiPriority w:val="0"/>
    <w:pPr>
      <w:spacing w:line="360" w:lineRule="auto"/>
      <w:ind w:firstLine="200" w:firstLineChars="200"/>
    </w:pPr>
    <w:rPr>
      <w:rFonts w:ascii="宋体" w:hAnsi="宋体" w:cs="宋体"/>
      <w:sz w:val="24"/>
    </w:rPr>
  </w:style>
  <w:style w:type="paragraph" w:customStyle="1" w:styleId="620">
    <w:name w:val="xl22"/>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21">
    <w:name w:val="a封面－项目名称"/>
    <w:basedOn w:val="1"/>
    <w:next w:val="1"/>
    <w:semiHidden/>
    <w:qFormat/>
    <w:uiPriority w:val="0"/>
    <w:pPr>
      <w:spacing w:before="156" w:beforeLines="50" w:after="156" w:afterLines="50" w:line="360" w:lineRule="auto"/>
      <w:jc w:val="center"/>
    </w:pPr>
    <w:rPr>
      <w:rFonts w:eastAsia="黑体"/>
      <w:b/>
      <w:sz w:val="48"/>
    </w:rPr>
  </w:style>
  <w:style w:type="paragraph" w:customStyle="1" w:styleId="622">
    <w:name w:val="样式004"/>
    <w:basedOn w:val="48"/>
    <w:semiHidden/>
    <w:qFormat/>
    <w:uiPriority w:val="0"/>
    <w:pPr>
      <w:spacing w:beforeLines="50" w:after="0" w:afterLines="50"/>
      <w:ind w:left="0" w:leftChars="0" w:firstLine="422" w:firstLineChars="200"/>
      <w:jc w:val="center"/>
    </w:pPr>
    <w:rPr>
      <w:b/>
      <w:bCs/>
      <w:color w:val="000000"/>
      <w:sz w:val="21"/>
      <w:szCs w:val="21"/>
    </w:rPr>
  </w:style>
  <w:style w:type="paragraph" w:customStyle="1" w:styleId="623">
    <w:name w:val="表号1"/>
    <w:basedOn w:val="1"/>
    <w:semiHidden/>
    <w:qFormat/>
    <w:uiPriority w:val="0"/>
    <w:pPr>
      <w:adjustRightInd w:val="0"/>
      <w:snapToGrid w:val="0"/>
      <w:spacing w:line="360" w:lineRule="auto"/>
      <w:jc w:val="left"/>
    </w:pPr>
    <w:rPr>
      <w:color w:val="000000"/>
    </w:rPr>
  </w:style>
  <w:style w:type="paragraph" w:customStyle="1" w:styleId="624">
    <w:name w:val="表框1"/>
    <w:basedOn w:val="1"/>
    <w:semiHidden/>
    <w:qFormat/>
    <w:uiPriority w:val="0"/>
    <w:pPr>
      <w:pBdr>
        <w:top w:val="single" w:color="auto" w:sz="12" w:space="1"/>
        <w:left w:val="single" w:color="auto" w:sz="12" w:space="1"/>
        <w:bottom w:val="single" w:color="auto" w:sz="12" w:space="1"/>
        <w:right w:val="single" w:color="auto" w:sz="12" w:space="1"/>
      </w:pBdr>
      <w:adjustRightInd w:val="0"/>
      <w:snapToGrid w:val="0"/>
      <w:spacing w:line="360" w:lineRule="auto"/>
    </w:pPr>
    <w:rPr>
      <w:sz w:val="24"/>
      <w:szCs w:val="20"/>
    </w:rPr>
  </w:style>
  <w:style w:type="paragraph" w:customStyle="1" w:styleId="625">
    <w:name w:val="Char Char2"/>
    <w:basedOn w:val="1"/>
    <w:semiHidden/>
    <w:qFormat/>
    <w:uiPriority w:val="0"/>
    <w:pPr>
      <w:tabs>
        <w:tab w:val="left" w:pos="1200"/>
      </w:tabs>
      <w:spacing w:line="360" w:lineRule="auto"/>
      <w:ind w:left="1200" w:hanging="720"/>
    </w:pPr>
    <w:rPr>
      <w:rFonts w:ascii="宋体" w:hAnsi="宋体" w:cs="宋体"/>
      <w:sz w:val="24"/>
    </w:rPr>
  </w:style>
  <w:style w:type="paragraph" w:customStyle="1" w:styleId="626">
    <w:name w:val="font0"/>
    <w:basedOn w:val="1"/>
    <w:semiHidden/>
    <w:qFormat/>
    <w:uiPriority w:val="0"/>
    <w:pPr>
      <w:spacing w:before="100" w:after="100" w:line="360" w:lineRule="auto"/>
      <w:jc w:val="left"/>
    </w:pPr>
    <w:rPr>
      <w:rFonts w:hint="eastAsia" w:ascii="宋体" w:hAnsi="宋体"/>
      <w:kern w:val="0"/>
      <w:sz w:val="24"/>
      <w:szCs w:val="20"/>
    </w:rPr>
  </w:style>
  <w:style w:type="paragraph" w:customStyle="1" w:styleId="627">
    <w:name w:val="xl54"/>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28">
    <w:name w:val="表格格式"/>
    <w:next w:val="1"/>
    <w:semiHidden/>
    <w:qFormat/>
    <w:uiPriority w:val="0"/>
    <w:pPr>
      <w:widowControl w:val="0"/>
      <w:jc w:val="center"/>
    </w:pPr>
    <w:rPr>
      <w:rFonts w:ascii="宋体" w:hAnsi="宋体" w:eastAsia="宋体" w:cs="Times New Roman"/>
      <w:bCs/>
      <w:kern w:val="2"/>
      <w:sz w:val="21"/>
      <w:szCs w:val="18"/>
      <w:lang w:val="en-US" w:eastAsia="zh-CN" w:bidi="ar-SA"/>
    </w:rPr>
  </w:style>
  <w:style w:type="paragraph" w:customStyle="1" w:styleId="629">
    <w:name w:val="正文（首行缩近两字）"/>
    <w:basedOn w:val="1"/>
    <w:next w:val="1"/>
    <w:semiHidden/>
    <w:qFormat/>
    <w:uiPriority w:val="0"/>
    <w:pPr>
      <w:spacing w:line="360" w:lineRule="auto"/>
      <w:ind w:firstLine="420" w:firstLineChars="200"/>
    </w:pPr>
  </w:style>
  <w:style w:type="paragraph" w:customStyle="1" w:styleId="630">
    <w:name w:val="a表头"/>
    <w:basedOn w:val="1"/>
    <w:semiHidden/>
    <w:qFormat/>
    <w:uiPriority w:val="0"/>
    <w:pPr>
      <w:spacing w:line="360" w:lineRule="auto"/>
      <w:jc w:val="center"/>
    </w:pPr>
    <w:rPr>
      <w:rFonts w:eastAsia="楷体_GB2312"/>
      <w:b/>
      <w:sz w:val="24"/>
    </w:rPr>
  </w:style>
  <w:style w:type="paragraph" w:customStyle="1" w:styleId="631">
    <w:name w:val="标题“一”"/>
    <w:basedOn w:val="19"/>
    <w:next w:val="19"/>
    <w:semiHidden/>
    <w:qFormat/>
    <w:uiPriority w:val="0"/>
    <w:pPr>
      <w:tabs>
        <w:tab w:val="left" w:pos="1140"/>
      </w:tabs>
      <w:ind w:left="1140" w:hanging="720" w:firstLineChars="0"/>
    </w:pPr>
    <w:rPr>
      <w:rFonts w:ascii="宋体" w:hAnsi="宋体" w:eastAsia="黑体" w:cstheme="minorBidi"/>
      <w:sz w:val="28"/>
      <w:szCs w:val="22"/>
    </w:rPr>
  </w:style>
  <w:style w:type="paragraph" w:customStyle="1" w:styleId="632">
    <w:name w:val="报告书表格"/>
    <w:basedOn w:val="1"/>
    <w:semiHidden/>
    <w:qFormat/>
    <w:uiPriority w:val="0"/>
    <w:pPr>
      <w:adjustRightInd w:val="0"/>
      <w:snapToGrid w:val="0"/>
      <w:spacing w:before="60" w:after="60" w:line="240" w:lineRule="atLeast"/>
      <w:jc w:val="center"/>
      <w:textAlignment w:val="baseline"/>
    </w:pPr>
    <w:rPr>
      <w:kern w:val="0"/>
      <w:sz w:val="24"/>
      <w:szCs w:val="20"/>
    </w:rPr>
  </w:style>
  <w:style w:type="paragraph" w:customStyle="1" w:styleId="633">
    <w:name w:val="font9"/>
    <w:basedOn w:val="1"/>
    <w:qFormat/>
    <w:uiPriority w:val="0"/>
    <w:pPr>
      <w:spacing w:before="100" w:beforeAutospacing="1" w:after="100" w:afterAutospacing="1" w:line="360" w:lineRule="auto"/>
      <w:jc w:val="left"/>
    </w:pPr>
    <w:rPr>
      <w:rFonts w:eastAsia="Arial Unicode MS"/>
      <w:kern w:val="0"/>
      <w:sz w:val="18"/>
      <w:szCs w:val="18"/>
    </w:rPr>
  </w:style>
  <w:style w:type="paragraph" w:customStyle="1" w:styleId="634">
    <w:name w:val="缩进正文"/>
    <w:basedOn w:val="1"/>
    <w:semiHidden/>
    <w:qFormat/>
    <w:uiPriority w:val="0"/>
    <w:pPr>
      <w:tabs>
        <w:tab w:val="left" w:pos="8820"/>
      </w:tabs>
      <w:adjustRightInd w:val="0"/>
      <w:snapToGrid w:val="0"/>
      <w:spacing w:line="360" w:lineRule="auto"/>
      <w:jc w:val="center"/>
    </w:pPr>
    <w:rPr>
      <w:b/>
      <w:szCs w:val="21"/>
    </w:rPr>
  </w:style>
  <w:style w:type="paragraph" w:customStyle="1" w:styleId="635">
    <w:name w:val="标3"/>
    <w:basedOn w:val="1"/>
    <w:next w:val="1"/>
    <w:semiHidden/>
    <w:qFormat/>
    <w:uiPriority w:val="0"/>
    <w:pPr>
      <w:numPr>
        <w:ilvl w:val="2"/>
        <w:numId w:val="10"/>
      </w:numPr>
      <w:spacing w:before="240" w:beforeLines="100" w:after="240" w:afterLines="100" w:line="360" w:lineRule="auto"/>
      <w:ind w:firstLine="0"/>
      <w:outlineLvl w:val="2"/>
    </w:pPr>
    <w:rPr>
      <w:b/>
      <w:sz w:val="28"/>
    </w:rPr>
  </w:style>
  <w:style w:type="paragraph" w:customStyle="1" w:styleId="636">
    <w:name w:val="xl45"/>
    <w:basedOn w:val="1"/>
    <w:semiHidden/>
    <w:qFormat/>
    <w:uiPriority w:val="0"/>
    <w:pPr>
      <w:pBdr>
        <w:top w:val="double" w:color="auto" w:sz="6"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37">
    <w:name w:val="自建标题2"/>
    <w:basedOn w:val="1"/>
    <w:semiHidden/>
    <w:qFormat/>
    <w:uiPriority w:val="0"/>
    <w:pPr>
      <w:spacing w:line="360" w:lineRule="auto"/>
      <w:ind w:firstLine="413" w:firstLineChars="147"/>
      <w:outlineLvl w:val="1"/>
    </w:pPr>
    <w:rPr>
      <w:rFonts w:ascii="宋体" w:hAnsi="宋体"/>
      <w:b/>
      <w:sz w:val="28"/>
      <w:szCs w:val="28"/>
    </w:rPr>
  </w:style>
  <w:style w:type="paragraph" w:customStyle="1" w:styleId="638">
    <w:name w:val="样式57"/>
    <w:basedOn w:val="1"/>
    <w:semiHidden/>
    <w:qFormat/>
    <w:uiPriority w:val="0"/>
    <w:pPr>
      <w:spacing w:line="360" w:lineRule="auto"/>
      <w:ind w:firstLine="1365" w:firstLineChars="650"/>
    </w:pPr>
    <w:rPr>
      <w:rFonts w:ascii="黑体" w:eastAsia="黑体"/>
      <w:szCs w:val="21"/>
    </w:rPr>
  </w:style>
  <w:style w:type="paragraph" w:customStyle="1" w:styleId="639">
    <w:name w:val="xl32"/>
    <w:basedOn w:val="1"/>
    <w:semiHidden/>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40">
    <w:name w:val="Char Char Char Char"/>
    <w:basedOn w:val="1"/>
    <w:semiHidden/>
    <w:qFormat/>
    <w:uiPriority w:val="0"/>
    <w:pPr>
      <w:suppressLineNumbers/>
      <w:adjustRightInd w:val="0"/>
      <w:snapToGrid w:val="0"/>
      <w:spacing w:line="574" w:lineRule="exact"/>
    </w:pPr>
    <w:rPr>
      <w:rFonts w:eastAsia="仿宋_GB2312"/>
      <w:spacing w:val="-6"/>
      <w:kern w:val="32"/>
      <w:sz w:val="32"/>
    </w:rPr>
  </w:style>
  <w:style w:type="paragraph" w:customStyle="1" w:styleId="641">
    <w:name w:val="标题5"/>
    <w:basedOn w:val="467"/>
    <w:semiHidden/>
    <w:qFormat/>
    <w:uiPriority w:val="0"/>
    <w:pPr>
      <w:ind w:firstLine="560"/>
    </w:pPr>
    <w:rPr>
      <w:rFonts w:ascii="黑体" w:eastAsia="黑体"/>
      <w:sz w:val="28"/>
      <w:szCs w:val="28"/>
    </w:rPr>
  </w:style>
  <w:style w:type="paragraph" w:customStyle="1" w:styleId="642">
    <w:name w:val="xl42"/>
    <w:basedOn w:val="1"/>
    <w:semiHidden/>
    <w:qFormat/>
    <w:uiPriority w:val="0"/>
    <w:pPr>
      <w:pBdr>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43">
    <w:name w:val="xl59"/>
    <w:basedOn w:val="1"/>
    <w:semiHidden/>
    <w:qFormat/>
    <w:uiPriority w:val="0"/>
    <w:pPr>
      <w:spacing w:before="100" w:beforeAutospacing="1" w:after="100" w:afterAutospacing="1" w:line="360" w:lineRule="auto"/>
      <w:jc w:val="center"/>
      <w:textAlignment w:val="center"/>
    </w:pPr>
    <w:rPr>
      <w:rFonts w:eastAsia="Arial Unicode MS"/>
      <w:kern w:val="0"/>
      <w:sz w:val="22"/>
      <w:szCs w:val="22"/>
    </w:rPr>
  </w:style>
  <w:style w:type="paragraph" w:customStyle="1" w:styleId="644">
    <w:name w:val="reader-word-layer reader-word-s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5">
    <w:name w:val="样式47"/>
    <w:basedOn w:val="351"/>
    <w:semiHidden/>
    <w:qFormat/>
    <w:uiPriority w:val="0"/>
    <w:pPr>
      <w:numPr>
        <w:numId w:val="6"/>
      </w:numPr>
      <w:tabs>
        <w:tab w:val="left" w:pos="900"/>
        <w:tab w:val="clear" w:pos="540"/>
      </w:tabs>
      <w:spacing w:before="156" w:after="156"/>
      <w:ind w:left="0" w:firstLine="0"/>
    </w:pPr>
    <w:rPr>
      <w:rFonts w:asciiTheme="minorHAnsi" w:hAnsiTheme="minorHAnsi" w:cstheme="minorBidi"/>
      <w:kern w:val="2"/>
    </w:rPr>
  </w:style>
  <w:style w:type="paragraph" w:customStyle="1" w:styleId="646">
    <w:name w:val="样式 样式12 + 自动设置"/>
    <w:basedOn w:val="349"/>
    <w:semiHidden/>
    <w:qFormat/>
    <w:uiPriority w:val="0"/>
    <w:pPr>
      <w:numPr>
        <w:numId w:val="0"/>
      </w:numPr>
      <w:tabs>
        <w:tab w:val="left" w:pos="540"/>
        <w:tab w:val="left" w:pos="860"/>
        <w:tab w:val="clear" w:pos="360"/>
      </w:tabs>
      <w:spacing w:before="50" w:after="50"/>
      <w:ind w:left="578" w:hanging="578"/>
    </w:pPr>
    <w:rPr>
      <w:rFonts w:ascii="黑体" w:hAnsi="黑体" w:cstheme="minorBidi"/>
      <w:szCs w:val="32"/>
    </w:rPr>
  </w:style>
  <w:style w:type="paragraph" w:customStyle="1" w:styleId="647">
    <w:name w:val="reader-word-layer reader-word-s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8">
    <w:name w:val="ST20_1"/>
    <w:basedOn w:val="1"/>
    <w:semiHidden/>
    <w:qFormat/>
    <w:uiPriority w:val="0"/>
    <w:pPr>
      <w:autoSpaceDE w:val="0"/>
      <w:autoSpaceDN w:val="0"/>
      <w:adjustRightInd w:val="0"/>
      <w:spacing w:line="312" w:lineRule="atLeast"/>
      <w:jc w:val="center"/>
      <w:textAlignment w:val="baseline"/>
    </w:pPr>
    <w:rPr>
      <w:rFonts w:ascii="宋体" w:hAnsi="Tms Rmn"/>
      <w:kern w:val="0"/>
      <w:sz w:val="24"/>
      <w:szCs w:val="20"/>
    </w:rPr>
  </w:style>
  <w:style w:type="paragraph" w:customStyle="1" w:styleId="649">
    <w:name w:val="样式 Arial 行距: 多倍行距 1.45 字行"/>
    <w:basedOn w:val="1"/>
    <w:semiHidden/>
    <w:qFormat/>
    <w:uiPriority w:val="0"/>
    <w:pPr>
      <w:adjustRightInd w:val="0"/>
      <w:snapToGrid w:val="0"/>
      <w:spacing w:line="360" w:lineRule="auto"/>
      <w:ind w:firstLine="560" w:firstLineChars="200"/>
    </w:pPr>
    <w:rPr>
      <w:rFonts w:ascii="仿宋_GB2312" w:eastAsia="仿宋_GB2312"/>
      <w:sz w:val="28"/>
    </w:rPr>
  </w:style>
  <w:style w:type="paragraph" w:customStyle="1" w:styleId="650">
    <w:name w:val="p17"/>
    <w:basedOn w:val="1"/>
    <w:semiHidden/>
    <w:qFormat/>
    <w:uiPriority w:val="0"/>
    <w:pPr>
      <w:spacing w:before="156" w:after="156" w:line="360" w:lineRule="auto"/>
      <w:ind w:left="576" w:hanging="576"/>
    </w:pPr>
    <w:rPr>
      <w:rFonts w:ascii="黑体" w:hAnsi="宋体" w:eastAsia="黑体" w:cs="宋体"/>
      <w:color w:val="000000"/>
      <w:kern w:val="0"/>
      <w:sz w:val="28"/>
      <w:szCs w:val="28"/>
    </w:rPr>
  </w:style>
  <w:style w:type="paragraph" w:customStyle="1" w:styleId="651">
    <w:name w:val="表格文字居中3"/>
    <w:basedOn w:val="1"/>
    <w:semiHidden/>
    <w:qFormat/>
    <w:uiPriority w:val="0"/>
    <w:pPr>
      <w:adjustRightInd w:val="0"/>
      <w:snapToGrid w:val="0"/>
      <w:spacing w:line="240" w:lineRule="atLeast"/>
      <w:jc w:val="center"/>
    </w:pPr>
    <w:rPr>
      <w:sz w:val="24"/>
      <w:szCs w:val="32"/>
    </w:rPr>
  </w:style>
  <w:style w:type="paragraph" w:customStyle="1" w:styleId="652">
    <w:name w:val="reader-word-layer reader-word-s1-1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53">
    <w:name w:val="样式 标题 2标题 21标题 121节H2SeHead wsa2标题 1.1 + 黑体 四号 非加粗"/>
    <w:basedOn w:val="4"/>
    <w:semiHidden/>
    <w:qFormat/>
    <w:uiPriority w:val="0"/>
    <w:pPr>
      <w:numPr>
        <w:ilvl w:val="0"/>
        <w:numId w:val="0"/>
      </w:numPr>
      <w:tabs>
        <w:tab w:val="left" w:pos="425"/>
        <w:tab w:val="clear" w:pos="0"/>
        <w:tab w:val="clear" w:pos="709"/>
      </w:tabs>
      <w:spacing w:before="260" w:after="260" w:line="416" w:lineRule="auto"/>
      <w:ind w:left="425" w:hanging="425"/>
      <w:jc w:val="both"/>
    </w:pPr>
    <w:rPr>
      <w:rFonts w:ascii="黑体" w:hAnsi="黑体" w:eastAsia="黑体"/>
      <w:b w:val="0"/>
      <w:bCs w:val="0"/>
      <w:smallCaps w:val="0"/>
      <w:sz w:val="28"/>
      <w:szCs w:val="32"/>
    </w:rPr>
  </w:style>
  <w:style w:type="paragraph" w:customStyle="1" w:styleId="654">
    <w:name w:val="我的标题一级"/>
    <w:basedOn w:val="1"/>
    <w:semiHidden/>
    <w:qFormat/>
    <w:uiPriority w:val="0"/>
    <w:pPr>
      <w:keepNext/>
      <w:keepLines/>
      <w:tabs>
        <w:tab w:val="left" w:pos="0"/>
      </w:tabs>
      <w:adjustRightInd w:val="0"/>
      <w:spacing w:before="120" w:after="120" w:line="360" w:lineRule="auto"/>
      <w:outlineLvl w:val="1"/>
    </w:pPr>
    <w:rPr>
      <w:rFonts w:ascii="黑体" w:hAnsi="黑体" w:eastAsia="黑体" w:cs="宋体"/>
      <w:kern w:val="44"/>
      <w:sz w:val="30"/>
      <w:szCs w:val="20"/>
    </w:rPr>
  </w:style>
  <w:style w:type="paragraph" w:customStyle="1" w:styleId="655">
    <w:name w:val="xl5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18"/>
      <w:szCs w:val="18"/>
    </w:rPr>
  </w:style>
  <w:style w:type="paragraph" w:customStyle="1" w:styleId="656">
    <w:name w:val="my table header"/>
    <w:basedOn w:val="1"/>
    <w:semiHidden/>
    <w:qFormat/>
    <w:uiPriority w:val="0"/>
    <w:pPr>
      <w:spacing w:line="360" w:lineRule="exact"/>
      <w:ind w:left="567"/>
      <w:jc w:val="center"/>
    </w:pPr>
    <w:rPr>
      <w:rFonts w:ascii="黑体" w:eastAsia="黑体"/>
      <w:bCs/>
      <w:color w:val="000000"/>
      <w:szCs w:val="21"/>
    </w:rPr>
  </w:style>
  <w:style w:type="paragraph" w:customStyle="1" w:styleId="657">
    <w:name w:val="黑宋体"/>
    <w:basedOn w:val="6"/>
    <w:semiHidden/>
    <w:qFormat/>
    <w:uiPriority w:val="0"/>
    <w:pPr>
      <w:keepNext/>
      <w:keepLines/>
      <w:numPr>
        <w:ilvl w:val="0"/>
        <w:numId w:val="0"/>
      </w:numPr>
      <w:tabs>
        <w:tab w:val="clear" w:pos="0"/>
      </w:tabs>
      <w:snapToGrid w:val="0"/>
      <w:spacing w:before="0" w:after="0"/>
      <w:ind w:firstLine="482" w:firstLineChars="200"/>
      <w:jc w:val="both"/>
      <w:outlineLvl w:val="9"/>
    </w:pPr>
    <w:rPr>
      <w:bCs w:val="0"/>
      <w:smallCaps w:val="0"/>
      <w:color w:val="000000"/>
      <w:szCs w:val="28"/>
    </w:rPr>
  </w:style>
  <w:style w:type="paragraph" w:customStyle="1" w:styleId="658">
    <w:name w:val="Char3 Char Char Char"/>
    <w:basedOn w:val="1"/>
    <w:semiHidden/>
    <w:qFormat/>
    <w:uiPriority w:val="0"/>
    <w:pPr>
      <w:spacing w:line="360" w:lineRule="auto"/>
    </w:pPr>
    <w:rPr>
      <w:rFonts w:ascii="宋体" w:hAnsi="宋体" w:cs="宋体"/>
      <w:sz w:val="24"/>
    </w:rPr>
  </w:style>
  <w:style w:type="paragraph" w:customStyle="1" w:styleId="659">
    <w:name w:val="样式 仿宋_GB2312 四号 加粗 段前: 6 磅 段后: 6 磅"/>
    <w:basedOn w:val="1"/>
    <w:semiHidden/>
    <w:qFormat/>
    <w:uiPriority w:val="0"/>
    <w:pPr>
      <w:spacing w:before="120" w:after="120" w:line="360" w:lineRule="auto"/>
      <w:ind w:firstLine="562" w:firstLineChars="200"/>
      <w:outlineLvl w:val="3"/>
    </w:pPr>
    <w:rPr>
      <w:rFonts w:ascii="仿宋_GB2312" w:hAnsi="Arial" w:eastAsia="仿宋_GB2312" w:cs="宋体"/>
      <w:b/>
      <w:bCs/>
      <w:sz w:val="28"/>
      <w:szCs w:val="20"/>
    </w:rPr>
  </w:style>
  <w:style w:type="paragraph" w:customStyle="1" w:styleId="660">
    <w:name w:val="reader-word-layer reader-word-s1-18 reader-word-s1-2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1">
    <w:name w:val="正文文字2"/>
    <w:basedOn w:val="1"/>
    <w:next w:val="1"/>
    <w:semiHidden/>
    <w:qFormat/>
    <w:uiPriority w:val="0"/>
    <w:pPr>
      <w:adjustRightInd w:val="0"/>
      <w:snapToGrid w:val="0"/>
      <w:spacing w:line="360" w:lineRule="auto"/>
      <w:ind w:left="100" w:leftChars="100" w:right="100" w:rightChars="100"/>
      <w:jc w:val="center"/>
    </w:pPr>
  </w:style>
  <w:style w:type="paragraph" w:customStyle="1" w:styleId="662">
    <w:name w:val="标题2何黎"/>
    <w:basedOn w:val="1"/>
    <w:next w:val="1"/>
    <w:semiHidden/>
    <w:qFormat/>
    <w:uiPriority w:val="0"/>
    <w:pPr>
      <w:numPr>
        <w:ilvl w:val="1"/>
        <w:numId w:val="10"/>
      </w:numPr>
      <w:tabs>
        <w:tab w:val="left" w:pos="630"/>
      </w:tabs>
      <w:spacing w:before="100" w:beforeLines="100" w:after="100" w:afterLines="100" w:line="360" w:lineRule="auto"/>
      <w:ind w:firstLine="0"/>
      <w:outlineLvl w:val="1"/>
    </w:pPr>
    <w:rPr>
      <w:rFonts w:eastAsia="黑体"/>
      <w:b/>
      <w:sz w:val="36"/>
    </w:rPr>
  </w:style>
  <w:style w:type="paragraph" w:customStyle="1" w:styleId="663">
    <w:name w:val="xl50"/>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64">
    <w:name w:val="正文文本缩进1"/>
    <w:basedOn w:val="1"/>
    <w:semiHidden/>
    <w:qFormat/>
    <w:uiPriority w:val="0"/>
    <w:pPr>
      <w:spacing w:line="360" w:lineRule="auto"/>
      <w:ind w:firstLine="480" w:firstLineChars="200"/>
    </w:pPr>
    <w:rPr>
      <w:sz w:val="24"/>
    </w:rPr>
  </w:style>
  <w:style w:type="paragraph" w:customStyle="1" w:styleId="665">
    <w:name w:val="reader-word-layer reader-word-s1-15"/>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6">
    <w:name w:val="xl57"/>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67">
    <w:name w:val="xl34"/>
    <w:basedOn w:val="1"/>
    <w:semiHidden/>
    <w:qFormat/>
    <w:uiPriority w:val="0"/>
    <w:pPr>
      <w:spacing w:before="100" w:after="100" w:line="360" w:lineRule="auto"/>
      <w:jc w:val="center"/>
    </w:pPr>
    <w:rPr>
      <w:rFonts w:ascii="宋体"/>
      <w:kern w:val="0"/>
      <w:sz w:val="24"/>
      <w:szCs w:val="20"/>
    </w:rPr>
  </w:style>
  <w:style w:type="paragraph" w:customStyle="1" w:styleId="668">
    <w:name w:val="样式21"/>
    <w:basedOn w:val="417"/>
    <w:semiHidden/>
    <w:qFormat/>
    <w:uiPriority w:val="0"/>
    <w:pPr>
      <w:keepNext/>
      <w:keepLines/>
      <w:tabs>
        <w:tab w:val="left" w:pos="540"/>
      </w:tabs>
      <w:spacing w:before="50" w:after="50"/>
      <w:ind w:left="3255" w:hanging="1980" w:firstLineChars="0"/>
      <w:outlineLvl w:val="2"/>
    </w:pPr>
    <w:rPr>
      <w:rFonts w:ascii="黑体" w:hAnsi="宋体" w:eastAsia="黑体" w:cs="Arial Unicode MS"/>
      <w:color w:val="000000"/>
      <w:lang w:val="en-US"/>
    </w:rPr>
  </w:style>
  <w:style w:type="paragraph" w:customStyle="1" w:styleId="669">
    <w:name w:val="公式"/>
    <w:basedOn w:val="1"/>
    <w:semiHidden/>
    <w:qFormat/>
    <w:uiPriority w:val="0"/>
    <w:pPr>
      <w:overflowPunct w:val="0"/>
      <w:topLinePunct/>
      <w:adjustRightInd w:val="0"/>
      <w:snapToGrid w:val="0"/>
      <w:spacing w:line="360" w:lineRule="auto"/>
      <w:ind w:left="480" w:leftChars="200"/>
    </w:pPr>
    <w:rPr>
      <w:snapToGrid w:val="0"/>
      <w:kern w:val="0"/>
      <w:sz w:val="24"/>
      <w:szCs w:val="20"/>
    </w:rPr>
  </w:style>
  <w:style w:type="paragraph" w:customStyle="1" w:styleId="670">
    <w:name w:val="正文文本缩进 21"/>
    <w:basedOn w:val="1"/>
    <w:semiHidden/>
    <w:qFormat/>
    <w:uiPriority w:val="0"/>
    <w:pPr>
      <w:adjustRightInd w:val="0"/>
      <w:spacing w:line="360" w:lineRule="auto"/>
      <w:ind w:firstLine="480"/>
      <w:textAlignment w:val="baseline"/>
    </w:pPr>
    <w:rPr>
      <w:rFonts w:ascii="宋体"/>
      <w:kern w:val="0"/>
      <w:sz w:val="24"/>
      <w:szCs w:val="20"/>
    </w:rPr>
  </w:style>
  <w:style w:type="paragraph" w:customStyle="1" w:styleId="671">
    <w:name w:val="xl41"/>
    <w:basedOn w:val="1"/>
    <w:semiHidden/>
    <w:qFormat/>
    <w:uiPriority w:val="0"/>
    <w:pPr>
      <w:pBdr>
        <w:top w:val="single" w:color="auto" w:sz="4"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72">
    <w:name w:val="xl2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73">
    <w:name w:val="Char Char Char Char1 Char Char Char"/>
    <w:basedOn w:val="1"/>
    <w:semiHidden/>
    <w:qFormat/>
    <w:uiPriority w:val="0"/>
    <w:pPr>
      <w:spacing w:line="360" w:lineRule="auto"/>
      <w:ind w:firstLine="200" w:firstLineChars="200"/>
    </w:pPr>
    <w:rPr>
      <w:rFonts w:ascii="宋体" w:hAnsi="宋体" w:cs="宋体"/>
      <w:sz w:val="24"/>
    </w:rPr>
  </w:style>
  <w:style w:type="paragraph" w:customStyle="1" w:styleId="674">
    <w:name w:val="xl5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75">
    <w:name w:val="玲表格正文"/>
    <w:basedOn w:val="1"/>
    <w:semiHidden/>
    <w:qFormat/>
    <w:uiPriority w:val="0"/>
    <w:pPr>
      <w:snapToGrid w:val="0"/>
      <w:spacing w:line="360" w:lineRule="auto"/>
      <w:jc w:val="center"/>
    </w:pPr>
    <w:rPr>
      <w:szCs w:val="21"/>
    </w:rPr>
  </w:style>
  <w:style w:type="paragraph" w:customStyle="1" w:styleId="676">
    <w:name w:val="自建标题3"/>
    <w:basedOn w:val="1"/>
    <w:semiHidden/>
    <w:qFormat/>
    <w:uiPriority w:val="0"/>
    <w:pPr>
      <w:spacing w:line="360" w:lineRule="auto"/>
      <w:outlineLvl w:val="2"/>
    </w:pPr>
    <w:rPr>
      <w:rFonts w:ascii="宋体" w:hAnsi="宋体"/>
      <w:b/>
      <w:bCs/>
      <w:sz w:val="28"/>
    </w:rPr>
  </w:style>
  <w:style w:type="paragraph" w:customStyle="1" w:styleId="677">
    <w:name w:val="二级标题"/>
    <w:basedOn w:val="4"/>
    <w:semiHidden/>
    <w:qFormat/>
    <w:uiPriority w:val="0"/>
    <w:pPr>
      <w:numPr>
        <w:ilvl w:val="0"/>
        <w:numId w:val="0"/>
      </w:numPr>
      <w:tabs>
        <w:tab w:val="clear" w:pos="0"/>
        <w:tab w:val="clear" w:pos="709"/>
      </w:tabs>
      <w:spacing w:before="156" w:beforeLines="50" w:after="156" w:afterLines="50"/>
      <w:jc w:val="both"/>
    </w:pPr>
    <w:rPr>
      <w:rFonts w:ascii="黑体" w:hAnsi="Arial" w:eastAsia="黑体"/>
      <w:smallCaps w:val="0"/>
      <w:sz w:val="28"/>
    </w:rPr>
  </w:style>
  <w:style w:type="paragraph" w:customStyle="1" w:styleId="678">
    <w:name w:val="表末文字"/>
    <w:basedOn w:val="1"/>
    <w:semiHidden/>
    <w:qFormat/>
    <w:uiPriority w:val="0"/>
    <w:pPr>
      <w:adjustRightInd w:val="0"/>
      <w:snapToGrid w:val="0"/>
      <w:spacing w:line="240" w:lineRule="atLeast"/>
      <w:ind w:firstLine="560" w:firstLineChars="200"/>
      <w:jc w:val="left"/>
    </w:pPr>
    <w:rPr>
      <w:snapToGrid w:val="0"/>
      <w:spacing w:val="20"/>
      <w:kern w:val="0"/>
      <w:sz w:val="24"/>
      <w:szCs w:val="32"/>
    </w:rPr>
  </w:style>
  <w:style w:type="paragraph" w:customStyle="1" w:styleId="679">
    <w:name w:val="xl40"/>
    <w:basedOn w:val="1"/>
    <w:semiHidden/>
    <w:qFormat/>
    <w:uiPriority w:val="0"/>
    <w:pPr>
      <w:pBdr>
        <w:top w:val="single" w:color="auto" w:sz="8"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0">
    <w:name w:val="reader-word-layer reader-word-s1-18"/>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81">
    <w:name w:val="样式58"/>
    <w:basedOn w:val="1"/>
    <w:semiHidden/>
    <w:qFormat/>
    <w:uiPriority w:val="0"/>
    <w:pPr>
      <w:spacing w:line="360" w:lineRule="auto"/>
      <w:ind w:firstLine="480" w:firstLineChars="200"/>
    </w:pPr>
    <w:rPr>
      <w:rFonts w:hAnsi="宋体"/>
      <w:snapToGrid w:val="0"/>
      <w:sz w:val="24"/>
      <w:lang w:val="zh-CN"/>
    </w:rPr>
  </w:style>
  <w:style w:type="paragraph" w:customStyle="1" w:styleId="682">
    <w:name w:val="玲表格000"/>
    <w:basedOn w:val="1"/>
    <w:semiHidden/>
    <w:qFormat/>
    <w:uiPriority w:val="0"/>
    <w:pPr>
      <w:spacing w:line="360" w:lineRule="auto"/>
      <w:jc w:val="center"/>
    </w:pPr>
    <w:rPr>
      <w:szCs w:val="28"/>
    </w:rPr>
  </w:style>
  <w:style w:type="paragraph" w:customStyle="1" w:styleId="683">
    <w:name w:val="In Table"/>
    <w:basedOn w:val="1"/>
    <w:semiHidden/>
    <w:qFormat/>
    <w:uiPriority w:val="0"/>
    <w:pPr>
      <w:tabs>
        <w:tab w:val="left" w:pos="3960"/>
        <w:tab w:val="left" w:pos="5280"/>
      </w:tabs>
      <w:adjustRightInd w:val="0"/>
      <w:snapToGrid w:val="0"/>
      <w:spacing w:before="96" w:after="96" w:line="0" w:lineRule="atLeast"/>
      <w:jc w:val="center"/>
      <w:textAlignment w:val="baseline"/>
    </w:pPr>
    <w:rPr>
      <w:rFonts w:ascii="Tahoma" w:hAnsi="Tahoma" w:eastAsia="华文中宋"/>
      <w:kern w:val="0"/>
      <w:szCs w:val="20"/>
    </w:rPr>
  </w:style>
  <w:style w:type="paragraph" w:customStyle="1" w:styleId="684">
    <w:name w:val="正文(首行缩进)"/>
    <w:basedOn w:val="1"/>
    <w:semiHidden/>
    <w:qFormat/>
    <w:uiPriority w:val="0"/>
    <w:pPr>
      <w:spacing w:line="360" w:lineRule="auto"/>
      <w:ind w:firstLine="510"/>
    </w:pPr>
    <w:rPr>
      <w:rFonts w:ascii="宋体" w:hAnsi="宋体"/>
      <w:snapToGrid w:val="0"/>
      <w:kern w:val="0"/>
      <w:sz w:val="24"/>
    </w:rPr>
  </w:style>
  <w:style w:type="paragraph" w:customStyle="1" w:styleId="685">
    <w:name w:val="TB正文"/>
    <w:basedOn w:val="1"/>
    <w:semiHidden/>
    <w:qFormat/>
    <w:uiPriority w:val="0"/>
    <w:pPr>
      <w:snapToGrid w:val="0"/>
      <w:spacing w:line="360" w:lineRule="auto"/>
      <w:ind w:firstLine="200" w:firstLineChars="200"/>
    </w:pPr>
    <w:rPr>
      <w:rFonts w:eastAsia="仿宋_GB2312"/>
      <w:sz w:val="28"/>
      <w:szCs w:val="28"/>
    </w:rPr>
  </w:style>
  <w:style w:type="paragraph" w:customStyle="1" w:styleId="686">
    <w:name w:val="样式52"/>
    <w:basedOn w:val="505"/>
    <w:semiHidden/>
    <w:qFormat/>
    <w:uiPriority w:val="0"/>
    <w:pPr>
      <w:tabs>
        <w:tab w:val="left" w:pos="180"/>
      </w:tabs>
      <w:spacing w:before="120" w:after="120"/>
      <w:ind w:left="180" w:hanging="180"/>
    </w:pPr>
  </w:style>
  <w:style w:type="paragraph" w:customStyle="1" w:styleId="687">
    <w:name w:val="xl3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8">
    <w:name w:val="xl3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89">
    <w:name w:val="样式35"/>
    <w:basedOn w:val="1"/>
    <w:semiHidden/>
    <w:qFormat/>
    <w:uiPriority w:val="0"/>
    <w:pPr>
      <w:adjustRightInd w:val="0"/>
      <w:snapToGrid w:val="0"/>
      <w:spacing w:line="360" w:lineRule="auto"/>
      <w:ind w:firstLine="1995" w:firstLineChars="950"/>
    </w:pPr>
    <w:rPr>
      <w:rFonts w:ascii="黑体" w:hAnsi="宋体" w:eastAsia="黑体"/>
      <w:szCs w:val="21"/>
    </w:rPr>
  </w:style>
  <w:style w:type="paragraph" w:customStyle="1" w:styleId="690">
    <w:name w:val="reader-word-layer reader-word-s1-21"/>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1">
    <w:name w:val="xl30"/>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92">
    <w:name w:val="图头"/>
    <w:next w:val="547"/>
    <w:semiHidden/>
    <w:qFormat/>
    <w:uiPriority w:val="0"/>
    <w:pPr>
      <w:tabs>
        <w:tab w:val="left" w:pos="425"/>
        <w:tab w:val="left" w:pos="1470"/>
      </w:tabs>
      <w:adjustRightInd w:val="0"/>
      <w:spacing w:before="50" w:beforeLines="50" w:after="50" w:afterLines="50"/>
      <w:ind w:left="425" w:hanging="425"/>
      <w:jc w:val="center"/>
    </w:pPr>
    <w:rPr>
      <w:rFonts w:ascii="Times New Roman" w:hAnsi="Times New Roman" w:eastAsia="宋体" w:cs="Times New Roman"/>
      <w:spacing w:val="10"/>
      <w:sz w:val="24"/>
      <w:szCs w:val="24"/>
      <w:lang w:val="en-US" w:eastAsia="zh-CN" w:bidi="ar-SA"/>
    </w:rPr>
  </w:style>
  <w:style w:type="paragraph" w:customStyle="1" w:styleId="693">
    <w:name w:val="表头编号"/>
    <w:basedOn w:val="1"/>
    <w:semiHidden/>
    <w:qFormat/>
    <w:uiPriority w:val="0"/>
    <w:pPr>
      <w:adjustRightInd w:val="0"/>
      <w:snapToGrid w:val="0"/>
      <w:spacing w:line="360" w:lineRule="auto"/>
      <w:jc w:val="center"/>
    </w:pPr>
    <w:rPr>
      <w:color w:val="000000"/>
    </w:rPr>
  </w:style>
  <w:style w:type="paragraph" w:customStyle="1" w:styleId="694">
    <w:name w:val="样式001"/>
    <w:basedOn w:val="505"/>
    <w:semiHidden/>
    <w:qFormat/>
    <w:uiPriority w:val="0"/>
    <w:pPr>
      <w:tabs>
        <w:tab w:val="left" w:pos="180"/>
      </w:tabs>
      <w:spacing w:before="120" w:after="120"/>
      <w:ind w:left="180" w:hanging="180"/>
    </w:pPr>
  </w:style>
  <w:style w:type="paragraph" w:customStyle="1" w:styleId="695">
    <w:name w:val="reader-word-layer reader-word-s1-23"/>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6">
    <w:name w:val="Char Char Char Char Char Char Char Char Char Char Char Char Char Char Char Char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697">
    <w:name w:val="xl5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0"/>
      <w:szCs w:val="20"/>
    </w:rPr>
  </w:style>
  <w:style w:type="paragraph" w:customStyle="1" w:styleId="698">
    <w:name w:val="*表格"/>
    <w:basedOn w:val="1"/>
    <w:semiHidden/>
    <w:qFormat/>
    <w:uiPriority w:val="0"/>
    <w:pPr>
      <w:numPr>
        <w:ilvl w:val="5"/>
        <w:numId w:val="11"/>
      </w:numPr>
      <w:spacing w:line="360" w:lineRule="auto"/>
      <w:ind w:left="0" w:firstLine="0"/>
      <w:textAlignment w:val="center"/>
    </w:pPr>
    <w:rPr>
      <w:szCs w:val="20"/>
    </w:rPr>
  </w:style>
  <w:style w:type="paragraph" w:customStyle="1" w:styleId="699">
    <w:name w:val="正文内容"/>
    <w:basedOn w:val="1"/>
    <w:semiHidden/>
    <w:qFormat/>
    <w:uiPriority w:val="0"/>
    <w:pPr>
      <w:adjustRightInd w:val="0"/>
      <w:snapToGrid w:val="0"/>
      <w:spacing w:line="360" w:lineRule="auto"/>
      <w:ind w:firstLine="510" w:firstLineChars="200"/>
      <w:jc w:val="left"/>
    </w:pPr>
    <w:rPr>
      <w:rFonts w:ascii="宋体" w:hAnsi="宋体" w:eastAsia="仿宋_GB2312"/>
      <w:snapToGrid w:val="0"/>
      <w:spacing w:val="4"/>
      <w:kern w:val="0"/>
      <w:sz w:val="24"/>
      <w:szCs w:val="20"/>
    </w:rPr>
  </w:style>
  <w:style w:type="paragraph" w:customStyle="1" w:styleId="700">
    <w:name w:val="样式56"/>
    <w:basedOn w:val="409"/>
    <w:semiHidden/>
    <w:qFormat/>
    <w:uiPriority w:val="0"/>
    <w:rPr>
      <w:rFonts w:ascii="仿宋_GB2312" w:hAnsi="仿宋_GB2312"/>
      <w:bCs/>
      <w:color w:val="auto"/>
    </w:rPr>
  </w:style>
  <w:style w:type="paragraph" w:customStyle="1" w:styleId="701">
    <w:name w:val="样式 标题 2标题2SeHead wsa2H21标题 1.1Chapter TitleChapter节标题 1..."/>
    <w:basedOn w:val="4"/>
    <w:semiHidden/>
    <w:qFormat/>
    <w:uiPriority w:val="0"/>
    <w:pPr>
      <w:numPr>
        <w:numId w:val="7"/>
      </w:numPr>
      <w:tabs>
        <w:tab w:val="left" w:pos="360"/>
        <w:tab w:val="left" w:pos="720"/>
        <w:tab w:val="clear" w:pos="0"/>
      </w:tabs>
    </w:pPr>
    <w:rPr>
      <w:rFonts w:cs="宋体"/>
      <w:smallCaps w:val="0"/>
      <w:kern w:val="0"/>
      <w:szCs w:val="30"/>
    </w:rPr>
  </w:style>
  <w:style w:type="paragraph" w:customStyle="1" w:styleId="702">
    <w:name w:val="reader-word-layer reader-word-s3-17"/>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03">
    <w:name w:val="Char Char Char Char Char Char Char Char Char1 Char"/>
    <w:basedOn w:val="1"/>
    <w:semiHidden/>
    <w:qFormat/>
    <w:uiPriority w:val="0"/>
    <w:pPr>
      <w:spacing w:line="360" w:lineRule="auto"/>
    </w:pPr>
    <w:rPr>
      <w:rFonts w:ascii="仿宋_GB2312" w:eastAsia="仿宋_GB2312"/>
      <w:b/>
      <w:sz w:val="32"/>
      <w:szCs w:val="32"/>
    </w:rPr>
  </w:style>
  <w:style w:type="paragraph" w:customStyle="1" w:styleId="704">
    <w:name w:val="LY正文"/>
    <w:basedOn w:val="1"/>
    <w:semiHidden/>
    <w:qFormat/>
    <w:uiPriority w:val="0"/>
    <w:pPr>
      <w:spacing w:line="300" w:lineRule="auto"/>
      <w:ind w:firstLine="567"/>
    </w:pPr>
    <w:rPr>
      <w:rFonts w:ascii="宋体" w:hAnsi="CG Times"/>
      <w:sz w:val="24"/>
      <w:szCs w:val="20"/>
    </w:rPr>
  </w:style>
  <w:style w:type="paragraph" w:customStyle="1" w:styleId="705">
    <w:name w:val="p20"/>
    <w:basedOn w:val="1"/>
    <w:semiHidden/>
    <w:qFormat/>
    <w:uiPriority w:val="0"/>
    <w:pPr>
      <w:spacing w:before="50" w:after="50" w:line="360" w:lineRule="auto"/>
      <w:ind w:left="720" w:hanging="720"/>
    </w:pPr>
    <w:rPr>
      <w:rFonts w:ascii="黑体" w:hAnsi="宋体" w:eastAsia="黑体" w:cs="宋体"/>
      <w:color w:val="000000"/>
      <w:kern w:val="0"/>
      <w:sz w:val="24"/>
    </w:rPr>
  </w:style>
  <w:style w:type="paragraph" w:customStyle="1" w:styleId="706">
    <w:name w:val="玲标题三"/>
    <w:basedOn w:val="1"/>
    <w:next w:val="61"/>
    <w:semiHidden/>
    <w:qFormat/>
    <w:uiPriority w:val="0"/>
    <w:pPr>
      <w:adjustRightInd w:val="0"/>
      <w:snapToGrid w:val="0"/>
      <w:spacing w:before="100" w:after="100" w:line="360" w:lineRule="auto"/>
      <w:jc w:val="left"/>
      <w:outlineLvl w:val="2"/>
    </w:pPr>
    <w:rPr>
      <w:rFonts w:eastAsia="黑体"/>
      <w:sz w:val="30"/>
      <w:szCs w:val="22"/>
    </w:rPr>
  </w:style>
  <w:style w:type="paragraph" w:customStyle="1" w:styleId="707">
    <w:name w:val="Char1 Char Char Char"/>
    <w:basedOn w:val="22"/>
    <w:semiHidden/>
    <w:qFormat/>
    <w:uiPriority w:val="0"/>
    <w:pPr>
      <w:adjustRightInd w:val="0"/>
      <w:spacing w:line="436" w:lineRule="exact"/>
      <w:ind w:left="357"/>
      <w:jc w:val="left"/>
      <w:outlineLvl w:val="3"/>
    </w:pPr>
    <w:rPr>
      <w:rFonts w:ascii="Tahoma" w:hAnsi="Tahoma"/>
      <w:b/>
      <w:sz w:val="24"/>
    </w:rPr>
  </w:style>
  <w:style w:type="paragraph" w:customStyle="1" w:styleId="708">
    <w:name w:val="样式 样式 样式12 + Times New Roman 自动设置 + 段前: 0.5 行 段后: 0.5 行"/>
    <w:basedOn w:val="1"/>
    <w:semiHidden/>
    <w:qFormat/>
    <w:uiPriority w:val="0"/>
    <w:pPr>
      <w:keepNext/>
      <w:keepLines/>
      <w:tabs>
        <w:tab w:val="left" w:pos="540"/>
      </w:tabs>
      <w:spacing w:before="50" w:beforeLines="50" w:after="50" w:afterLines="50" w:line="360" w:lineRule="auto"/>
      <w:ind w:left="578" w:hanging="578"/>
      <w:outlineLvl w:val="1"/>
    </w:pPr>
    <w:rPr>
      <w:rFonts w:eastAsia="黑体" w:cs="宋体"/>
      <w:sz w:val="28"/>
      <w:szCs w:val="20"/>
    </w:rPr>
  </w:style>
  <w:style w:type="paragraph" w:customStyle="1" w:styleId="709">
    <w:name w:val="图中文字格式"/>
    <w:basedOn w:val="1"/>
    <w:next w:val="1"/>
    <w:semiHidden/>
    <w:qFormat/>
    <w:uiPriority w:val="0"/>
    <w:pPr>
      <w:adjustRightInd w:val="0"/>
      <w:snapToGrid w:val="0"/>
      <w:spacing w:line="200" w:lineRule="atLeast"/>
    </w:pPr>
    <w:rPr>
      <w:spacing w:val="-20"/>
      <w:kern w:val="0"/>
      <w:sz w:val="18"/>
      <w:szCs w:val="18"/>
    </w:rPr>
  </w:style>
  <w:style w:type="paragraph" w:customStyle="1" w:styleId="710">
    <w:name w:val="默认段落字体 Para Char"/>
    <w:basedOn w:val="1"/>
    <w:next w:val="1"/>
    <w:semiHidden/>
    <w:qFormat/>
    <w:uiPriority w:val="0"/>
    <w:pPr>
      <w:spacing w:line="360" w:lineRule="auto"/>
      <w:ind w:firstLine="200" w:firstLineChars="200"/>
    </w:pPr>
  </w:style>
  <w:style w:type="paragraph" w:customStyle="1" w:styleId="711">
    <w:name w:val="xl35"/>
    <w:basedOn w:val="1"/>
    <w:semiHidden/>
    <w:qFormat/>
    <w:uiPriority w:val="0"/>
    <w:pPr>
      <w:spacing w:before="100" w:beforeAutospacing="1" w:after="100" w:afterAutospacing="1" w:line="360" w:lineRule="auto"/>
      <w:jc w:val="center"/>
    </w:pPr>
    <w:rPr>
      <w:rFonts w:hint="eastAsia" w:ascii="楷体_GB2312" w:hAnsi="Arial Unicode MS" w:eastAsia="楷体_GB2312" w:cs="Arial Unicode MS"/>
      <w:b/>
      <w:bCs/>
      <w:kern w:val="0"/>
      <w:sz w:val="24"/>
    </w:rPr>
  </w:style>
  <w:style w:type="paragraph" w:customStyle="1" w:styleId="712">
    <w:name w:val="表格编号"/>
    <w:basedOn w:val="1"/>
    <w:semiHidden/>
    <w:qFormat/>
    <w:uiPriority w:val="0"/>
    <w:pPr>
      <w:adjustRightInd w:val="0"/>
      <w:snapToGrid w:val="0"/>
      <w:spacing w:line="360" w:lineRule="auto"/>
      <w:jc w:val="right"/>
    </w:pPr>
    <w:rPr>
      <w:sz w:val="24"/>
      <w:szCs w:val="20"/>
    </w:rPr>
  </w:style>
  <w:style w:type="paragraph" w:customStyle="1" w:styleId="713">
    <w:name w:val="样式 标题 3 + 宋体 四号 段前: 0 磅 段后: 0 磅 行距: 单倍行距"/>
    <w:basedOn w:val="5"/>
    <w:semiHidden/>
    <w:qFormat/>
    <w:uiPriority w:val="0"/>
    <w:pPr>
      <w:numPr>
        <w:ilvl w:val="0"/>
        <w:numId w:val="0"/>
      </w:numPr>
      <w:tabs>
        <w:tab w:val="clear" w:pos="0"/>
      </w:tabs>
      <w:spacing w:line="240" w:lineRule="auto"/>
      <w:jc w:val="both"/>
    </w:pPr>
    <w:rPr>
      <w:rFonts w:cs="宋体"/>
      <w:szCs w:val="28"/>
    </w:rPr>
  </w:style>
  <w:style w:type="paragraph" w:customStyle="1" w:styleId="714">
    <w:name w:val="正文样式1"/>
    <w:basedOn w:val="1"/>
    <w:semiHidden/>
    <w:qFormat/>
    <w:uiPriority w:val="0"/>
    <w:pPr>
      <w:adjustRightInd w:val="0"/>
      <w:spacing w:line="288" w:lineRule="auto"/>
      <w:ind w:firstLine="360" w:firstLineChars="150"/>
      <w:textAlignment w:val="baseline"/>
    </w:pPr>
    <w:rPr>
      <w:kern w:val="0"/>
      <w:sz w:val="24"/>
      <w:szCs w:val="20"/>
    </w:rPr>
  </w:style>
  <w:style w:type="paragraph" w:customStyle="1" w:styleId="715">
    <w:name w:val="标准"/>
    <w:basedOn w:val="1"/>
    <w:semiHidden/>
    <w:qFormat/>
    <w:uiPriority w:val="0"/>
    <w:pPr>
      <w:adjustRightInd w:val="0"/>
      <w:spacing w:line="360" w:lineRule="auto"/>
      <w:ind w:left="905" w:hanging="425"/>
      <w:textAlignment w:val="baseline"/>
    </w:pPr>
    <w:rPr>
      <w:rFonts w:ascii="宋体"/>
      <w:kern w:val="0"/>
      <w:sz w:val="24"/>
      <w:szCs w:val="20"/>
    </w:rPr>
  </w:style>
  <w:style w:type="paragraph" w:customStyle="1" w:styleId="716">
    <w:name w:val="Char2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717">
    <w:name w:val="表头名称"/>
    <w:basedOn w:val="19"/>
    <w:semiHidden/>
    <w:qFormat/>
    <w:uiPriority w:val="0"/>
    <w:pPr>
      <w:autoSpaceDE w:val="0"/>
      <w:autoSpaceDN w:val="0"/>
      <w:adjustRightInd w:val="0"/>
      <w:ind w:firstLine="0" w:firstLineChars="0"/>
      <w:jc w:val="center"/>
    </w:pPr>
    <w:rPr>
      <w:rFonts w:ascii="宋体" w:hAnsi="宋体" w:cstheme="minorBidi"/>
      <w:kern w:val="0"/>
      <w:sz w:val="21"/>
      <w:szCs w:val="21"/>
    </w:rPr>
  </w:style>
  <w:style w:type="paragraph" w:customStyle="1" w:styleId="718">
    <w:name w:val="8 Char Char Char2 Char"/>
    <w:basedOn w:val="1"/>
    <w:semiHidden/>
    <w:qFormat/>
    <w:uiPriority w:val="0"/>
    <w:pPr>
      <w:spacing w:line="360" w:lineRule="auto"/>
    </w:pPr>
    <w:rPr>
      <w:rFonts w:ascii="Tahoma" w:hAnsi="Tahoma"/>
      <w:sz w:val="24"/>
      <w:szCs w:val="20"/>
    </w:rPr>
  </w:style>
  <w:style w:type="paragraph" w:customStyle="1" w:styleId="719">
    <w:name w:val="样式30"/>
    <w:basedOn w:val="1"/>
    <w:semiHidden/>
    <w:qFormat/>
    <w:uiPriority w:val="0"/>
    <w:pPr>
      <w:spacing w:before="156" w:beforeLines="50" w:after="156" w:afterLines="50" w:line="360" w:lineRule="auto"/>
      <w:ind w:firstLine="480" w:firstLineChars="200"/>
    </w:pPr>
    <w:rPr>
      <w:sz w:val="24"/>
    </w:rPr>
  </w:style>
  <w:style w:type="paragraph" w:customStyle="1" w:styleId="720">
    <w:name w:val="样式29"/>
    <w:basedOn w:val="349"/>
    <w:semiHidden/>
    <w:qFormat/>
    <w:uiPriority w:val="0"/>
    <w:pPr>
      <w:numPr>
        <w:ilvl w:val="0"/>
        <w:numId w:val="0"/>
      </w:numPr>
      <w:tabs>
        <w:tab w:val="left" w:pos="540"/>
        <w:tab w:val="left" w:pos="936"/>
        <w:tab w:val="clear" w:pos="360"/>
      </w:tabs>
      <w:spacing w:before="120" w:after="120"/>
      <w:ind w:left="936" w:hanging="576"/>
    </w:pPr>
    <w:rPr>
      <w:rFonts w:ascii="黑体" w:hAnsi="黑体" w:cstheme="minorBidi"/>
      <w:szCs w:val="32"/>
    </w:rPr>
  </w:style>
  <w:style w:type="paragraph" w:customStyle="1" w:styleId="721">
    <w:name w:val="T3"/>
    <w:basedOn w:val="499"/>
    <w:semiHidden/>
    <w:qFormat/>
    <w:uiPriority w:val="0"/>
    <w:pPr>
      <w:spacing w:before="0" w:after="120"/>
      <w:outlineLvl w:val="2"/>
    </w:pPr>
    <w:rPr>
      <w:rFonts w:eastAsia="Times New Roman"/>
    </w:rPr>
  </w:style>
  <w:style w:type="paragraph" w:customStyle="1" w:styleId="722">
    <w:name w:val="xl37"/>
    <w:basedOn w:val="1"/>
    <w:semiHidden/>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23">
    <w:name w:val="样式 标题 1 + 段前: 0.5 行 段后: 0.5 行"/>
    <w:basedOn w:val="3"/>
    <w:semiHidden/>
    <w:qFormat/>
    <w:uiPriority w:val="0"/>
    <w:pPr>
      <w:numPr>
        <w:numId w:val="0"/>
      </w:numPr>
      <w:tabs>
        <w:tab w:val="left" w:pos="425"/>
        <w:tab w:val="clear" w:pos="0"/>
      </w:tabs>
      <w:spacing w:before="156" w:beforeLines="50" w:after="156" w:afterLines="50"/>
      <w:ind w:left="425" w:hanging="425"/>
      <w:jc w:val="left"/>
    </w:pPr>
    <w:rPr>
      <w:rFonts w:eastAsia="黑体" w:cs="宋体"/>
      <w:b w:val="0"/>
      <w:sz w:val="30"/>
      <w:szCs w:val="20"/>
    </w:rPr>
  </w:style>
  <w:style w:type="paragraph" w:customStyle="1" w:styleId="724">
    <w:name w:val="xl33"/>
    <w:basedOn w:val="1"/>
    <w:semiHidden/>
    <w:qFormat/>
    <w:uiPriority w:val="0"/>
    <w:pPr>
      <w:spacing w:before="100" w:beforeAutospacing="1" w:after="100" w:afterAutospacing="1" w:line="360" w:lineRule="auto"/>
      <w:jc w:val="center"/>
    </w:pPr>
    <w:rPr>
      <w:rFonts w:eastAsia="Arial Unicode MS"/>
      <w:b/>
      <w:bCs/>
      <w:kern w:val="0"/>
      <w:sz w:val="24"/>
    </w:rPr>
  </w:style>
  <w:style w:type="paragraph" w:customStyle="1" w:styleId="725">
    <w:name w:val="码头表"/>
    <w:basedOn w:val="1"/>
    <w:semiHidden/>
    <w:qFormat/>
    <w:uiPriority w:val="0"/>
    <w:pPr>
      <w:spacing w:line="360" w:lineRule="auto"/>
      <w:jc w:val="center"/>
    </w:pPr>
    <w:rPr>
      <w:rFonts w:ascii="宋体" w:hAnsi="宋体" w:cs="Arial Unicode MS"/>
    </w:rPr>
  </w:style>
  <w:style w:type="paragraph" w:customStyle="1" w:styleId="726">
    <w:name w:val="样式 宋体 小四 黑色 首行缩进:  2字符 行距: 1.5 倍行距1"/>
    <w:basedOn w:val="1"/>
    <w:semiHidden/>
    <w:qFormat/>
    <w:uiPriority w:val="0"/>
    <w:pPr>
      <w:spacing w:line="360" w:lineRule="auto"/>
      <w:ind w:firstLine="200" w:firstLineChars="200"/>
    </w:pPr>
    <w:rPr>
      <w:rFonts w:ascii="宋体" w:hAnsi="宋体"/>
      <w:color w:val="000000"/>
      <w:sz w:val="24"/>
      <w:szCs w:val="20"/>
    </w:rPr>
  </w:style>
  <w:style w:type="paragraph" w:customStyle="1" w:styleId="727">
    <w:name w:val="hyp标题4"/>
    <w:basedOn w:val="1"/>
    <w:semiHidden/>
    <w:qFormat/>
    <w:uiPriority w:val="0"/>
    <w:pPr>
      <w:keepNext/>
      <w:keepLines/>
      <w:tabs>
        <w:tab w:val="left" w:pos="1080"/>
      </w:tabs>
      <w:adjustRightInd w:val="0"/>
      <w:snapToGrid w:val="0"/>
      <w:spacing w:line="360" w:lineRule="auto"/>
      <w:textAlignment w:val="baseline"/>
      <w:outlineLvl w:val="3"/>
    </w:pPr>
    <w:rPr>
      <w:b/>
      <w:color w:val="000000"/>
      <w:kern w:val="0"/>
      <w:sz w:val="24"/>
      <w:szCs w:val="28"/>
    </w:rPr>
  </w:style>
  <w:style w:type="paragraph" w:customStyle="1" w:styleId="728">
    <w:name w:val="2"/>
    <w:basedOn w:val="1"/>
    <w:next w:val="26"/>
    <w:semiHidden/>
    <w:qFormat/>
    <w:uiPriority w:val="0"/>
    <w:pPr>
      <w:adjustRightInd w:val="0"/>
      <w:spacing w:line="360" w:lineRule="auto"/>
      <w:jc w:val="center"/>
      <w:textAlignment w:val="baseline"/>
    </w:pPr>
    <w:rPr>
      <w:kern w:val="0"/>
      <w:szCs w:val="20"/>
    </w:rPr>
  </w:style>
  <w:style w:type="paragraph" w:customStyle="1" w:styleId="72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730">
    <w:name w:val="三级"/>
    <w:basedOn w:val="5"/>
    <w:semiHidden/>
    <w:qFormat/>
    <w:uiPriority w:val="0"/>
    <w:pPr>
      <w:numPr>
        <w:ilvl w:val="0"/>
        <w:numId w:val="0"/>
      </w:numPr>
      <w:tabs>
        <w:tab w:val="clear" w:pos="0"/>
      </w:tabs>
      <w:spacing w:before="120" w:beforeLines="50" w:after="120" w:afterLines="50"/>
      <w:jc w:val="both"/>
    </w:pPr>
    <w:rPr>
      <w:rFonts w:ascii="宋体" w:hAnsi="宋体"/>
      <w:bCs w:val="0"/>
      <w:sz w:val="24"/>
      <w:szCs w:val="32"/>
    </w:rPr>
  </w:style>
  <w:style w:type="paragraph" w:customStyle="1" w:styleId="731">
    <w:name w:val="xl38"/>
    <w:basedOn w:val="1"/>
    <w:semiHidden/>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32">
    <w:name w:val="插图"/>
    <w:basedOn w:val="1"/>
    <w:semiHidden/>
    <w:qFormat/>
    <w:uiPriority w:val="0"/>
    <w:pPr>
      <w:overflowPunct w:val="0"/>
      <w:topLinePunct/>
      <w:adjustRightInd w:val="0"/>
      <w:snapToGrid w:val="0"/>
      <w:spacing w:line="360" w:lineRule="auto"/>
      <w:jc w:val="center"/>
    </w:pPr>
    <w:rPr>
      <w:rFonts w:ascii="宋体" w:hAnsi="宋体" w:eastAsia="幼圆"/>
      <w:snapToGrid w:val="0"/>
      <w:kern w:val="0"/>
      <w:sz w:val="24"/>
      <w:szCs w:val="20"/>
    </w:rPr>
  </w:style>
  <w:style w:type="paragraph" w:customStyle="1" w:styleId="733">
    <w:name w:val="正文3"/>
    <w:basedOn w:val="1"/>
    <w:qFormat/>
    <w:uiPriority w:val="0"/>
    <w:pPr>
      <w:adjustRightInd w:val="0"/>
      <w:snapToGrid w:val="0"/>
      <w:spacing w:line="360" w:lineRule="auto"/>
      <w:ind w:firstLine="510" w:firstLineChars="200"/>
      <w:jc w:val="left"/>
    </w:pPr>
    <w:rPr>
      <w:kern w:val="0"/>
      <w:sz w:val="24"/>
      <w:szCs w:val="20"/>
    </w:rPr>
  </w:style>
  <w:style w:type="paragraph" w:customStyle="1" w:styleId="734">
    <w:name w:val="reader-word-layer reader-word-s1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35">
    <w:name w:val="Char2 Char Char Char Char Char Char Char Char1 Char Char Char Char"/>
    <w:basedOn w:val="1"/>
    <w:semiHidden/>
    <w:qFormat/>
    <w:uiPriority w:val="0"/>
    <w:pPr>
      <w:spacing w:after="160" w:line="240" w:lineRule="exact"/>
      <w:jc w:val="left"/>
    </w:pPr>
  </w:style>
  <w:style w:type="paragraph" w:customStyle="1" w:styleId="736">
    <w:name w:val="样式60"/>
    <w:basedOn w:val="1"/>
    <w:semiHidden/>
    <w:qFormat/>
    <w:uiPriority w:val="0"/>
    <w:pPr>
      <w:spacing w:line="360" w:lineRule="auto"/>
      <w:ind w:firstLine="480" w:firstLineChars="200"/>
    </w:pPr>
    <w:rPr>
      <w:snapToGrid w:val="0"/>
      <w:sz w:val="24"/>
      <w:lang w:val="zh-CN"/>
    </w:rPr>
  </w:style>
  <w:style w:type="paragraph" w:customStyle="1" w:styleId="737">
    <w:name w:val="xl52"/>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738">
    <w:name w:val="样式2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paragraph" w:customStyle="1" w:styleId="739">
    <w:name w:val="xl4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740">
    <w:name w:val="hyp标题1"/>
    <w:basedOn w:val="3"/>
    <w:semiHidden/>
    <w:qFormat/>
    <w:uiPriority w:val="0"/>
    <w:pPr>
      <w:keepNext w:val="0"/>
      <w:keepLines w:val="0"/>
      <w:numPr>
        <w:numId w:val="12"/>
      </w:numPr>
      <w:tabs>
        <w:tab w:val="left" w:pos="432"/>
        <w:tab w:val="clear" w:pos="0"/>
      </w:tabs>
      <w:adjustRightInd w:val="0"/>
      <w:snapToGrid w:val="0"/>
      <w:spacing w:before="120" w:after="120"/>
      <w:jc w:val="left"/>
      <w:textAlignment w:val="baseline"/>
    </w:pPr>
    <w:rPr>
      <w:rFonts w:ascii="黑体" w:hAnsi="黑体" w:eastAsia="黑体"/>
      <w:b w:val="0"/>
      <w:color w:val="000000"/>
      <w:sz w:val="44"/>
      <w:szCs w:val="44"/>
    </w:rPr>
  </w:style>
  <w:style w:type="paragraph" w:customStyle="1" w:styleId="741">
    <w:name w:val="表标题样式居中"/>
    <w:basedOn w:val="573"/>
    <w:semiHidden/>
    <w:qFormat/>
    <w:uiPriority w:val="0"/>
  </w:style>
  <w:style w:type="paragraph" w:customStyle="1" w:styleId="742">
    <w:name w:val="样式55"/>
    <w:basedOn w:val="367"/>
    <w:semiHidden/>
    <w:qFormat/>
    <w:uiPriority w:val="0"/>
    <w:pPr>
      <w:spacing w:before="120" w:after="120"/>
      <w:ind w:firstLine="480"/>
    </w:pPr>
  </w:style>
  <w:style w:type="paragraph" w:customStyle="1" w:styleId="743">
    <w:name w:val="图文1"/>
    <w:basedOn w:val="129"/>
    <w:semiHidden/>
    <w:qFormat/>
    <w:uiPriority w:val="0"/>
    <w:pPr>
      <w:snapToGrid w:val="0"/>
      <w:spacing w:before="120" w:beforeLines="50" w:after="120" w:afterLines="50"/>
      <w:textAlignment w:val="auto"/>
    </w:pPr>
    <w:rPr>
      <w:rFonts w:ascii="宋体" w:hAnsi="宋体"/>
      <w:snapToGrid/>
      <w:kern w:val="2"/>
      <w:sz w:val="28"/>
      <w:szCs w:val="21"/>
    </w:rPr>
  </w:style>
  <w:style w:type="paragraph" w:customStyle="1" w:styleId="744">
    <w:name w:val="样式"/>
    <w:basedOn w:val="1"/>
    <w:next w:val="19"/>
    <w:semiHidden/>
    <w:qFormat/>
    <w:uiPriority w:val="0"/>
    <w:pPr>
      <w:tabs>
        <w:tab w:val="left" w:pos="2268"/>
      </w:tabs>
      <w:adjustRightInd w:val="0"/>
      <w:spacing w:line="312" w:lineRule="auto"/>
      <w:ind w:left="425" w:firstLine="420"/>
    </w:pPr>
    <w:rPr>
      <w:color w:val="000000"/>
      <w:spacing w:val="-4"/>
      <w:kern w:val="0"/>
      <w:sz w:val="28"/>
      <w:szCs w:val="20"/>
    </w:rPr>
  </w:style>
  <w:style w:type="paragraph" w:customStyle="1" w:styleId="745">
    <w:name w:val="页面 3"/>
    <w:basedOn w:val="1"/>
    <w:semiHidden/>
    <w:qFormat/>
    <w:uiPriority w:val="0"/>
    <w:pPr>
      <w:adjustRightInd w:val="0"/>
      <w:spacing w:line="360" w:lineRule="auto"/>
      <w:ind w:left="-2" w:leftChars="-1" w:firstLine="456" w:firstLineChars="190"/>
      <w:jc w:val="center"/>
    </w:pPr>
    <w:rPr>
      <w:rFonts w:eastAsia="隶书"/>
      <w:kern w:val="0"/>
      <w:sz w:val="52"/>
      <w:szCs w:val="20"/>
    </w:rPr>
  </w:style>
  <w:style w:type="paragraph" w:customStyle="1" w:styleId="746">
    <w:name w:val="字元 字元"/>
    <w:basedOn w:val="1"/>
    <w:semiHidden/>
    <w:qFormat/>
    <w:uiPriority w:val="0"/>
    <w:pPr>
      <w:spacing w:line="360" w:lineRule="auto"/>
    </w:pPr>
    <w:rPr>
      <w:szCs w:val="21"/>
    </w:rPr>
  </w:style>
  <w:style w:type="paragraph" w:customStyle="1" w:styleId="747">
    <w:name w:val="az"/>
    <w:basedOn w:val="1"/>
    <w:semiHidden/>
    <w:qFormat/>
    <w:uiPriority w:val="0"/>
    <w:pPr>
      <w:spacing w:line="360" w:lineRule="auto"/>
      <w:ind w:firstLine="494" w:firstLineChars="200"/>
    </w:pPr>
    <w:rPr>
      <w:bCs/>
      <w:sz w:val="24"/>
    </w:rPr>
  </w:style>
  <w:style w:type="paragraph" w:customStyle="1" w:styleId="748">
    <w:name w:val="样式26"/>
    <w:basedOn w:val="589"/>
    <w:semiHidden/>
    <w:qFormat/>
    <w:uiPriority w:val="0"/>
    <w:pPr>
      <w:spacing w:before="0" w:beforeLines="0" w:after="0" w:afterLines="0"/>
      <w:jc w:val="center"/>
    </w:pPr>
    <w:rPr>
      <w:color w:val="000000"/>
      <w:lang w:val="zh-CN"/>
    </w:rPr>
  </w:style>
  <w:style w:type="paragraph" w:customStyle="1" w:styleId="749">
    <w:name w:val="样式 标题 4 + 宋体 小四 非加粗"/>
    <w:basedOn w:val="6"/>
    <w:semiHidden/>
    <w:qFormat/>
    <w:uiPriority w:val="0"/>
    <w:pPr>
      <w:keepNext/>
      <w:keepLines/>
      <w:numPr>
        <w:ilvl w:val="0"/>
        <w:numId w:val="0"/>
      </w:numPr>
      <w:tabs>
        <w:tab w:val="left" w:pos="864"/>
        <w:tab w:val="clear" w:pos="0"/>
      </w:tabs>
      <w:adjustRightInd/>
      <w:spacing w:before="280" w:after="290" w:line="376" w:lineRule="auto"/>
      <w:ind w:left="864" w:hanging="864"/>
      <w:jc w:val="both"/>
      <w:textAlignment w:val="auto"/>
    </w:pPr>
    <w:rPr>
      <w:rFonts w:ascii="宋体" w:hAnsi="宋体"/>
      <w:b w:val="0"/>
      <w:bCs w:val="0"/>
      <w:smallCaps w:val="0"/>
      <w:szCs w:val="28"/>
    </w:rPr>
  </w:style>
  <w:style w:type="paragraph" w:customStyle="1" w:styleId="750">
    <w:name w:val="xl46"/>
    <w:basedOn w:val="1"/>
    <w:semiHidden/>
    <w:qFormat/>
    <w:uiPriority w:val="0"/>
    <w:pPr>
      <w:pBdr>
        <w:top w:val="double" w:color="auto" w:sz="6"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751">
    <w:name w:val="表格左对齐"/>
    <w:basedOn w:val="27"/>
    <w:semiHidden/>
    <w:qFormat/>
    <w:uiPriority w:val="0"/>
    <w:pPr>
      <w:adjustRightInd w:val="0"/>
      <w:snapToGrid w:val="0"/>
      <w:spacing w:after="0" w:line="240" w:lineRule="auto"/>
      <w:ind w:left="0" w:leftChars="0" w:firstLine="0" w:firstLineChars="0"/>
    </w:pPr>
    <w:rPr>
      <w:rFonts w:asciiTheme="minorHAnsi" w:hAnsiTheme="minorHAnsi" w:cstheme="minorBidi"/>
      <w:sz w:val="28"/>
      <w:szCs w:val="20"/>
    </w:rPr>
  </w:style>
  <w:style w:type="paragraph" w:customStyle="1" w:styleId="752">
    <w:name w:val="Char Char Char1 Char Char Char Char Char Char Char Char Char Char Char Char Char"/>
    <w:basedOn w:val="1"/>
    <w:semiHidden/>
    <w:qFormat/>
    <w:uiPriority w:val="0"/>
    <w:pPr>
      <w:spacing w:line="360" w:lineRule="auto"/>
      <w:ind w:firstLine="200" w:firstLineChars="200"/>
    </w:pPr>
    <w:rPr>
      <w:rFonts w:ascii="宋体" w:hAnsi="宋体" w:eastAsia="仿宋_GB2312" w:cs="宋体"/>
      <w:sz w:val="24"/>
    </w:rPr>
  </w:style>
  <w:style w:type="paragraph" w:customStyle="1" w:styleId="753">
    <w:name w:val="hyp样式4"/>
    <w:basedOn w:val="1"/>
    <w:semiHidden/>
    <w:qFormat/>
    <w:uiPriority w:val="0"/>
    <w:pPr>
      <w:keepNext/>
      <w:keepLines/>
      <w:numPr>
        <w:ilvl w:val="3"/>
        <w:numId w:val="8"/>
      </w:numPr>
      <w:tabs>
        <w:tab w:val="left" w:pos="1080"/>
      </w:tabs>
      <w:adjustRightInd w:val="0"/>
      <w:snapToGrid w:val="0"/>
      <w:spacing w:line="360" w:lineRule="auto"/>
      <w:ind w:firstLine="0"/>
      <w:textAlignment w:val="baseline"/>
      <w:outlineLvl w:val="3"/>
    </w:pPr>
    <w:rPr>
      <w:b/>
      <w:color w:val="000000"/>
      <w:kern w:val="0"/>
      <w:sz w:val="24"/>
      <w:szCs w:val="28"/>
    </w:rPr>
  </w:style>
  <w:style w:type="paragraph" w:customStyle="1" w:styleId="754">
    <w:name w:val="样式23"/>
    <w:basedOn w:val="5"/>
    <w:semiHidden/>
    <w:qFormat/>
    <w:uiPriority w:val="0"/>
    <w:pPr>
      <w:numPr>
        <w:ilvl w:val="0"/>
        <w:numId w:val="0"/>
      </w:numPr>
      <w:tabs>
        <w:tab w:val="left" w:pos="720"/>
        <w:tab w:val="clear" w:pos="0"/>
      </w:tabs>
      <w:spacing w:before="50" w:after="50"/>
      <w:ind w:left="480" w:hanging="480" w:hangingChars="200"/>
      <w:jc w:val="both"/>
    </w:pPr>
    <w:rPr>
      <w:rFonts w:ascii="黑体" w:hAnsi="黑体" w:eastAsia="黑体" w:cs="Arial Unicode MS"/>
      <w:b w:val="0"/>
      <w:bCs w:val="0"/>
      <w:sz w:val="24"/>
      <w:szCs w:val="24"/>
    </w:rPr>
  </w:style>
  <w:style w:type="paragraph" w:customStyle="1" w:styleId="755">
    <w:name w:val="样式 标题 3 + 段前: 0.5 行 段后: 0.5 行1"/>
    <w:basedOn w:val="5"/>
    <w:semiHidden/>
    <w:qFormat/>
    <w:uiPriority w:val="0"/>
    <w:pPr>
      <w:numPr>
        <w:ilvl w:val="0"/>
        <w:numId w:val="0"/>
      </w:numPr>
      <w:tabs>
        <w:tab w:val="left" w:pos="720"/>
        <w:tab w:val="clear" w:pos="0"/>
      </w:tabs>
      <w:spacing w:before="50" w:beforeLines="50" w:after="50" w:afterLines="50"/>
      <w:ind w:left="720" w:hanging="720"/>
      <w:jc w:val="both"/>
    </w:pPr>
    <w:rPr>
      <w:rFonts w:cs="宋体"/>
      <w:b w:val="0"/>
      <w:bCs w:val="0"/>
      <w:sz w:val="24"/>
      <w:szCs w:val="20"/>
    </w:rPr>
  </w:style>
  <w:style w:type="paragraph" w:customStyle="1" w:styleId="756">
    <w:name w:val="自定义正文 Char Char Char Char"/>
    <w:semiHidden/>
    <w:qFormat/>
    <w:uiPriority w:val="0"/>
    <w:pPr>
      <w:widowControl w:val="0"/>
      <w:topLinePunct/>
      <w:adjustRightInd w:val="0"/>
      <w:snapToGrid w:val="0"/>
      <w:spacing w:line="360" w:lineRule="auto"/>
      <w:ind w:firstLine="510"/>
      <w:jc w:val="both"/>
    </w:pPr>
    <w:rPr>
      <w:rFonts w:ascii="Times New Roman" w:hAnsi="Times New Roman" w:eastAsia="宋体" w:cs="Times New Roman"/>
      <w:kern w:val="2"/>
      <w:position w:val="-28"/>
      <w:sz w:val="28"/>
      <w:szCs w:val="28"/>
      <w:lang w:val="en-US" w:eastAsia="zh-CN" w:bidi="ar-SA"/>
    </w:rPr>
  </w:style>
  <w:style w:type="paragraph" w:customStyle="1" w:styleId="757">
    <w:name w:val="表"/>
    <w:basedOn w:val="463"/>
    <w:semiHidden/>
    <w:qFormat/>
    <w:uiPriority w:val="0"/>
    <w:pPr>
      <w:spacing w:before="50" w:after="50"/>
      <w:ind w:firstLine="200"/>
    </w:pPr>
  </w:style>
  <w:style w:type="paragraph" w:customStyle="1" w:styleId="758">
    <w:name w:val="正文2000"/>
    <w:basedOn w:val="1"/>
    <w:semiHidden/>
    <w:qFormat/>
    <w:uiPriority w:val="0"/>
    <w:pPr>
      <w:tabs>
        <w:tab w:val="left" w:pos="720"/>
      </w:tabs>
      <w:spacing w:line="360" w:lineRule="auto"/>
      <w:ind w:firstLine="560"/>
    </w:pPr>
    <w:rPr>
      <w:rFonts w:ascii="楷体_GB2312" w:eastAsia="楷体_GB2312"/>
      <w:sz w:val="24"/>
      <w:szCs w:val="20"/>
    </w:rPr>
  </w:style>
  <w:style w:type="paragraph" w:customStyle="1" w:styleId="759">
    <w:name w:val="样式 首行缩进:  2 字符"/>
    <w:basedOn w:val="1"/>
    <w:semiHidden/>
    <w:qFormat/>
    <w:uiPriority w:val="0"/>
    <w:pPr>
      <w:spacing w:line="360" w:lineRule="auto"/>
      <w:ind w:firstLine="480" w:firstLineChars="200"/>
    </w:pPr>
    <w:rPr>
      <w:rFonts w:ascii="宋体" w:hAnsi="宋体" w:cs="宋体"/>
      <w:sz w:val="24"/>
      <w:szCs w:val="20"/>
    </w:rPr>
  </w:style>
  <w:style w:type="paragraph" w:customStyle="1" w:styleId="760">
    <w:name w:val="自动标题3"/>
    <w:basedOn w:val="1"/>
    <w:semiHidden/>
    <w:qFormat/>
    <w:uiPriority w:val="0"/>
    <w:pPr>
      <w:tabs>
        <w:tab w:val="left" w:pos="720"/>
      </w:tabs>
      <w:spacing w:line="360" w:lineRule="auto"/>
      <w:ind w:left="720" w:hanging="720"/>
    </w:pPr>
  </w:style>
  <w:style w:type="paragraph" w:customStyle="1" w:styleId="761">
    <w:name w:val="玲表格标题"/>
    <w:basedOn w:val="1"/>
    <w:semiHidden/>
    <w:qFormat/>
    <w:uiPriority w:val="0"/>
    <w:pPr>
      <w:spacing w:line="360" w:lineRule="auto"/>
      <w:jc w:val="center"/>
    </w:pPr>
    <w:rPr>
      <w:sz w:val="24"/>
      <w:szCs w:val="22"/>
    </w:rPr>
  </w:style>
  <w:style w:type="paragraph" w:customStyle="1" w:styleId="762">
    <w:name w:val="小表"/>
    <w:basedOn w:val="1"/>
    <w:semiHidden/>
    <w:qFormat/>
    <w:uiPriority w:val="0"/>
    <w:pPr>
      <w:overflowPunct w:val="0"/>
      <w:autoSpaceDE w:val="0"/>
      <w:autoSpaceDN w:val="0"/>
      <w:adjustRightInd w:val="0"/>
      <w:spacing w:line="360" w:lineRule="auto"/>
      <w:jc w:val="center"/>
      <w:textAlignment w:val="bottom"/>
    </w:pPr>
    <w:rPr>
      <w:kern w:val="0"/>
      <w:szCs w:val="20"/>
    </w:rPr>
  </w:style>
  <w:style w:type="paragraph" w:customStyle="1" w:styleId="763">
    <w:name w:val="玲表格字体"/>
    <w:basedOn w:val="1"/>
    <w:semiHidden/>
    <w:qFormat/>
    <w:uiPriority w:val="0"/>
    <w:pPr>
      <w:spacing w:line="360" w:lineRule="auto"/>
      <w:jc w:val="center"/>
    </w:pPr>
    <w:rPr>
      <w:kern w:val="0"/>
      <w:szCs w:val="20"/>
    </w:rPr>
  </w:style>
  <w:style w:type="paragraph" w:customStyle="1" w:styleId="764">
    <w:name w:val="xz3"/>
    <w:basedOn w:val="1"/>
    <w:semiHidden/>
    <w:qFormat/>
    <w:uiPriority w:val="0"/>
    <w:pPr>
      <w:spacing w:before="50" w:beforeLines="50" w:line="360" w:lineRule="auto"/>
      <w:jc w:val="left"/>
      <w:outlineLvl w:val="2"/>
    </w:pPr>
    <w:rPr>
      <w:rFonts w:ascii="楷体_GB2312" w:eastAsia="楷体_GB2312"/>
      <w:b/>
      <w:sz w:val="30"/>
      <w:szCs w:val="32"/>
    </w:rPr>
  </w:style>
  <w:style w:type="paragraph" w:customStyle="1" w:styleId="765">
    <w:name w:val="表边框和内容样式"/>
    <w:basedOn w:val="1"/>
    <w:semiHidden/>
    <w:qFormat/>
    <w:uiPriority w:val="0"/>
    <w:pPr>
      <w:adjustRightInd w:val="0"/>
      <w:snapToGrid w:val="0"/>
      <w:spacing w:line="500" w:lineRule="exact"/>
      <w:jc w:val="center"/>
    </w:pPr>
    <w:rPr>
      <w:rFonts w:ascii="宋体" w:hAnsi="宋体"/>
      <w:sz w:val="24"/>
    </w:rPr>
  </w:style>
  <w:style w:type="paragraph" w:customStyle="1" w:styleId="766">
    <w:name w:val="xl36"/>
    <w:basedOn w:val="1"/>
    <w:semiHidden/>
    <w:qFormat/>
    <w:uiPriority w:val="0"/>
    <w:pPr>
      <w:spacing w:before="100" w:beforeAutospacing="1" w:after="100" w:afterAutospacing="1" w:line="360" w:lineRule="auto"/>
      <w:jc w:val="center"/>
    </w:pPr>
    <w:rPr>
      <w:rFonts w:ascii="宋体" w:hAnsi="宋体"/>
      <w:spacing w:val="-4"/>
      <w:kern w:val="0"/>
      <w:sz w:val="24"/>
      <w:szCs w:val="28"/>
    </w:rPr>
  </w:style>
  <w:style w:type="paragraph" w:customStyle="1" w:styleId="767">
    <w:name w:val="普通(Web)2"/>
    <w:basedOn w:val="1"/>
    <w:semiHidden/>
    <w:qFormat/>
    <w:uiPriority w:val="0"/>
    <w:pPr>
      <w:spacing w:before="225" w:after="225" w:line="345" w:lineRule="atLeast"/>
      <w:jc w:val="left"/>
    </w:pPr>
    <w:rPr>
      <w:rFonts w:ascii="宋体" w:hAnsi="宋体" w:cs="宋体"/>
      <w:kern w:val="0"/>
      <w:szCs w:val="21"/>
    </w:rPr>
  </w:style>
  <w:style w:type="paragraph" w:customStyle="1" w:styleId="768">
    <w:name w:val="hyp标题3"/>
    <w:basedOn w:val="5"/>
    <w:semiHidden/>
    <w:qFormat/>
    <w:uiPriority w:val="0"/>
    <w:pPr>
      <w:numPr>
        <w:numId w:val="8"/>
      </w:numPr>
      <w:tabs>
        <w:tab w:val="left" w:pos="432"/>
        <w:tab w:val="left" w:pos="720"/>
        <w:tab w:val="clear" w:pos="0"/>
      </w:tabs>
      <w:adjustRightInd w:val="0"/>
      <w:snapToGrid w:val="0"/>
      <w:ind w:firstLine="0" w:firstLineChars="0"/>
      <w:jc w:val="both"/>
      <w:textAlignment w:val="baseline"/>
    </w:pPr>
    <w:rPr>
      <w:rFonts w:eastAsia="黑体"/>
      <w:b w:val="0"/>
      <w:bCs w:val="0"/>
      <w:color w:val="000000"/>
      <w:kern w:val="0"/>
      <w:sz w:val="30"/>
      <w:szCs w:val="20"/>
    </w:rPr>
  </w:style>
  <w:style w:type="paragraph" w:customStyle="1" w:styleId="769">
    <w:name w:val="自动1"/>
    <w:basedOn w:val="1"/>
    <w:semiHidden/>
    <w:qFormat/>
    <w:uiPriority w:val="0"/>
    <w:pPr>
      <w:keepNext/>
      <w:keepLines/>
      <w:tabs>
        <w:tab w:val="left" w:pos="360"/>
      </w:tabs>
      <w:spacing w:before="120" w:after="120" w:line="360" w:lineRule="auto"/>
      <w:outlineLvl w:val="0"/>
    </w:pPr>
    <w:rPr>
      <w:rFonts w:hint="eastAsia" w:ascii="黑体" w:hAnsi="Arial Unicode MS" w:eastAsia="黑体"/>
      <w:b/>
      <w:bCs/>
      <w:color w:val="000000"/>
      <w:kern w:val="44"/>
      <w:sz w:val="30"/>
      <w:szCs w:val="30"/>
    </w:rPr>
  </w:style>
  <w:style w:type="paragraph" w:customStyle="1" w:styleId="770">
    <w:name w:val="表格文本格式"/>
    <w:semiHidden/>
    <w:qFormat/>
    <w:uiPriority w:val="0"/>
    <w:pPr>
      <w:jc w:val="center"/>
    </w:pPr>
    <w:rPr>
      <w:rFonts w:ascii="宋体" w:hAnsi="宋体" w:eastAsia="宋体" w:cs="宋体"/>
      <w:sz w:val="21"/>
      <w:szCs w:val="21"/>
      <w:lang w:val="en-US" w:eastAsia="zh-CN" w:bidi="ar-SA"/>
    </w:rPr>
  </w:style>
  <w:style w:type="paragraph" w:customStyle="1" w:styleId="771">
    <w:name w:val="內文 (Web)"/>
    <w:basedOn w:val="1"/>
    <w:semiHidden/>
    <w:qFormat/>
    <w:uiPriority w:val="0"/>
    <w:pPr>
      <w:spacing w:before="100" w:beforeAutospacing="1" w:after="100" w:afterAutospacing="1" w:line="360" w:lineRule="auto"/>
      <w:jc w:val="left"/>
    </w:pPr>
    <w:rPr>
      <w:rFonts w:ascii="宋体" w:hAnsi="宋体"/>
      <w:kern w:val="0"/>
      <w:sz w:val="24"/>
      <w:szCs w:val="28"/>
    </w:rPr>
  </w:style>
  <w:style w:type="paragraph" w:customStyle="1" w:styleId="772">
    <w:name w:val="样式 样式 首行缩进:  2 字符 + 首行缩进:  2 字符"/>
    <w:basedOn w:val="1"/>
    <w:semiHidden/>
    <w:qFormat/>
    <w:uiPriority w:val="0"/>
    <w:pPr>
      <w:spacing w:line="360" w:lineRule="auto"/>
      <w:ind w:firstLine="560" w:firstLineChars="200"/>
    </w:pPr>
    <w:rPr>
      <w:rFonts w:cs="宋体"/>
      <w:sz w:val="24"/>
      <w:szCs w:val="20"/>
    </w:rPr>
  </w:style>
  <w:style w:type="paragraph" w:customStyle="1" w:styleId="773">
    <w:name w:val="-"/>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774">
    <w:name w:val="表头文字"/>
    <w:basedOn w:val="1"/>
    <w:semiHidden/>
    <w:qFormat/>
    <w:uiPriority w:val="0"/>
    <w:pPr>
      <w:spacing w:line="360" w:lineRule="auto"/>
      <w:jc w:val="center"/>
    </w:pPr>
    <w:rPr>
      <w:rFonts w:ascii="宋体" w:hAnsi="宋体"/>
      <w:b/>
      <w:snapToGrid w:val="0"/>
      <w:spacing w:val="-10"/>
      <w:kern w:val="0"/>
      <w:sz w:val="24"/>
      <w:szCs w:val="30"/>
    </w:rPr>
  </w:style>
  <w:style w:type="paragraph" w:customStyle="1" w:styleId="775">
    <w:name w:val="表格（小）"/>
    <w:basedOn w:val="1"/>
    <w:semiHidden/>
    <w:qFormat/>
    <w:uiPriority w:val="0"/>
    <w:pPr>
      <w:adjustRightInd w:val="0"/>
      <w:snapToGrid w:val="0"/>
      <w:spacing w:line="360" w:lineRule="auto"/>
    </w:pPr>
    <w:rPr>
      <w:snapToGrid w:val="0"/>
      <w:kern w:val="0"/>
      <w:szCs w:val="20"/>
    </w:rPr>
  </w:style>
  <w:style w:type="paragraph" w:customStyle="1" w:styleId="776">
    <w:name w:val="数字表格"/>
    <w:basedOn w:val="226"/>
    <w:semiHidden/>
    <w:qFormat/>
    <w:uiPriority w:val="0"/>
    <w:pPr>
      <w:adjustRightInd w:val="0"/>
      <w:snapToGrid w:val="0"/>
      <w:spacing w:line="240" w:lineRule="auto"/>
      <w:ind w:left="0" w:leftChars="0" w:right="0" w:rightChars="0" w:firstLine="0" w:firstLineChars="0"/>
    </w:pPr>
    <w:rPr>
      <w:rFonts w:ascii="楷体_GB2312" w:eastAsia="楷体_GB2312" w:hAnsiTheme="minorHAnsi" w:cstheme="minorBidi"/>
      <w:snapToGrid/>
      <w:color w:val="auto"/>
      <w:sz w:val="21"/>
      <w:szCs w:val="24"/>
    </w:rPr>
  </w:style>
  <w:style w:type="paragraph" w:customStyle="1" w:styleId="777">
    <w:name w:val="xl60"/>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778">
    <w:name w:val="表格文字居中"/>
    <w:semiHidden/>
    <w:qFormat/>
    <w:uiPriority w:val="0"/>
    <w:pPr>
      <w:adjustRightInd w:val="0"/>
      <w:snapToGrid w:val="0"/>
      <w:spacing w:before="10" w:beforeLines="10" w:after="10" w:afterLines="10"/>
      <w:jc w:val="center"/>
    </w:pPr>
    <w:rPr>
      <w:rFonts w:ascii="宋体" w:hAnsi="宋体" w:eastAsia="宋体" w:cs="Times New Roman"/>
      <w:sz w:val="24"/>
      <w:lang w:val="en-US" w:eastAsia="zh-CN" w:bidi="ar-SA"/>
    </w:rPr>
  </w:style>
  <w:style w:type="paragraph" w:customStyle="1" w:styleId="779">
    <w:name w:val="正文标准样式"/>
    <w:basedOn w:val="1"/>
    <w:semiHidden/>
    <w:qFormat/>
    <w:uiPriority w:val="0"/>
    <w:pPr>
      <w:adjustRightInd w:val="0"/>
      <w:spacing w:line="300" w:lineRule="auto"/>
      <w:ind w:firstLine="482"/>
      <w:textAlignment w:val="baseline"/>
    </w:pPr>
    <w:rPr>
      <w:kern w:val="0"/>
      <w:sz w:val="24"/>
      <w:szCs w:val="20"/>
    </w:rPr>
  </w:style>
  <w:style w:type="paragraph" w:customStyle="1" w:styleId="780">
    <w:name w:val="reader-word-layer reader-word-s1-2"/>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1">
    <w:name w:val="表号"/>
    <w:basedOn w:val="1"/>
    <w:semiHidden/>
    <w:qFormat/>
    <w:uiPriority w:val="0"/>
    <w:pPr>
      <w:tabs>
        <w:tab w:val="left" w:pos="8478"/>
        <w:tab w:val="right" w:pos="9638"/>
      </w:tabs>
      <w:adjustRightInd w:val="0"/>
      <w:snapToGrid w:val="0"/>
      <w:spacing w:line="360" w:lineRule="auto"/>
      <w:ind w:right="312" w:rightChars="130"/>
      <w:jc w:val="right"/>
    </w:pPr>
    <w:rPr>
      <w:spacing w:val="-4"/>
    </w:rPr>
  </w:style>
  <w:style w:type="paragraph" w:customStyle="1" w:styleId="782">
    <w:name w:val="1文章"/>
    <w:basedOn w:val="1"/>
    <w:semiHidden/>
    <w:qFormat/>
    <w:uiPriority w:val="0"/>
    <w:pPr>
      <w:snapToGrid w:val="0"/>
      <w:spacing w:line="360" w:lineRule="auto"/>
    </w:pPr>
    <w:rPr>
      <w:color w:val="000000"/>
      <w:szCs w:val="20"/>
    </w:rPr>
  </w:style>
  <w:style w:type="paragraph" w:customStyle="1" w:styleId="783">
    <w:name w:val="样式 样式 样式 样式31 + 自动设置 + 段前: 0.5 行 段后: 0.5 行 + 段前: 0.5 行 段后: 0.5 行"/>
    <w:basedOn w:val="1"/>
    <w:semiHidden/>
    <w:qFormat/>
    <w:uiPriority w:val="0"/>
    <w:pPr>
      <w:keepNext/>
      <w:keepLines/>
      <w:tabs>
        <w:tab w:val="left" w:pos="540"/>
      </w:tabs>
      <w:spacing w:before="50" w:beforeLines="50" w:after="50" w:afterLines="50" w:line="360" w:lineRule="auto"/>
      <w:outlineLvl w:val="1"/>
    </w:pPr>
    <w:rPr>
      <w:rFonts w:ascii="黑体" w:hAnsi="黑体" w:eastAsia="黑体" w:cs="宋体"/>
      <w:sz w:val="28"/>
      <w:szCs w:val="20"/>
    </w:rPr>
  </w:style>
  <w:style w:type="paragraph" w:customStyle="1" w:styleId="784">
    <w:name w:val="reader-word-layer reader-word-s1-1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5">
    <w:name w:val="*正文"/>
    <w:semiHidden/>
    <w:qFormat/>
    <w:uiPriority w:val="0"/>
    <w:pPr>
      <w:numPr>
        <w:ilvl w:val="4"/>
        <w:numId w:val="11"/>
      </w:numPr>
      <w:spacing w:line="360" w:lineRule="auto"/>
      <w:ind w:left="0" w:firstLine="200" w:firstLineChars="200"/>
      <w:jc w:val="both"/>
      <w:textAlignment w:val="baseline"/>
    </w:pPr>
    <w:rPr>
      <w:rFonts w:ascii="Times New Roman" w:hAnsi="Times New Roman" w:eastAsia="宋体" w:cs="Times New Roman"/>
      <w:color w:val="000000"/>
      <w:sz w:val="24"/>
      <w:lang w:val="en-US" w:eastAsia="zh-CN" w:bidi="ar-SA"/>
    </w:rPr>
  </w:style>
  <w:style w:type="paragraph" w:customStyle="1" w:styleId="786">
    <w:name w:val="reader-word-layer reader-word-s3-19"/>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7">
    <w:name w:val="玲表格00"/>
    <w:basedOn w:val="1"/>
    <w:semiHidden/>
    <w:qFormat/>
    <w:uiPriority w:val="0"/>
    <w:pPr>
      <w:spacing w:line="360" w:lineRule="auto"/>
      <w:jc w:val="center"/>
    </w:pPr>
    <w:rPr>
      <w:color w:val="000000"/>
      <w:sz w:val="24"/>
    </w:rPr>
  </w:style>
  <w:style w:type="paragraph" w:customStyle="1" w:styleId="788">
    <w:name w:val="xl62"/>
    <w:basedOn w:val="1"/>
    <w:semiHidden/>
    <w:qFormat/>
    <w:uiPriority w:val="0"/>
    <w:pPr>
      <w:pBdr>
        <w:bottom w:val="single" w:color="auto" w:sz="4" w:space="0"/>
      </w:pBdr>
      <w:adjustRightInd w:val="0"/>
      <w:snapToGrid w:val="0"/>
      <w:spacing w:before="100" w:after="100" w:line="500" w:lineRule="exact"/>
      <w:jc w:val="center"/>
    </w:pPr>
    <w:rPr>
      <w:rFonts w:hint="eastAsia" w:ascii="宋体" w:hAnsi="宋体"/>
      <w:kern w:val="0"/>
      <w:sz w:val="24"/>
      <w:szCs w:val="20"/>
    </w:rPr>
  </w:style>
  <w:style w:type="paragraph" w:customStyle="1" w:styleId="789">
    <w:name w:val="样式25"/>
    <w:basedOn w:val="1"/>
    <w:semiHidden/>
    <w:qFormat/>
    <w:uiPriority w:val="0"/>
    <w:pPr>
      <w:keepNext/>
      <w:keepLines/>
      <w:tabs>
        <w:tab w:val="left" w:pos="0"/>
        <w:tab w:val="left" w:pos="720"/>
      </w:tabs>
      <w:spacing w:before="156" w:beforeLines="50" w:after="156" w:afterLines="50" w:line="360" w:lineRule="auto"/>
      <w:outlineLvl w:val="3"/>
    </w:pPr>
    <w:rPr>
      <w:sz w:val="24"/>
      <w:szCs w:val="28"/>
      <w:lang w:val="zh-CN"/>
    </w:rPr>
  </w:style>
  <w:style w:type="paragraph" w:customStyle="1" w:styleId="790">
    <w:name w:val="reader-word-layer reader-word-s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91">
    <w:name w:val="表格内容空行"/>
    <w:basedOn w:val="1"/>
    <w:semiHidden/>
    <w:qFormat/>
    <w:uiPriority w:val="0"/>
    <w:pPr>
      <w:tabs>
        <w:tab w:val="left" w:pos="1535"/>
        <w:tab w:val="left" w:pos="3105"/>
        <w:tab w:val="left" w:pos="4676"/>
        <w:tab w:val="left" w:pos="6247"/>
        <w:tab w:val="left" w:pos="7740"/>
        <w:tab w:val="left" w:pos="9288"/>
      </w:tabs>
      <w:adjustRightInd w:val="0"/>
      <w:snapToGrid w:val="0"/>
      <w:spacing w:before="15" w:beforeLines="15" w:after="15" w:afterLines="15" w:line="240" w:lineRule="exact"/>
      <w:jc w:val="center"/>
      <w:textAlignment w:val="baseline"/>
    </w:pPr>
    <w:rPr>
      <w:color w:val="000000"/>
      <w:kern w:val="0"/>
      <w:szCs w:val="16"/>
    </w:rPr>
  </w:style>
  <w:style w:type="table" w:customStyle="1" w:styleId="792">
    <w:name w:val="何黎的表格样式"/>
    <w:basedOn w:val="63"/>
    <w:semiHidden/>
    <w:qFormat/>
    <w:uiPriority w:val="0"/>
    <w:pPr>
      <w:snapToGrid w:val="0"/>
      <w:jc w:val="center"/>
    </w:pPr>
    <w:tblP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
    <w:tcPr>
      <w:tcMar>
        <w:top w:w="57" w:type="dxa"/>
        <w:bottom w:w="57" w:type="dxa"/>
      </w:tcMar>
      <w:vAlign w:val="center"/>
    </w:tcPr>
  </w:style>
  <w:style w:type="character" w:customStyle="1" w:styleId="793">
    <w:name w:val="正文缩进 Char1"/>
    <w:basedOn w:val="70"/>
    <w:qFormat/>
    <w:uiPriority w:val="0"/>
    <w:rPr>
      <w:rFonts w:hint="default" w:ascii="Times New Roman" w:hAnsi="Times New Roman" w:cs="Times New Roman"/>
      <w:kern w:val="2"/>
      <w:sz w:val="24"/>
      <w:szCs w:val="24"/>
    </w:rPr>
  </w:style>
  <w:style w:type="character" w:customStyle="1" w:styleId="794">
    <w:name w:val="font101"/>
    <w:basedOn w:val="70"/>
    <w:qFormat/>
    <w:uiPriority w:val="0"/>
    <w:rPr>
      <w:rFonts w:hint="eastAsia" w:ascii="宋体" w:hAnsi="宋体" w:eastAsia="宋体" w:cs="宋体"/>
      <w:b/>
      <w:color w:val="000000"/>
      <w:sz w:val="21"/>
      <w:szCs w:val="21"/>
      <w:u w:val="none"/>
    </w:rPr>
  </w:style>
  <w:style w:type="table" w:customStyle="1" w:styleId="795">
    <w:name w:val="表格主题1"/>
    <w:basedOn w:val="6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96">
    <w:name w:val="Unresolved Mention"/>
    <w:basedOn w:val="70"/>
    <w:semiHidden/>
    <w:unhideWhenUsed/>
    <w:qFormat/>
    <w:uiPriority w:val="99"/>
    <w:rPr>
      <w:color w:val="605E5C"/>
      <w:shd w:val="clear" w:color="auto" w:fill="E1DFDD"/>
    </w:rPr>
  </w:style>
  <w:style w:type="table" w:customStyle="1" w:styleId="797">
    <w:name w:val="浅色底纹1"/>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798">
    <w:name w:val="浅色底纹 - 着色 41"/>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character" w:customStyle="1" w:styleId="799">
    <w:name w:val="列表 字符"/>
    <w:link w:val="45"/>
    <w:qFormat/>
    <w:uiPriority w:val="99"/>
    <w:rPr>
      <w:kern w:val="2"/>
      <w:sz w:val="21"/>
      <w:szCs w:val="24"/>
    </w:rPr>
  </w:style>
  <w:style w:type="paragraph" w:customStyle="1" w:styleId="800">
    <w:name w:val="正文 报告"/>
    <w:basedOn w:val="1"/>
    <w:qFormat/>
    <w:uiPriority w:val="0"/>
    <w:pPr>
      <w:spacing w:line="360" w:lineRule="auto"/>
      <w:ind w:firstLine="200" w:firstLineChars="200"/>
      <w:jc w:val="left"/>
    </w:pPr>
    <w:rPr>
      <w:rFonts w:ascii="宋体" w:hAnsi="Tahoma" w:eastAsia="华文中宋" w:cs="Tahoma"/>
      <w:kern w:val="0"/>
      <w:sz w:val="24"/>
    </w:rPr>
  </w:style>
  <w:style w:type="paragraph" w:customStyle="1" w:styleId="801">
    <w:name w:val="样式 样式 (中文) 仿宋_GB2312 居中1 + 小四"/>
    <w:basedOn w:val="1"/>
    <w:qFormat/>
    <w:uiPriority w:val="0"/>
    <w:pPr>
      <w:spacing w:line="360" w:lineRule="auto"/>
      <w:jc w:val="center"/>
    </w:pPr>
    <w:rPr>
      <w:rFonts w:hAnsi="宋体"/>
      <w:color w:val="000000"/>
      <w:szCs w:val="21"/>
    </w:rPr>
  </w:style>
  <w:style w:type="table" w:customStyle="1" w:styleId="802">
    <w:name w:val="网格型模版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03">
    <w:name w:val="3级标题"/>
    <w:basedOn w:val="5"/>
    <w:link w:val="804"/>
    <w:qFormat/>
    <w:uiPriority w:val="0"/>
    <w:pPr>
      <w:widowControl/>
      <w:numPr>
        <w:ilvl w:val="0"/>
        <w:numId w:val="13"/>
      </w:numPr>
      <w:tabs>
        <w:tab w:val="clear" w:pos="0"/>
      </w:tabs>
      <w:spacing w:before="120" w:after="120"/>
      <w:ind w:firstLine="0" w:firstLineChars="0"/>
      <w:jc w:val="both"/>
    </w:pPr>
    <w:rPr>
      <w:kern w:val="0"/>
      <w:szCs w:val="32"/>
      <w:lang w:val="zh-CN" w:eastAsia="zh-CN"/>
    </w:rPr>
  </w:style>
  <w:style w:type="character" w:customStyle="1" w:styleId="804">
    <w:name w:val="3级标题 Char"/>
    <w:link w:val="803"/>
    <w:qFormat/>
    <w:uiPriority w:val="0"/>
    <w:rPr>
      <w:b/>
      <w:bCs/>
      <w:sz w:val="28"/>
      <w:szCs w:val="32"/>
      <w:lang w:val="zh-CN" w:eastAsia="zh-CN"/>
    </w:rPr>
  </w:style>
  <w:style w:type="paragraph" w:customStyle="1" w:styleId="805">
    <w:name w:val="xl98"/>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06">
    <w:name w:val="font12"/>
    <w:basedOn w:val="1"/>
    <w:qFormat/>
    <w:uiPriority w:val="0"/>
    <w:pPr>
      <w:spacing w:before="100" w:beforeAutospacing="1" w:after="100" w:afterAutospacing="1" w:line="360" w:lineRule="auto"/>
      <w:jc w:val="left"/>
    </w:pPr>
    <w:rPr>
      <w:kern w:val="0"/>
      <w:szCs w:val="21"/>
    </w:rPr>
  </w:style>
  <w:style w:type="paragraph" w:customStyle="1" w:styleId="807">
    <w:name w:val="font13"/>
    <w:basedOn w:val="1"/>
    <w:qFormat/>
    <w:uiPriority w:val="0"/>
    <w:pPr>
      <w:spacing w:before="100" w:beforeAutospacing="1" w:after="100" w:afterAutospacing="1" w:line="360" w:lineRule="auto"/>
      <w:jc w:val="left"/>
    </w:pPr>
    <w:rPr>
      <w:rFonts w:ascii="宋体" w:hAnsi="宋体" w:cs="宋体"/>
      <w:kern w:val="0"/>
      <w:szCs w:val="21"/>
    </w:rPr>
  </w:style>
  <w:style w:type="paragraph" w:customStyle="1" w:styleId="808">
    <w:name w:val="font14"/>
    <w:basedOn w:val="1"/>
    <w:qFormat/>
    <w:uiPriority w:val="0"/>
    <w:pPr>
      <w:spacing w:before="100" w:beforeAutospacing="1" w:after="100" w:afterAutospacing="1" w:line="360" w:lineRule="auto"/>
      <w:jc w:val="left"/>
    </w:pPr>
    <w:rPr>
      <w:color w:val="000000"/>
      <w:kern w:val="0"/>
      <w:szCs w:val="21"/>
    </w:rPr>
  </w:style>
  <w:style w:type="table" w:customStyle="1" w:styleId="809">
    <w:name w:val="网格型2"/>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3"/>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网格型4"/>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网格型16"/>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5"/>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网格型6"/>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浅色底纹2"/>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16">
    <w:name w:val="浅色底纹 - 着色 42"/>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17">
    <w:name w:val="网格型模版1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网格型2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网格型3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网格型4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网格型161"/>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网格型51"/>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网格型7"/>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浅色底纹3"/>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25">
    <w:name w:val="浅色底纹 - 着色 43"/>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26">
    <w:name w:val="网格型13"/>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7">
    <w:name w:val="xl99"/>
    <w:basedOn w:val="1"/>
    <w:qFormat/>
    <w:uiPriority w:val="0"/>
    <w:pPr>
      <w:pBdr>
        <w:lef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8">
    <w:name w:val="xl100"/>
    <w:basedOn w:val="1"/>
    <w:qFormat/>
    <w:uiPriority w:val="0"/>
    <w:pPr>
      <w:pBdr>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9">
    <w:name w:val="xl101"/>
    <w:basedOn w:val="1"/>
    <w:qFormat/>
    <w:uiPriority w:val="0"/>
    <w:pPr>
      <w:pBdr>
        <w:left w:val="single" w:color="auto" w:sz="4" w:space="0"/>
        <w:bottom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0">
    <w:name w:val="xl102"/>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1">
    <w:name w:val="xl103"/>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2">
    <w:name w:val="xl104"/>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3">
    <w:name w:val="xl105"/>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4">
    <w:name w:val="xl106"/>
    <w:basedOn w:val="1"/>
    <w:qFormat/>
    <w:uiPriority w:val="0"/>
    <w:pPr>
      <w:pBdr>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5">
    <w:name w:val="xl107"/>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6">
    <w:name w:val="xl108"/>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7">
    <w:name w:val="xl109"/>
    <w:basedOn w:val="1"/>
    <w:qFormat/>
    <w:uiPriority w:val="0"/>
    <w:pPr>
      <w:pBdr>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8">
    <w:name w:val="xl110"/>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9">
    <w:name w:val="xl111"/>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0">
    <w:name w:val="xl112"/>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1">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pPr>
    <w:rPr>
      <w:rFonts w:ascii="宋体" w:hAnsi="宋体" w:cs="宋体"/>
      <w:kern w:val="0"/>
      <w:sz w:val="24"/>
    </w:rPr>
  </w:style>
  <w:style w:type="paragraph" w:customStyle="1" w:styleId="842">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3">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4">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5">
    <w:name w:val="xl11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6">
    <w:name w:val="xl11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7">
    <w:name w:val="正文22222"/>
    <w:basedOn w:val="1"/>
    <w:link w:val="848"/>
    <w:qFormat/>
    <w:uiPriority w:val="0"/>
    <w:pPr>
      <w:spacing w:line="360" w:lineRule="auto"/>
      <w:ind w:firstLine="480" w:firstLineChars="200"/>
    </w:pPr>
    <w:rPr>
      <w:sz w:val="24"/>
      <w:szCs w:val="22"/>
    </w:rPr>
  </w:style>
  <w:style w:type="character" w:customStyle="1" w:styleId="848">
    <w:name w:val="正文22222 Char"/>
    <w:link w:val="847"/>
    <w:qFormat/>
    <w:uiPriority w:val="0"/>
    <w:rPr>
      <w:kern w:val="2"/>
      <w:sz w:val="24"/>
      <w:szCs w:val="22"/>
    </w:rPr>
  </w:style>
  <w:style w:type="paragraph" w:customStyle="1" w:styleId="849">
    <w:name w:val="xl11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50">
    <w:name w:val="xl12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table" w:customStyle="1" w:styleId="851">
    <w:name w:val="网格型14"/>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52">
    <w:name w:val="Char Char Char Char Char Char1 Char Char Char Char"/>
    <w:basedOn w:val="1"/>
    <w:qFormat/>
    <w:uiPriority w:val="0"/>
    <w:pPr>
      <w:spacing w:after="160" w:line="240" w:lineRule="exact"/>
      <w:jc w:val="left"/>
    </w:pPr>
    <w:rPr>
      <w:rFonts w:ascii="Verdana" w:hAnsi="Verdana"/>
      <w:kern w:val="0"/>
      <w:sz w:val="20"/>
      <w:szCs w:val="20"/>
      <w:lang w:eastAsia="en-US"/>
    </w:rPr>
  </w:style>
  <w:style w:type="paragraph" w:customStyle="1" w:styleId="853">
    <w:name w:val="表格正文 YP"/>
    <w:basedOn w:val="1"/>
    <w:link w:val="854"/>
    <w:qFormat/>
    <w:uiPriority w:val="0"/>
    <w:pPr>
      <w:jc w:val="center"/>
    </w:pPr>
    <w:rPr>
      <w:rFonts w:hAnsi="宋体"/>
      <w:szCs w:val="21"/>
    </w:rPr>
  </w:style>
  <w:style w:type="character" w:customStyle="1" w:styleId="854">
    <w:name w:val="表格正文 YP Char"/>
    <w:link w:val="853"/>
    <w:qFormat/>
    <w:uiPriority w:val="0"/>
    <w:rPr>
      <w:rFonts w:hAnsi="宋体"/>
      <w:kern w:val="2"/>
      <w:sz w:val="21"/>
      <w:szCs w:val="21"/>
    </w:rPr>
  </w:style>
  <w:style w:type="table" w:customStyle="1" w:styleId="855">
    <w:name w:val="网格型15"/>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6">
    <w:name w:val="A正文 Char"/>
    <w:qFormat/>
    <w:uiPriority w:val="0"/>
    <w:rPr>
      <w:sz w:val="24"/>
      <w:szCs w:val="24"/>
    </w:rPr>
  </w:style>
  <w:style w:type="table" w:customStyle="1" w:styleId="857">
    <w:name w:val="网格型8"/>
    <w:basedOn w:val="63"/>
    <w:qFormat/>
    <w:uiPriority w:val="39"/>
    <w:rPr>
      <w:rFonts w:ascii="Calibri" w:hAnsi="Calibri" w:eastAsia="Times New Roman"/>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8">
    <w:name w:val="bjh-p"/>
    <w:basedOn w:val="70"/>
    <w:qFormat/>
    <w:uiPriority w:val="0"/>
  </w:style>
  <w:style w:type="paragraph" w:customStyle="1" w:styleId="859">
    <w:name w:val="xl12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60">
    <w:name w:val="xl12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table" w:customStyle="1" w:styleId="861">
    <w:name w:val="常用"/>
    <w:basedOn w:val="63"/>
    <w:qFormat/>
    <w:uiPriority w:val="99"/>
    <w:rPr>
      <w:rFonts w:asciiTheme="minorHAnsi" w:hAnsiTheme="minorHAnsi" w:eastAsiaTheme="minorEastAsia" w:cstheme="minorBidi"/>
      <w:kern w:val="2"/>
      <w:sz w:val="21"/>
      <w:szCs w:val="22"/>
    </w:rPr>
  </w:style>
  <w:style w:type="paragraph" w:customStyle="1" w:styleId="862">
    <w:name w:val="表格（5号）"/>
    <w:basedOn w:val="1"/>
    <w:qFormat/>
    <w:uiPriority w:val="0"/>
    <w:pPr>
      <w:spacing w:line="360" w:lineRule="exact"/>
      <w:ind w:left="-63" w:leftChars="-30" w:right="-63"/>
      <w:jc w:val="center"/>
    </w:pPr>
    <w:rPr>
      <w:rFonts w:ascii="Arial" w:hAnsi="Arial"/>
      <w:color w:val="000000"/>
      <w:sz w:val="18"/>
      <w:szCs w:val="20"/>
    </w:rPr>
  </w:style>
  <w:style w:type="paragraph" w:customStyle="1" w:styleId="863">
    <w:name w:val="表头样式1"/>
    <w:basedOn w:val="1"/>
    <w:qFormat/>
    <w:uiPriority w:val="0"/>
    <w:pPr>
      <w:spacing w:before="156" w:beforeLines="50"/>
      <w:jc w:val="center"/>
    </w:pPr>
    <w:rPr>
      <w:rFonts w:eastAsia="黑体"/>
      <w:b/>
      <w:sz w:val="24"/>
      <w:szCs w:val="20"/>
    </w:rPr>
  </w:style>
  <w:style w:type="paragraph" w:customStyle="1" w:styleId="864">
    <w:name w:val="0正文"/>
    <w:qFormat/>
    <w:uiPriority w:val="99"/>
    <w:pPr>
      <w:widowControl w:val="0"/>
      <w:spacing w:line="360" w:lineRule="auto"/>
      <w:ind w:firstLine="720" w:firstLineChars="200"/>
    </w:pPr>
    <w:rPr>
      <w:rFonts w:ascii="Calibri" w:hAnsi="Calibri" w:eastAsia="宋体" w:cs="Times New Roman"/>
      <w:sz w:val="24"/>
      <w:szCs w:val="22"/>
      <w:lang w:val="en-US" w:eastAsia="zh-CN" w:bidi="ar-SA"/>
    </w:rPr>
  </w:style>
  <w:style w:type="paragraph" w:customStyle="1" w:styleId="865">
    <w:name w:val="表格居中"/>
    <w:basedOn w:val="45"/>
    <w:next w:val="1"/>
    <w:qFormat/>
    <w:uiPriority w:val="0"/>
    <w:pPr>
      <w:spacing w:line="240" w:lineRule="auto"/>
      <w:ind w:left="0" w:firstLine="0" w:firstLineChars="0"/>
      <w:jc w:val="center"/>
    </w:pPr>
    <w:rPr>
      <w:rFonts w:ascii="Times New Roman" w:hAnsi="Times New Roman"/>
      <w:sz w:val="21"/>
      <w:szCs w:val="21"/>
    </w:rPr>
  </w:style>
  <w:style w:type="paragraph" w:customStyle="1" w:styleId="866">
    <w:name w:val="Table Paragraph"/>
    <w:basedOn w:val="1"/>
    <w:qFormat/>
    <w:uiPriority w:val="1"/>
    <w:pPr>
      <w:jc w:val="center"/>
    </w:pPr>
    <w:rPr>
      <w:rFonts w:ascii="宋体" w:hAnsi="宋体" w:eastAsia="宋体" w:cs="宋体"/>
      <w:lang w:val="zh-CN" w:eastAsia="zh-CN" w:bidi="zh-CN"/>
    </w:rPr>
  </w:style>
  <w:style w:type="paragraph" w:customStyle="1" w:styleId="867">
    <w:name w:val="表1表2"/>
    <w:basedOn w:val="1"/>
    <w:qFormat/>
    <w:uiPriority w:val="0"/>
    <w:pPr>
      <w:autoSpaceDE w:val="0"/>
      <w:autoSpaceDN w:val="0"/>
      <w:adjustRightInd w:val="0"/>
      <w:snapToGrid w:val="0"/>
      <w:spacing w:line="360" w:lineRule="auto"/>
      <w:ind w:firstLine="200" w:firstLineChars="200"/>
      <w:jc w:val="center"/>
    </w:pPr>
    <w:rPr>
      <w:kern w:val="0"/>
      <w:szCs w:val="20"/>
    </w:rPr>
  </w:style>
  <w:style w:type="paragraph" w:customStyle="1" w:styleId="868">
    <w:name w:val="图 标题"/>
    <w:basedOn w:val="230"/>
    <w:qFormat/>
    <w:uiPriority w:val="0"/>
    <w:pPr>
      <w:spacing w:line="240" w:lineRule="auto"/>
      <w:ind w:firstLine="360" w:firstLineChars="0"/>
      <w:jc w:val="center"/>
    </w:pPr>
    <w:rPr>
      <w:rFonts w:ascii="宋体" w:hAnsi="宋体"/>
      <w:b/>
    </w:rPr>
  </w:style>
  <w:style w:type="paragraph" w:customStyle="1" w:styleId="869">
    <w:name w:val="表 标题"/>
    <w:basedOn w:val="870"/>
    <w:next w:val="1"/>
    <w:qFormat/>
    <w:uiPriority w:val="0"/>
    <w:pPr>
      <w:tabs>
        <w:tab w:val="right" w:leader="dot" w:pos="8889"/>
      </w:tabs>
      <w:spacing w:before="156" w:beforeLines="50" w:line="240" w:lineRule="auto"/>
      <w:ind w:leftChars="0" w:firstLine="0" w:firstLineChars="0"/>
      <w:jc w:val="center"/>
    </w:pPr>
    <w:rPr>
      <w:rFonts w:cs="宋体"/>
      <w:b/>
      <w:szCs w:val="20"/>
    </w:rPr>
  </w:style>
  <w:style w:type="paragraph" w:customStyle="1" w:styleId="870">
    <w:name w:val="table of figures"/>
    <w:basedOn w:val="1"/>
    <w:next w:val="1"/>
    <w:qFormat/>
    <w:uiPriority w:val="0"/>
    <w:pPr>
      <w:widowControl/>
      <w:tabs>
        <w:tab w:val="right" w:leader="dot" w:pos="8889"/>
      </w:tabs>
      <w:spacing w:line="360" w:lineRule="auto"/>
      <w:jc w:val="left"/>
    </w:pPr>
    <w:rPr>
      <w:kern w:val="0"/>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57.jpeg"/><Relationship Id="rId98" Type="http://schemas.openxmlformats.org/officeDocument/2006/relationships/image" Target="media/image56.jpeg"/><Relationship Id="rId97" Type="http://schemas.openxmlformats.org/officeDocument/2006/relationships/image" Target="media/image55.jpeg"/><Relationship Id="rId96" Type="http://schemas.openxmlformats.org/officeDocument/2006/relationships/image" Target="media/image54.jpeg"/><Relationship Id="rId95" Type="http://schemas.openxmlformats.org/officeDocument/2006/relationships/image" Target="media/image53.jpeg"/><Relationship Id="rId94" Type="http://schemas.openxmlformats.org/officeDocument/2006/relationships/image" Target="media/image52.jpeg"/><Relationship Id="rId93" Type="http://schemas.openxmlformats.org/officeDocument/2006/relationships/image" Target="media/image51.jpeg"/><Relationship Id="rId92" Type="http://schemas.openxmlformats.org/officeDocument/2006/relationships/image" Target="media/image50.jpeg"/><Relationship Id="rId91" Type="http://schemas.openxmlformats.org/officeDocument/2006/relationships/image" Target="media/image49.jpeg"/><Relationship Id="rId90" Type="http://schemas.openxmlformats.org/officeDocument/2006/relationships/image" Target="media/image48.jpeg"/><Relationship Id="rId9" Type="http://schemas.openxmlformats.org/officeDocument/2006/relationships/footer" Target="footer4.xml"/><Relationship Id="rId89" Type="http://schemas.openxmlformats.org/officeDocument/2006/relationships/image" Target="media/image47.jpeg"/><Relationship Id="rId88" Type="http://schemas.openxmlformats.org/officeDocument/2006/relationships/image" Target="media/image46.png"/><Relationship Id="rId87" Type="http://schemas.openxmlformats.org/officeDocument/2006/relationships/image" Target="media/image45.png"/><Relationship Id="rId86" Type="http://schemas.openxmlformats.org/officeDocument/2006/relationships/image" Target="media/image44.wmf"/><Relationship Id="rId85" Type="http://schemas.openxmlformats.org/officeDocument/2006/relationships/oleObject" Target="embeddings/oleObject29.bin"/><Relationship Id="rId84" Type="http://schemas.openxmlformats.org/officeDocument/2006/relationships/image" Target="media/image43.wmf"/><Relationship Id="rId83" Type="http://schemas.openxmlformats.org/officeDocument/2006/relationships/oleObject" Target="embeddings/oleObject28.bin"/><Relationship Id="rId82" Type="http://schemas.openxmlformats.org/officeDocument/2006/relationships/image" Target="media/image42.wmf"/><Relationship Id="rId81" Type="http://schemas.openxmlformats.org/officeDocument/2006/relationships/oleObject" Target="embeddings/oleObject27.bin"/><Relationship Id="rId80" Type="http://schemas.openxmlformats.org/officeDocument/2006/relationships/image" Target="media/image41.jpeg"/><Relationship Id="rId8" Type="http://schemas.openxmlformats.org/officeDocument/2006/relationships/footer" Target="footer3.xml"/><Relationship Id="rId79" Type="http://schemas.openxmlformats.org/officeDocument/2006/relationships/image" Target="media/image40.jpeg"/><Relationship Id="rId78" Type="http://schemas.openxmlformats.org/officeDocument/2006/relationships/image" Target="media/image39.png"/><Relationship Id="rId77" Type="http://schemas.openxmlformats.org/officeDocument/2006/relationships/image" Target="media/image38.wmf"/><Relationship Id="rId76" Type="http://schemas.openxmlformats.org/officeDocument/2006/relationships/oleObject" Target="embeddings/oleObject26.bin"/><Relationship Id="rId75" Type="http://schemas.openxmlformats.org/officeDocument/2006/relationships/image" Target="media/image37.wmf"/><Relationship Id="rId74" Type="http://schemas.openxmlformats.org/officeDocument/2006/relationships/oleObject" Target="embeddings/oleObject25.bin"/><Relationship Id="rId73" Type="http://schemas.openxmlformats.org/officeDocument/2006/relationships/image" Target="media/image36.png"/><Relationship Id="rId72" Type="http://schemas.openxmlformats.org/officeDocument/2006/relationships/oleObject" Target="embeddings/oleObject24.bin"/><Relationship Id="rId71" Type="http://schemas.openxmlformats.org/officeDocument/2006/relationships/oleObject" Target="embeddings/oleObject23.bin"/><Relationship Id="rId70" Type="http://schemas.openxmlformats.org/officeDocument/2006/relationships/image" Target="media/image35.wmf"/><Relationship Id="rId7" Type="http://schemas.openxmlformats.org/officeDocument/2006/relationships/header" Target="header3.xml"/><Relationship Id="rId69" Type="http://schemas.openxmlformats.org/officeDocument/2006/relationships/oleObject" Target="embeddings/oleObject22.bin"/><Relationship Id="rId68" Type="http://schemas.openxmlformats.org/officeDocument/2006/relationships/image" Target="media/image34.wmf"/><Relationship Id="rId67" Type="http://schemas.openxmlformats.org/officeDocument/2006/relationships/oleObject" Target="embeddings/oleObject21.bin"/><Relationship Id="rId66" Type="http://schemas.openxmlformats.org/officeDocument/2006/relationships/image" Target="media/image33.wmf"/><Relationship Id="rId65" Type="http://schemas.openxmlformats.org/officeDocument/2006/relationships/oleObject" Target="embeddings/oleObject20.bin"/><Relationship Id="rId64" Type="http://schemas.openxmlformats.org/officeDocument/2006/relationships/image" Target="media/image32.wmf"/><Relationship Id="rId63" Type="http://schemas.openxmlformats.org/officeDocument/2006/relationships/oleObject" Target="embeddings/oleObject19.bin"/><Relationship Id="rId62" Type="http://schemas.openxmlformats.org/officeDocument/2006/relationships/image" Target="media/image31.png"/><Relationship Id="rId61" Type="http://schemas.openxmlformats.org/officeDocument/2006/relationships/image" Target="media/image30.wmf"/><Relationship Id="rId60" Type="http://schemas.openxmlformats.org/officeDocument/2006/relationships/oleObject" Target="embeddings/oleObject18.bin"/><Relationship Id="rId6" Type="http://schemas.openxmlformats.org/officeDocument/2006/relationships/footer" Target="footer2.xml"/><Relationship Id="rId59" Type="http://schemas.openxmlformats.org/officeDocument/2006/relationships/image" Target="media/image29.wmf"/><Relationship Id="rId58" Type="http://schemas.openxmlformats.org/officeDocument/2006/relationships/oleObject" Target="embeddings/oleObject17.bin"/><Relationship Id="rId57" Type="http://schemas.openxmlformats.org/officeDocument/2006/relationships/image" Target="media/image28.wmf"/><Relationship Id="rId56" Type="http://schemas.openxmlformats.org/officeDocument/2006/relationships/oleObject" Target="embeddings/oleObject16.bin"/><Relationship Id="rId55" Type="http://schemas.openxmlformats.org/officeDocument/2006/relationships/image" Target="media/image27.wmf"/><Relationship Id="rId54" Type="http://schemas.openxmlformats.org/officeDocument/2006/relationships/oleObject" Target="embeddings/oleObject15.bin"/><Relationship Id="rId53" Type="http://schemas.openxmlformats.org/officeDocument/2006/relationships/image" Target="media/image26.wmf"/><Relationship Id="rId52" Type="http://schemas.openxmlformats.org/officeDocument/2006/relationships/oleObject" Target="embeddings/oleObject14.bin"/><Relationship Id="rId51" Type="http://schemas.openxmlformats.org/officeDocument/2006/relationships/image" Target="media/image25.wmf"/><Relationship Id="rId50" Type="http://schemas.openxmlformats.org/officeDocument/2006/relationships/oleObject" Target="embeddings/oleObject13.bin"/><Relationship Id="rId5" Type="http://schemas.openxmlformats.org/officeDocument/2006/relationships/header" Target="header2.xml"/><Relationship Id="rId49" Type="http://schemas.openxmlformats.org/officeDocument/2006/relationships/image" Target="media/image24.wmf"/><Relationship Id="rId48" Type="http://schemas.openxmlformats.org/officeDocument/2006/relationships/oleObject" Target="embeddings/oleObject12.bin"/><Relationship Id="rId47" Type="http://schemas.openxmlformats.org/officeDocument/2006/relationships/image" Target="media/image23.png"/><Relationship Id="rId46" Type="http://schemas.openxmlformats.org/officeDocument/2006/relationships/image" Target="media/image22.png"/><Relationship Id="rId45" Type="http://schemas.openxmlformats.org/officeDocument/2006/relationships/image" Target="media/image21.png"/><Relationship Id="rId44" Type="http://schemas.openxmlformats.org/officeDocument/2006/relationships/image" Target="media/image20.emf"/><Relationship Id="rId43" Type="http://schemas.openxmlformats.org/officeDocument/2006/relationships/oleObject" Target="embeddings/oleObject11.bin"/><Relationship Id="rId42" Type="http://schemas.openxmlformats.org/officeDocument/2006/relationships/image" Target="media/image19.emf"/><Relationship Id="rId41" Type="http://schemas.openxmlformats.org/officeDocument/2006/relationships/oleObject" Target="embeddings/oleObject10.bin"/><Relationship Id="rId40" Type="http://schemas.openxmlformats.org/officeDocument/2006/relationships/image" Target="media/image18.wmf"/><Relationship Id="rId4" Type="http://schemas.openxmlformats.org/officeDocument/2006/relationships/footer" Target="footer1.xml"/><Relationship Id="rId39" Type="http://schemas.openxmlformats.org/officeDocument/2006/relationships/oleObject" Target="embeddings/oleObject9.bin"/><Relationship Id="rId38" Type="http://schemas.openxmlformats.org/officeDocument/2006/relationships/image" Target="media/image17.emf"/><Relationship Id="rId37" Type="http://schemas.openxmlformats.org/officeDocument/2006/relationships/oleObject" Target="embeddings/oleObject8.bin"/><Relationship Id="rId36" Type="http://schemas.openxmlformats.org/officeDocument/2006/relationships/image" Target="media/image16.emf"/><Relationship Id="rId35" Type="http://schemas.openxmlformats.org/officeDocument/2006/relationships/oleObject" Target="embeddings/oleObject7.bin"/><Relationship Id="rId34" Type="http://schemas.openxmlformats.org/officeDocument/2006/relationships/image" Target="media/image15.emf"/><Relationship Id="rId33" Type="http://schemas.openxmlformats.org/officeDocument/2006/relationships/oleObject" Target="embeddings/oleObject6.bin"/><Relationship Id="rId32" Type="http://schemas.openxmlformats.org/officeDocument/2006/relationships/image" Target="media/image14.emf"/><Relationship Id="rId31" Type="http://schemas.openxmlformats.org/officeDocument/2006/relationships/oleObject" Target="embeddings/oleObject5.bin"/><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4.bin"/><Relationship Id="rId27" Type="http://schemas.openxmlformats.org/officeDocument/2006/relationships/image" Target="media/image11.wmf"/><Relationship Id="rId26" Type="http://schemas.openxmlformats.org/officeDocument/2006/relationships/oleObject" Target="embeddings/oleObject3.bin"/><Relationship Id="rId25" Type="http://schemas.openxmlformats.org/officeDocument/2006/relationships/image" Target="media/image10.wmf"/><Relationship Id="rId24" Type="http://schemas.openxmlformats.org/officeDocument/2006/relationships/oleObject" Target="embeddings/oleObject2.bin"/><Relationship Id="rId23" Type="http://schemas.openxmlformats.org/officeDocument/2006/relationships/image" Target="media/image9.wmf"/><Relationship Id="rId22" Type="http://schemas.openxmlformats.org/officeDocument/2006/relationships/oleObject" Target="embeddings/oleObject1.bin"/><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7.xml"/><Relationship Id="rId117" Type="http://schemas.openxmlformats.org/officeDocument/2006/relationships/fontTable" Target="fontTable.xml"/><Relationship Id="rId116" Type="http://schemas.openxmlformats.org/officeDocument/2006/relationships/customXml" Target="../customXml/item2.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69.png"/><Relationship Id="rId112" Type="http://schemas.openxmlformats.org/officeDocument/2006/relationships/image" Target="media/image68.png"/><Relationship Id="rId111" Type="http://schemas.openxmlformats.org/officeDocument/2006/relationships/image" Target="media/image67.png"/><Relationship Id="rId110" Type="http://schemas.openxmlformats.org/officeDocument/2006/relationships/image" Target="media/image66.png"/><Relationship Id="rId11" Type="http://schemas.openxmlformats.org/officeDocument/2006/relationships/footer" Target="footer6.xml"/><Relationship Id="rId109" Type="http://schemas.openxmlformats.org/officeDocument/2006/relationships/image" Target="media/image65.png"/><Relationship Id="rId108" Type="http://schemas.openxmlformats.org/officeDocument/2006/relationships/image" Target="media/image64.png"/><Relationship Id="rId107" Type="http://schemas.openxmlformats.org/officeDocument/2006/relationships/image" Target="media/image63.png"/><Relationship Id="rId106" Type="http://schemas.openxmlformats.org/officeDocument/2006/relationships/image" Target="media/image62.png"/><Relationship Id="rId105" Type="http://schemas.openxmlformats.org/officeDocument/2006/relationships/image" Target="media/image61.emf"/><Relationship Id="rId104" Type="http://schemas.openxmlformats.org/officeDocument/2006/relationships/oleObject" Target="embeddings/oleObject31.bin"/><Relationship Id="rId103" Type="http://schemas.openxmlformats.org/officeDocument/2006/relationships/image" Target="media/image60.emf"/><Relationship Id="rId102" Type="http://schemas.openxmlformats.org/officeDocument/2006/relationships/oleObject" Target="embeddings/oleObject30.bin"/><Relationship Id="rId101" Type="http://schemas.openxmlformats.org/officeDocument/2006/relationships/image" Target="media/image59.jpeg"/><Relationship Id="rId100" Type="http://schemas.openxmlformats.org/officeDocument/2006/relationships/image" Target="media/image58.jpeg"/><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A1D4C2-0EDF-42E1-94A3-A2117A930A1F}">
  <ds:schemaRefs/>
</ds:datastoreItem>
</file>

<file path=docProps/app.xml><?xml version="1.0" encoding="utf-8"?>
<Properties xmlns="http://schemas.openxmlformats.org/officeDocument/2006/extended-properties" xmlns:vt="http://schemas.openxmlformats.org/officeDocument/2006/docPropsVTypes">
  <Template>报告书模板</Template>
  <Company>宁波环科院</Company>
  <Pages>225</Pages>
  <Words>139875</Words>
  <Characters>157627</Characters>
  <Lines>1798</Lines>
  <Paragraphs>506</Paragraphs>
  <TotalTime>23</TotalTime>
  <ScaleCrop>false</ScaleCrop>
  <LinksUpToDate>false</LinksUpToDate>
  <CharactersWithSpaces>163741</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2019-04-29T15:44:00Z</dcterms:created>
  <dc:creator>YUQQ</dc:creator>
  <cp:lastModifiedBy>Administrator</cp:lastModifiedBy>
  <cp:lastPrinted>2019-12-18T01:07:00Z</cp:lastPrinted>
  <dcterms:modified xsi:type="dcterms:W3CDTF">2024-01-02T02:54:07Z</dcterms:modified>
  <dc:title>1</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8295DF5F60A3471782F63EC6BFACE84F</vt:lpwstr>
  </property>
</Properties>
</file>