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基本药物制度配套资金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</w:t>
      </w:r>
      <w:r>
        <w:rPr>
          <w:rFonts w:hint="eastAsia" w:ascii="仿宋_GB2312" w:hAnsi="宋体" w:eastAsia="仿宋_GB2312"/>
          <w:sz w:val="32"/>
          <w:lang w:val="en-US" w:eastAsia="zh-CN"/>
        </w:rPr>
        <w:t>仁化县人民医院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侯小玉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0751-6340031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2023年3月23日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根据县财政局《关于开展2022年度县级财政支出项目绩效自评工作的通知》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的文件要求，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我院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认真对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县级财政支出项目开展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绩效目标自评，绩效自评情况报告如下：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基本情况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评价年度的资金额度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县级财政拨款至我院基本药物制度配套资金年度额度为473200元，</w:t>
      </w:r>
      <w:r>
        <w:rPr>
          <w:rFonts w:hint="eastAsia" w:ascii="仿宋_GB2312" w:eastAsia="仿宋_GB2312"/>
          <w:sz w:val="32"/>
          <w:szCs w:val="32"/>
        </w:rPr>
        <w:t>资金到达率为100%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主要用途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基层医疗卫生机构基本药物制度补助资金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（三）绩效目标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22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一是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有效控制药占比，提高了医疗服务收入，实现从“以药补医”到“以技补医”的转变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实现基本药物集中采购、降低药占比、稳定零差率销售率等目标，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保证广大群众用药安全，使药品价格得到合理有效控制，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减轻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城乡居民基本用药负担，提高人民群众健康水平。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减轻因取消药品销售的加成、实现基本药物零差率销售所带来的经济压力。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  <w:bookmarkStart w:id="0" w:name="_GoBack"/>
      <w:bookmarkEnd w:id="0"/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我院严格按照上级部门指示，合法合规合理使用资金，资金使用率和资金拨付达到100%，使得患者满意度提高，自评分数为88分，绩效等级为“优秀”。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该款项用于支付欠供应商药品款。资金的及时拨付，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减轻了我院购买药品及医疗材料的经济压力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22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一是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药占比降低。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病人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看病的过程中，买药的花费占总花费的比例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降低，减轻群众看病负担，切实缓解群众“看病难，看病贵”问题，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提高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人民群众健康水平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；二我院按规定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药品采购“两票制”，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实行基本药物零差率销售及药品统一采购。从根本上解决了药品安全质量和药物的足额供应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是理顺医疗服务价格体系，节约医疗成本，保证质量，提高运行效率。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县级财政下拨资金473200元，按我院实际情况全部用于支付欠供应商药品款。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制度建设仍不够完善。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提高思想认识，加大专业技术人员的培养，经一部加强执业规范。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加强对药政政策文件的深入学习，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完善我院基本制度建设，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医疗机构配备和使用基药的监管，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规范采购及资金项目管理，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全面落实基本药物制度配套政策。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6D630"/>
    <w:multiLevelType w:val="singleLevel"/>
    <w:tmpl w:val="01F6D6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B52BBB"/>
    <w:multiLevelType w:val="singleLevel"/>
    <w:tmpl w:val="56B52BB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MzUyYmQwYTVlM2RkNzBhYzJkZjhiM2ExYjY0N2IifQ=="/>
  </w:docVars>
  <w:rsids>
    <w:rsidRoot w:val="0BFE5C14"/>
    <w:rsid w:val="09584912"/>
    <w:rsid w:val="099A00A9"/>
    <w:rsid w:val="0ABF1BFB"/>
    <w:rsid w:val="0BFE5C14"/>
    <w:rsid w:val="0E610713"/>
    <w:rsid w:val="1EDE4CF4"/>
    <w:rsid w:val="2DE123DA"/>
    <w:rsid w:val="37616D1E"/>
    <w:rsid w:val="42F145B3"/>
    <w:rsid w:val="446F5DFA"/>
    <w:rsid w:val="65700728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5</TotalTime>
  <ScaleCrop>false</ScaleCrop>
  <LinksUpToDate>false</LinksUpToDate>
  <CharactersWithSpaces>208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刘光贤</cp:lastModifiedBy>
  <dcterms:modified xsi:type="dcterms:W3CDTF">2023-10-26T03:30:29Z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42F46213B6B44035B79C68B2B5C3FBAE</vt:lpwstr>
  </property>
</Properties>
</file>