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711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0"/>
        <w:gridCol w:w="1260"/>
        <w:gridCol w:w="1709"/>
        <w:gridCol w:w="710"/>
        <w:gridCol w:w="1141"/>
        <w:gridCol w:w="988"/>
        <w:gridCol w:w="633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78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120" w:firstLineChars="255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备案编号：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exact"/>
              <w:jc w:val="center"/>
              <w:textAlignment w:val="center"/>
              <w:rPr>
                <w:rFonts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广东省</w:t>
            </w:r>
            <w:r>
              <w:rPr>
                <w:rFonts w:hint="eastAsia" w:ascii="方正小标宋简体" w:hAnsi="华文中宋" w:eastAsia="方正小标宋简体" w:cs="方正小标宋_GBK"/>
                <w:color w:val="000000"/>
                <w:kern w:val="0"/>
                <w:sz w:val="32"/>
                <w:szCs w:val="32"/>
              </w:rPr>
              <w:t>异地就医登记备案表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□职工医保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□城乡居民医保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□异地安置退休人员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□异地长期居住人员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□常驻异地工作人员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□异地转诊人员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其他临时外出就医人员</w:t>
            </w: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登记类别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□新增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社会保障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社会保障卡卡号（可选）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参保地       联系地址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异地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转往省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2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转往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(市、州)</w:t>
            </w:r>
          </w:p>
        </w:tc>
        <w:tc>
          <w:tcPr>
            <w:tcW w:w="3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9781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温馨提示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省内异地就医直接结算执行广东省目录、参保地规定的基本医疗保险基金起付标准、支付比例、最高支付限额等有关政策；跨省异地就医直接结算执行就医地规定的支付范围及有关规定、参保地规定的基本医疗保险基金起付标准、支付比例、最高支付限额、门诊慢特病病种范围等有关政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办理备案时直接备案到就医地市或直辖市。参保人根据病情、居住地、交通等情况，自主选择就医地开通的省内（跨省）联网定点医疗机构住院就医。门诊就医时按照参保地异地就医管理要求选择定点医药机构就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3.到海南、西藏等省级统筹的省份和新疆生产建设兵团就医的，可备案到就医省份和新疆生产建设兵团。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4.异地急诊抢救人员视同已备案。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5.未按规定办理登记备案手续，或在就医地非省内（跨省）定点医疗机构发生的医疗费用，按参保地现有规定执行。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□被委托人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3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经办机构：          联系电话：          经办人：          经办日期：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D7DC6"/>
    <w:rsid w:val="1D320F64"/>
    <w:rsid w:val="24954973"/>
    <w:rsid w:val="2510733F"/>
    <w:rsid w:val="3F8A4C34"/>
    <w:rsid w:val="3FD52378"/>
    <w:rsid w:val="460A766F"/>
    <w:rsid w:val="4B5F5DC5"/>
    <w:rsid w:val="5AA37C1C"/>
    <w:rsid w:val="5B5D7DC6"/>
    <w:rsid w:val="740575F0"/>
    <w:rsid w:val="FBFFC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2020-08-25T22:26:00Z</dcterms:created>
  <dc:creator>张旭泉</dc:creator>
  <cp:lastModifiedBy>ht706</cp:lastModifiedBy>
  <dcterms:modified xsi:type="dcterms:W3CDTF">2022-09-08T15:01:47Z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4E7D8C6F1FDB47B4888E43F8CD8724F6</vt:lpwstr>
  </property>
</Properties>
</file>