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700" w:lineRule="exact"/>
        <w:jc w:val="center"/>
        <w:textAlignment w:val="baseline"/>
        <w:rPr>
          <w:rFonts w:hint="eastAsia" w:ascii="宋体" w:hAnsi="宋体" w:eastAsia="宋体" w:cs="宋体"/>
          <w:b/>
          <w:bCs/>
          <w:spacing w:val="-15"/>
          <w:sz w:val="45"/>
          <w:szCs w:val="45"/>
          <w:highlight w:val="none"/>
          <w:lang w:val="en-US" w:eastAsia="zh-CN"/>
        </w:rPr>
      </w:pPr>
      <w:bookmarkStart w:id="0" w:name="_GoBack"/>
      <w:r>
        <w:rPr>
          <w:rFonts w:hint="eastAsia" w:ascii="宋体" w:hAnsi="宋体" w:eastAsia="宋体" w:cs="宋体"/>
          <w:b/>
          <w:bCs/>
          <w:spacing w:val="-15"/>
          <w:sz w:val="45"/>
          <w:szCs w:val="45"/>
          <w:highlight w:val="none"/>
          <w:lang w:val="en-US" w:eastAsia="zh-CN"/>
        </w:rPr>
        <w:t>仁化县</w:t>
      </w:r>
      <w:r>
        <w:rPr>
          <w:rFonts w:ascii="宋体" w:hAnsi="宋体" w:eastAsia="宋体" w:cs="宋体"/>
          <w:b/>
          <w:bCs/>
          <w:spacing w:val="-15"/>
          <w:sz w:val="45"/>
          <w:szCs w:val="45"/>
          <w:highlight w:val="none"/>
        </w:rPr>
        <w:t>自然资源局关于韶关市</w:t>
      </w:r>
      <w:r>
        <w:rPr>
          <w:rFonts w:hint="eastAsia" w:ascii="宋体" w:hAnsi="宋体" w:eastAsia="宋体" w:cs="宋体"/>
          <w:b/>
          <w:bCs/>
          <w:spacing w:val="-15"/>
          <w:sz w:val="45"/>
          <w:szCs w:val="45"/>
          <w:highlight w:val="none"/>
          <w:lang w:val="en-US" w:eastAsia="zh-CN"/>
        </w:rPr>
        <w:t>仁化县</w:t>
      </w:r>
    </w:p>
    <w:p>
      <w:pPr>
        <w:keepNext w:val="0"/>
        <w:keepLines w:val="0"/>
        <w:pageBreakBefore w:val="0"/>
        <w:widowControl/>
        <w:kinsoku w:val="0"/>
        <w:wordWrap/>
        <w:overflowPunct/>
        <w:topLinePunct w:val="0"/>
        <w:autoSpaceDE w:val="0"/>
        <w:autoSpaceDN w:val="0"/>
        <w:bidi w:val="0"/>
        <w:adjustRightInd w:val="0"/>
        <w:snapToGrid w:val="0"/>
        <w:spacing w:line="700" w:lineRule="exact"/>
        <w:jc w:val="center"/>
        <w:textAlignment w:val="baseline"/>
        <w:rPr>
          <w:rFonts w:ascii="宋体" w:hAnsi="宋体" w:eastAsia="宋体" w:cs="宋体"/>
          <w:b/>
          <w:bCs/>
          <w:spacing w:val="-6"/>
          <w:sz w:val="45"/>
          <w:szCs w:val="45"/>
          <w:highlight w:val="none"/>
        </w:rPr>
      </w:pPr>
      <w:r>
        <w:rPr>
          <w:rFonts w:ascii="宋体" w:hAnsi="宋体" w:eastAsia="宋体" w:cs="宋体"/>
          <w:b/>
          <w:bCs/>
          <w:spacing w:val="-6"/>
          <w:sz w:val="45"/>
          <w:szCs w:val="45"/>
          <w:highlight w:val="none"/>
        </w:rPr>
        <w:t>202</w:t>
      </w:r>
      <w:r>
        <w:rPr>
          <w:rFonts w:hint="eastAsia" w:ascii="宋体" w:hAnsi="宋体" w:eastAsia="宋体" w:cs="宋体"/>
          <w:b/>
          <w:bCs/>
          <w:spacing w:val="-6"/>
          <w:sz w:val="45"/>
          <w:szCs w:val="45"/>
          <w:highlight w:val="none"/>
          <w:lang w:val="en-US" w:eastAsia="zh-CN"/>
        </w:rPr>
        <w:t>2</w:t>
      </w:r>
      <w:r>
        <w:rPr>
          <w:rFonts w:ascii="宋体" w:hAnsi="宋体" w:eastAsia="宋体" w:cs="宋体"/>
          <w:b/>
          <w:bCs/>
          <w:spacing w:val="-6"/>
          <w:sz w:val="45"/>
          <w:szCs w:val="45"/>
          <w:highlight w:val="none"/>
        </w:rPr>
        <w:t>年度第</w:t>
      </w:r>
      <w:r>
        <w:rPr>
          <w:rFonts w:hint="eastAsia" w:ascii="宋体" w:hAnsi="宋体" w:eastAsia="宋体" w:cs="宋体"/>
          <w:b/>
          <w:bCs/>
          <w:spacing w:val="-6"/>
          <w:sz w:val="45"/>
          <w:szCs w:val="45"/>
          <w:highlight w:val="none"/>
          <w:lang w:val="en-US" w:eastAsia="zh-CN"/>
        </w:rPr>
        <w:t>十一</w:t>
      </w:r>
      <w:r>
        <w:rPr>
          <w:rFonts w:ascii="宋体" w:hAnsi="宋体" w:eastAsia="宋体" w:cs="宋体"/>
          <w:b/>
          <w:bCs/>
          <w:spacing w:val="-6"/>
          <w:sz w:val="45"/>
          <w:szCs w:val="45"/>
          <w:highlight w:val="none"/>
        </w:rPr>
        <w:t>批次</w:t>
      </w:r>
      <w:r>
        <w:rPr>
          <w:rFonts w:ascii="宋体" w:hAnsi="宋体" w:eastAsia="宋体" w:cs="宋体"/>
          <w:b/>
          <w:bCs/>
          <w:spacing w:val="-6"/>
          <w:sz w:val="45"/>
          <w:szCs w:val="45"/>
          <w:highlight w:val="none"/>
        </w:rPr>
        <w:t>城镇建设用地</w:t>
      </w:r>
    </w:p>
    <w:p>
      <w:pPr>
        <w:keepNext w:val="0"/>
        <w:keepLines w:val="0"/>
        <w:pageBreakBefore w:val="0"/>
        <w:widowControl/>
        <w:kinsoku w:val="0"/>
        <w:wordWrap/>
        <w:overflowPunct/>
        <w:topLinePunct w:val="0"/>
        <w:autoSpaceDE w:val="0"/>
        <w:autoSpaceDN w:val="0"/>
        <w:bidi w:val="0"/>
        <w:adjustRightInd w:val="0"/>
        <w:snapToGrid w:val="0"/>
        <w:spacing w:line="700" w:lineRule="exact"/>
        <w:jc w:val="center"/>
        <w:textAlignment w:val="baseline"/>
        <w:rPr>
          <w:rFonts w:ascii="宋体" w:hAnsi="宋体" w:eastAsia="宋体" w:cs="宋体"/>
          <w:b/>
          <w:bCs/>
          <w:spacing w:val="-14"/>
          <w:sz w:val="45"/>
          <w:szCs w:val="45"/>
          <w:highlight w:val="none"/>
        </w:rPr>
      </w:pPr>
      <w:r>
        <w:rPr>
          <w:rFonts w:ascii="宋体" w:hAnsi="宋体" w:eastAsia="宋体" w:cs="宋体"/>
          <w:b/>
          <w:bCs/>
          <w:spacing w:val="-14"/>
          <w:sz w:val="45"/>
          <w:szCs w:val="45"/>
          <w:highlight w:val="none"/>
        </w:rPr>
        <w:t>征地补偿安置方案的公告</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0" w:firstLineChars="0"/>
        <w:jc w:val="both"/>
        <w:textAlignment w:val="baseline"/>
        <w:outlineLvl w:val="9"/>
        <w:rPr>
          <w:rFonts w:hint="eastAsia" w:ascii="仿宋_GB2312" w:hAnsi="仿宋_GB2312" w:eastAsia="仿宋_GB2312" w:cs="仿宋_GB2312"/>
          <w:b w:val="0"/>
          <w:bCs/>
          <w:spacing w:val="0"/>
          <w:w w:val="100"/>
          <w:position w:val="0"/>
          <w:sz w:val="32"/>
          <w:szCs w:val="32"/>
          <w:highlight w:val="none"/>
        </w:rPr>
      </w:pP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b w:val="0"/>
          <w:bCs/>
          <w:spacing w:val="0"/>
          <w:w w:val="100"/>
          <w:position w:val="0"/>
          <w:sz w:val="32"/>
          <w:szCs w:val="32"/>
          <w:highlight w:val="none"/>
        </w:rPr>
      </w:pPr>
      <w:r>
        <w:rPr>
          <w:rFonts w:hint="eastAsia" w:ascii="仿宋_GB2312" w:hAnsi="仿宋_GB2312" w:eastAsia="仿宋_GB2312" w:cs="仿宋_GB2312"/>
          <w:b w:val="0"/>
          <w:bCs/>
          <w:spacing w:val="0"/>
          <w:w w:val="100"/>
          <w:position w:val="0"/>
          <w:sz w:val="32"/>
          <w:szCs w:val="32"/>
          <w:highlight w:val="none"/>
        </w:rPr>
        <w:t>韶关市</w:t>
      </w:r>
      <w:r>
        <w:rPr>
          <w:rFonts w:hint="eastAsia" w:ascii="仿宋_GB2312" w:hAnsi="仿宋_GB2312" w:eastAsia="仿宋_GB2312" w:cs="仿宋_GB2312"/>
          <w:b w:val="0"/>
          <w:bCs/>
          <w:spacing w:val="0"/>
          <w:w w:val="100"/>
          <w:position w:val="0"/>
          <w:sz w:val="32"/>
          <w:szCs w:val="32"/>
          <w:highlight w:val="none"/>
          <w:lang w:val="en-US" w:eastAsia="zh-CN"/>
        </w:rPr>
        <w:t>仁化县</w:t>
      </w:r>
      <w:r>
        <w:rPr>
          <w:rFonts w:hint="eastAsia" w:ascii="仿宋_GB2312" w:hAnsi="仿宋_GB2312" w:eastAsia="仿宋_GB2312" w:cs="仿宋_GB2312"/>
          <w:b w:val="0"/>
          <w:bCs/>
          <w:spacing w:val="0"/>
          <w:w w:val="100"/>
          <w:position w:val="0"/>
          <w:sz w:val="32"/>
          <w:szCs w:val="32"/>
          <w:highlight w:val="none"/>
          <w:lang w:eastAsia="zh-CN"/>
        </w:rPr>
        <w:t>2022年度</w:t>
      </w:r>
      <w:r>
        <w:rPr>
          <w:rFonts w:hint="eastAsia" w:ascii="仿宋_GB2312" w:hAnsi="仿宋_GB2312" w:eastAsia="仿宋_GB2312" w:cs="仿宋_GB2312"/>
          <w:b w:val="0"/>
          <w:bCs/>
          <w:spacing w:val="0"/>
          <w:w w:val="100"/>
          <w:position w:val="0"/>
          <w:sz w:val="32"/>
          <w:szCs w:val="32"/>
          <w:highlight w:val="none"/>
        </w:rPr>
        <w:t>第十一批次</w:t>
      </w:r>
      <w:r>
        <w:rPr>
          <w:rFonts w:hint="eastAsia" w:ascii="仿宋_GB2312" w:hAnsi="仿宋_GB2312" w:eastAsia="仿宋_GB2312" w:cs="仿宋_GB2312"/>
          <w:b w:val="0"/>
          <w:bCs/>
          <w:spacing w:val="0"/>
          <w:w w:val="100"/>
          <w:position w:val="0"/>
          <w:sz w:val="32"/>
          <w:szCs w:val="32"/>
          <w:highlight w:val="none"/>
        </w:rPr>
        <w:t>城镇建设用地已经广东省人民政府</w:t>
      </w:r>
      <w:r>
        <w:rPr>
          <w:rFonts w:hint="eastAsia" w:ascii="仿宋_GB2312" w:hAnsi="仿宋_GB2312" w:eastAsia="仿宋_GB2312" w:cs="仿宋_GB2312"/>
          <w:b w:val="0"/>
          <w:bCs/>
          <w:spacing w:val="0"/>
          <w:w w:val="100"/>
          <w:position w:val="0"/>
          <w:sz w:val="32"/>
          <w:szCs w:val="32"/>
          <w:highlight w:val="none"/>
        </w:rPr>
        <w:t>粤府土审(07)〔2022〕</w:t>
      </w:r>
      <w:r>
        <w:rPr>
          <w:rFonts w:hint="eastAsia" w:ascii="仿宋_GB2312" w:hAnsi="仿宋_GB2312" w:eastAsia="仿宋_GB2312" w:cs="仿宋_GB2312"/>
          <w:b w:val="0"/>
          <w:bCs/>
          <w:spacing w:val="0"/>
          <w:w w:val="100"/>
          <w:position w:val="0"/>
          <w:sz w:val="32"/>
          <w:szCs w:val="32"/>
          <w:highlight w:val="none"/>
          <w:lang w:val="en-US" w:eastAsia="zh-CN"/>
        </w:rPr>
        <w:t>81</w:t>
      </w:r>
      <w:r>
        <w:rPr>
          <w:rFonts w:hint="eastAsia" w:ascii="仿宋_GB2312" w:hAnsi="仿宋_GB2312" w:eastAsia="仿宋_GB2312" w:cs="仿宋_GB2312"/>
          <w:b w:val="0"/>
          <w:bCs/>
          <w:spacing w:val="0"/>
          <w:w w:val="100"/>
          <w:position w:val="0"/>
          <w:sz w:val="32"/>
          <w:szCs w:val="32"/>
          <w:highlight w:val="none"/>
        </w:rPr>
        <w:t>号</w:t>
      </w:r>
      <w:r>
        <w:rPr>
          <w:rFonts w:hint="eastAsia" w:ascii="仿宋_GB2312" w:hAnsi="仿宋_GB2312" w:eastAsia="仿宋_GB2312" w:cs="仿宋_GB2312"/>
          <w:b w:val="0"/>
          <w:bCs/>
          <w:spacing w:val="0"/>
          <w:w w:val="100"/>
          <w:position w:val="0"/>
          <w:sz w:val="32"/>
          <w:szCs w:val="32"/>
          <w:highlight w:val="none"/>
        </w:rPr>
        <w:t>文批准，经</w:t>
      </w:r>
      <w:r>
        <w:rPr>
          <w:rFonts w:hint="eastAsia" w:ascii="仿宋_GB2312" w:hAnsi="仿宋_GB2312" w:eastAsia="仿宋_GB2312" w:cs="仿宋_GB2312"/>
          <w:b w:val="0"/>
          <w:bCs/>
          <w:spacing w:val="0"/>
          <w:w w:val="100"/>
          <w:position w:val="0"/>
          <w:sz w:val="32"/>
          <w:szCs w:val="32"/>
          <w:highlight w:val="none"/>
          <w:lang w:val="en-US" w:eastAsia="zh-CN"/>
        </w:rPr>
        <w:t>仁化县</w:t>
      </w:r>
      <w:r>
        <w:rPr>
          <w:rFonts w:hint="eastAsia" w:ascii="仿宋_GB2312" w:hAnsi="仿宋_GB2312" w:eastAsia="仿宋_GB2312" w:cs="仿宋_GB2312"/>
          <w:b w:val="0"/>
          <w:bCs/>
          <w:spacing w:val="0"/>
          <w:w w:val="100"/>
          <w:position w:val="0"/>
          <w:sz w:val="32"/>
          <w:szCs w:val="32"/>
          <w:highlight w:val="none"/>
        </w:rPr>
        <w:t>人民政府</w:t>
      </w:r>
      <w:r>
        <w:rPr>
          <w:rFonts w:hint="eastAsia" w:ascii="仿宋_GB2312" w:hAnsi="仿宋_GB2312" w:eastAsia="仿宋_GB2312" w:cs="仿宋_GB2312"/>
          <w:b w:val="0"/>
          <w:bCs/>
          <w:spacing w:val="0"/>
          <w:w w:val="100"/>
          <w:position w:val="0"/>
          <w:sz w:val="32"/>
          <w:szCs w:val="32"/>
          <w:highlight w:val="none"/>
        </w:rPr>
        <w:t>同意，现将征地补偿安置事项公告如下：</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ascii="黑体" w:hAnsi="黑体" w:eastAsia="黑体" w:cs="黑体"/>
          <w:b w:val="0"/>
          <w:bCs/>
          <w:spacing w:val="0"/>
          <w:w w:val="100"/>
          <w:position w:val="0"/>
          <w:sz w:val="32"/>
          <w:szCs w:val="32"/>
          <w:highlight w:val="none"/>
        </w:rPr>
      </w:pPr>
      <w:r>
        <w:rPr>
          <w:rFonts w:ascii="黑体" w:hAnsi="黑体" w:eastAsia="黑体" w:cs="黑体"/>
          <w:b w:val="0"/>
          <w:bCs/>
          <w:spacing w:val="0"/>
          <w:w w:val="100"/>
          <w:position w:val="0"/>
          <w:sz w:val="32"/>
          <w:szCs w:val="32"/>
          <w:highlight w:val="none"/>
        </w:rPr>
        <w:t>一、被征地村组(单位)及面积</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b w:val="0"/>
          <w:bCs/>
          <w:spacing w:val="0"/>
          <w:w w:val="100"/>
          <w:position w:val="0"/>
          <w:sz w:val="32"/>
          <w:szCs w:val="32"/>
          <w:highlight w:val="none"/>
        </w:rPr>
      </w:pPr>
      <w:r>
        <w:rPr>
          <w:rFonts w:hint="eastAsia" w:ascii="仿宋_GB2312" w:hAnsi="仿宋_GB2312" w:eastAsia="仿宋_GB2312" w:cs="仿宋_GB2312"/>
          <w:b w:val="0"/>
          <w:bCs/>
          <w:spacing w:val="0"/>
          <w:w w:val="100"/>
          <w:position w:val="0"/>
          <w:sz w:val="32"/>
          <w:szCs w:val="32"/>
          <w:highlight w:val="none"/>
        </w:rPr>
        <w:t>韶关市</w:t>
      </w:r>
      <w:r>
        <w:rPr>
          <w:rFonts w:hint="eastAsia" w:ascii="仿宋_GB2312" w:hAnsi="仿宋_GB2312" w:eastAsia="仿宋_GB2312" w:cs="仿宋_GB2312"/>
          <w:b w:val="0"/>
          <w:bCs/>
          <w:spacing w:val="0"/>
          <w:w w:val="100"/>
          <w:position w:val="0"/>
          <w:sz w:val="32"/>
          <w:szCs w:val="32"/>
          <w:highlight w:val="none"/>
          <w:lang w:eastAsia="zh-CN"/>
        </w:rPr>
        <w:t>仁化县</w:t>
      </w:r>
      <w:r>
        <w:rPr>
          <w:rFonts w:hint="eastAsia" w:ascii="仿宋_GB2312" w:hAnsi="仿宋_GB2312" w:eastAsia="仿宋_GB2312" w:cs="仿宋_GB2312"/>
          <w:b w:val="0"/>
          <w:bCs/>
          <w:spacing w:val="0"/>
          <w:w w:val="100"/>
          <w:position w:val="0"/>
          <w:sz w:val="32"/>
          <w:szCs w:val="32"/>
          <w:highlight w:val="none"/>
          <w:lang w:eastAsia="zh-CN"/>
        </w:rPr>
        <w:t>2022年度</w:t>
      </w:r>
      <w:r>
        <w:rPr>
          <w:rFonts w:hint="eastAsia" w:ascii="仿宋_GB2312" w:hAnsi="仿宋_GB2312" w:eastAsia="仿宋_GB2312" w:cs="仿宋_GB2312"/>
          <w:b w:val="0"/>
          <w:bCs/>
          <w:spacing w:val="0"/>
          <w:w w:val="100"/>
          <w:position w:val="0"/>
          <w:sz w:val="32"/>
          <w:szCs w:val="32"/>
          <w:highlight w:val="none"/>
        </w:rPr>
        <w:t>第十一批次</w:t>
      </w:r>
      <w:r>
        <w:rPr>
          <w:rFonts w:hint="eastAsia" w:ascii="仿宋_GB2312" w:hAnsi="仿宋_GB2312" w:eastAsia="仿宋_GB2312" w:cs="仿宋_GB2312"/>
          <w:b w:val="0"/>
          <w:bCs/>
          <w:spacing w:val="0"/>
          <w:w w:val="100"/>
          <w:position w:val="0"/>
          <w:sz w:val="32"/>
          <w:szCs w:val="32"/>
          <w:highlight w:val="none"/>
        </w:rPr>
        <w:t>城镇建设用地项目拟征收</w:t>
      </w:r>
      <w:r>
        <w:rPr>
          <w:rFonts w:hint="eastAsia" w:ascii="仿宋_GB2312" w:hAnsi="仿宋_GB2312" w:eastAsia="仿宋_GB2312" w:cs="仿宋_GB2312"/>
          <w:b w:val="0"/>
          <w:bCs/>
          <w:spacing w:val="0"/>
          <w:w w:val="100"/>
          <w:position w:val="0"/>
          <w:sz w:val="32"/>
          <w:szCs w:val="32"/>
          <w:highlight w:val="none"/>
        </w:rPr>
        <w:t>韶关市仁化县丹霞街道城南、中心经济联合社，中心村龙井经济合作社集体土地1.7842公顷（其中耕地0.2277公顷、园地0.4704公顷、林地0.7306公顷、其他农用地0.3555公顷）。</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黑体" w:hAnsi="黑体" w:eastAsia="黑体" w:cs="黑体"/>
          <w:b w:val="0"/>
          <w:bCs/>
          <w:spacing w:val="0"/>
          <w:w w:val="100"/>
          <w:position w:val="0"/>
          <w:sz w:val="32"/>
          <w:szCs w:val="32"/>
          <w:highlight w:val="none"/>
        </w:rPr>
      </w:pPr>
      <w:r>
        <w:rPr>
          <w:rFonts w:hint="eastAsia" w:ascii="黑体" w:hAnsi="黑体" w:eastAsia="黑体" w:cs="黑体"/>
          <w:b w:val="0"/>
          <w:bCs/>
          <w:spacing w:val="0"/>
          <w:w w:val="100"/>
          <w:position w:val="0"/>
          <w:sz w:val="32"/>
          <w:szCs w:val="32"/>
          <w:highlight w:val="none"/>
        </w:rPr>
        <w:t>二、补偿标准</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b w:val="0"/>
          <w:bCs/>
          <w:spacing w:val="0"/>
          <w:w w:val="100"/>
          <w:position w:val="0"/>
          <w:sz w:val="32"/>
          <w:szCs w:val="32"/>
          <w:highlight w:val="none"/>
        </w:rPr>
      </w:pPr>
      <w:r>
        <w:rPr>
          <w:rFonts w:hint="eastAsia" w:ascii="仿宋_GB2312" w:hAnsi="仿宋_GB2312" w:eastAsia="仿宋_GB2312" w:cs="仿宋_GB2312"/>
          <w:b w:val="0"/>
          <w:bCs/>
          <w:spacing w:val="0"/>
          <w:w w:val="100"/>
          <w:position w:val="0"/>
          <w:sz w:val="32"/>
          <w:szCs w:val="32"/>
          <w:highlight w:val="none"/>
        </w:rPr>
        <w:t>根据《中华人民共和国土地管理法》、《广东省土地管理条例》、《广东省自然资源厅关于韶关市征收农用地区片综合地价成果的批复》(粤自然资函〔2021〕184号)和《仁化县人民政府关于公布实施征收农用地区片综合地价的公告》文件精神，土地补偿费及安置补助费的标准如下：</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b w:val="0"/>
          <w:bCs/>
          <w:spacing w:val="0"/>
          <w:w w:val="100"/>
          <w:position w:val="0"/>
          <w:sz w:val="32"/>
          <w:szCs w:val="32"/>
          <w:highlight w:val="none"/>
        </w:rPr>
      </w:pPr>
      <w:r>
        <w:rPr>
          <w:rFonts w:hint="eastAsia" w:ascii="仿宋_GB2312" w:hAnsi="仿宋_GB2312" w:eastAsia="仿宋_GB2312" w:cs="仿宋_GB2312"/>
          <w:b w:val="0"/>
          <w:bCs/>
          <w:spacing w:val="0"/>
          <w:w w:val="100"/>
          <w:position w:val="0"/>
          <w:sz w:val="32"/>
          <w:szCs w:val="32"/>
          <w:highlight w:val="none"/>
        </w:rPr>
        <w:t>一)耕地，补偿标准按</w:t>
      </w:r>
      <w:r>
        <w:rPr>
          <w:rFonts w:hint="eastAsia" w:ascii="仿宋_GB2312" w:hAnsi="仿宋_GB2312" w:eastAsia="仿宋_GB2312" w:cs="仿宋_GB2312"/>
          <w:b w:val="0"/>
          <w:bCs/>
          <w:spacing w:val="0"/>
          <w:w w:val="100"/>
          <w:position w:val="0"/>
          <w:sz w:val="32"/>
          <w:szCs w:val="32"/>
          <w:highlight w:val="none"/>
          <w:lang w:val="en-US" w:eastAsia="zh-CN"/>
        </w:rPr>
        <w:t>84.75</w:t>
      </w:r>
      <w:r>
        <w:rPr>
          <w:rFonts w:hint="eastAsia" w:ascii="仿宋_GB2312" w:hAnsi="仿宋_GB2312" w:eastAsia="仿宋_GB2312" w:cs="仿宋_GB2312"/>
          <w:b w:val="0"/>
          <w:bCs/>
          <w:spacing w:val="0"/>
          <w:w w:val="100"/>
          <w:position w:val="0"/>
          <w:sz w:val="32"/>
          <w:szCs w:val="32"/>
          <w:highlight w:val="none"/>
        </w:rPr>
        <w:t>万元/公顷计算，青苗补偿按1.2万元/公顷。</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b w:val="0"/>
          <w:bCs/>
          <w:spacing w:val="0"/>
          <w:w w:val="100"/>
          <w:position w:val="0"/>
          <w:sz w:val="32"/>
          <w:szCs w:val="32"/>
          <w:highlight w:val="none"/>
        </w:rPr>
      </w:pPr>
      <w:r>
        <w:rPr>
          <w:rFonts w:hint="eastAsia" w:ascii="仿宋_GB2312" w:hAnsi="仿宋_GB2312" w:eastAsia="仿宋_GB2312" w:cs="仿宋_GB2312"/>
          <w:b w:val="0"/>
          <w:bCs/>
          <w:spacing w:val="0"/>
          <w:w w:val="100"/>
          <w:position w:val="0"/>
          <w:sz w:val="32"/>
          <w:szCs w:val="32"/>
          <w:highlight w:val="none"/>
        </w:rPr>
        <w:t>(二)园地，补偿标准按</w:t>
      </w:r>
      <w:r>
        <w:rPr>
          <w:rFonts w:hint="eastAsia" w:ascii="仿宋_GB2312" w:hAnsi="仿宋_GB2312" w:eastAsia="仿宋_GB2312" w:cs="仿宋_GB2312"/>
          <w:b w:val="0"/>
          <w:bCs/>
          <w:spacing w:val="0"/>
          <w:w w:val="100"/>
          <w:position w:val="0"/>
          <w:sz w:val="32"/>
          <w:szCs w:val="32"/>
          <w:highlight w:val="none"/>
          <w:lang w:val="en-US" w:eastAsia="zh-CN"/>
        </w:rPr>
        <w:t>63.5625</w:t>
      </w:r>
      <w:r>
        <w:rPr>
          <w:rFonts w:hint="eastAsia" w:ascii="仿宋_GB2312" w:hAnsi="仿宋_GB2312" w:eastAsia="仿宋_GB2312" w:cs="仿宋_GB2312"/>
          <w:b w:val="0"/>
          <w:bCs/>
          <w:spacing w:val="0"/>
          <w:w w:val="100"/>
          <w:position w:val="0"/>
          <w:sz w:val="32"/>
          <w:szCs w:val="32"/>
          <w:highlight w:val="none"/>
        </w:rPr>
        <w:t>万元/公顷计算，青苗补偿6万元/公顷。</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b w:val="0"/>
          <w:bCs/>
          <w:spacing w:val="0"/>
          <w:w w:val="100"/>
          <w:position w:val="0"/>
          <w:sz w:val="32"/>
          <w:szCs w:val="32"/>
          <w:highlight w:val="none"/>
        </w:rPr>
      </w:pPr>
      <w:r>
        <w:rPr>
          <w:rFonts w:hint="eastAsia" w:ascii="仿宋_GB2312" w:hAnsi="仿宋_GB2312" w:eastAsia="仿宋_GB2312" w:cs="仿宋_GB2312"/>
          <w:b w:val="0"/>
          <w:bCs/>
          <w:spacing w:val="0"/>
          <w:w w:val="100"/>
          <w:position w:val="0"/>
          <w:sz w:val="32"/>
          <w:szCs w:val="32"/>
          <w:highlight w:val="none"/>
        </w:rPr>
        <w:t>(三)林地，补偿标准按38.1375‬万元/公顷计算，青苗补偿1.35万元/公顷。</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b w:val="0"/>
          <w:bCs/>
          <w:spacing w:val="0"/>
          <w:w w:val="100"/>
          <w:position w:val="0"/>
          <w:sz w:val="32"/>
          <w:szCs w:val="32"/>
          <w:highlight w:val="none"/>
          <w:lang w:eastAsia="zh-CN"/>
        </w:rPr>
      </w:pPr>
      <w:r>
        <w:rPr>
          <w:rFonts w:hint="eastAsia" w:ascii="仿宋_GB2312" w:hAnsi="仿宋_GB2312" w:eastAsia="仿宋_GB2312" w:cs="仿宋_GB2312"/>
          <w:b w:val="0"/>
          <w:bCs/>
          <w:spacing w:val="0"/>
          <w:w w:val="100"/>
          <w:position w:val="0"/>
          <w:sz w:val="32"/>
          <w:szCs w:val="32"/>
          <w:highlight w:val="none"/>
          <w:lang w:eastAsia="zh-CN"/>
        </w:rPr>
        <w:t>（</w:t>
      </w:r>
      <w:r>
        <w:rPr>
          <w:rFonts w:hint="eastAsia" w:ascii="仿宋_GB2312" w:hAnsi="仿宋_GB2312" w:eastAsia="仿宋_GB2312" w:cs="仿宋_GB2312"/>
          <w:b w:val="0"/>
          <w:bCs/>
          <w:spacing w:val="0"/>
          <w:w w:val="100"/>
          <w:position w:val="0"/>
          <w:sz w:val="32"/>
          <w:szCs w:val="32"/>
          <w:highlight w:val="none"/>
          <w:lang w:val="en-US" w:eastAsia="zh-CN"/>
        </w:rPr>
        <w:t>四</w:t>
      </w:r>
      <w:r>
        <w:rPr>
          <w:rFonts w:hint="eastAsia" w:ascii="仿宋_GB2312" w:hAnsi="仿宋_GB2312" w:eastAsia="仿宋_GB2312" w:cs="仿宋_GB2312"/>
          <w:b w:val="0"/>
          <w:bCs/>
          <w:spacing w:val="0"/>
          <w:w w:val="100"/>
          <w:position w:val="0"/>
          <w:sz w:val="32"/>
          <w:szCs w:val="32"/>
          <w:highlight w:val="none"/>
          <w:lang w:eastAsia="zh-CN"/>
        </w:rPr>
        <w:t>）</w:t>
      </w:r>
      <w:r>
        <w:rPr>
          <w:rFonts w:hint="eastAsia" w:ascii="仿宋_GB2312" w:hAnsi="仿宋_GB2312" w:eastAsia="仿宋_GB2312" w:cs="仿宋_GB2312"/>
          <w:b w:val="0"/>
          <w:bCs/>
          <w:spacing w:val="0"/>
          <w:w w:val="100"/>
          <w:position w:val="0"/>
          <w:sz w:val="32"/>
          <w:szCs w:val="32"/>
          <w:highlight w:val="none"/>
          <w:lang w:val="en-US" w:eastAsia="zh-CN"/>
        </w:rPr>
        <w:t>养殖水面，土地补偿标准按84.75</w:t>
      </w:r>
      <w:r>
        <w:rPr>
          <w:rFonts w:hint="eastAsia" w:ascii="仿宋_GB2312" w:hAnsi="仿宋_GB2312" w:eastAsia="仿宋_GB2312" w:cs="仿宋_GB2312"/>
          <w:b w:val="0"/>
          <w:bCs/>
          <w:spacing w:val="0"/>
          <w:w w:val="100"/>
          <w:position w:val="0"/>
          <w:sz w:val="32"/>
          <w:szCs w:val="32"/>
          <w:highlight w:val="none"/>
        </w:rPr>
        <w:t>万元/公顷</w:t>
      </w:r>
      <w:r>
        <w:rPr>
          <w:rFonts w:hint="eastAsia" w:ascii="仿宋_GB2312" w:hAnsi="仿宋_GB2312" w:eastAsia="仿宋_GB2312" w:cs="仿宋_GB2312"/>
          <w:b w:val="0"/>
          <w:bCs/>
          <w:spacing w:val="0"/>
          <w:w w:val="100"/>
          <w:position w:val="0"/>
          <w:sz w:val="32"/>
          <w:szCs w:val="32"/>
          <w:highlight w:val="none"/>
          <w:lang w:val="en-US" w:eastAsia="zh-CN"/>
        </w:rPr>
        <w:t>计算</w:t>
      </w:r>
      <w:r>
        <w:rPr>
          <w:rFonts w:hint="eastAsia" w:ascii="仿宋_GB2312" w:hAnsi="仿宋_GB2312" w:eastAsia="仿宋_GB2312" w:cs="仿宋_GB2312"/>
          <w:b w:val="0"/>
          <w:bCs/>
          <w:spacing w:val="0"/>
          <w:w w:val="100"/>
          <w:position w:val="0"/>
          <w:sz w:val="32"/>
          <w:szCs w:val="32"/>
          <w:highlight w:val="none"/>
          <w:lang w:eastAsia="zh-CN"/>
        </w:rPr>
        <w:t>，</w:t>
      </w:r>
      <w:r>
        <w:rPr>
          <w:rFonts w:hint="eastAsia" w:ascii="仿宋_GB2312" w:hAnsi="仿宋_GB2312" w:eastAsia="仿宋_GB2312" w:cs="仿宋_GB2312"/>
          <w:b w:val="0"/>
          <w:bCs/>
          <w:spacing w:val="0"/>
          <w:w w:val="100"/>
          <w:position w:val="0"/>
          <w:sz w:val="32"/>
          <w:szCs w:val="32"/>
          <w:highlight w:val="none"/>
        </w:rPr>
        <w:t>青苗补偿</w:t>
      </w:r>
      <w:r>
        <w:rPr>
          <w:rFonts w:hint="eastAsia" w:ascii="仿宋_GB2312" w:hAnsi="仿宋_GB2312" w:eastAsia="仿宋_GB2312" w:cs="仿宋_GB2312"/>
          <w:b w:val="0"/>
          <w:bCs/>
          <w:spacing w:val="0"/>
          <w:w w:val="100"/>
          <w:position w:val="0"/>
          <w:sz w:val="32"/>
          <w:szCs w:val="32"/>
          <w:highlight w:val="none"/>
          <w:lang w:val="en-US" w:eastAsia="zh-CN"/>
        </w:rPr>
        <w:t>按1.2万元/公顷。</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b w:val="0"/>
          <w:bCs/>
          <w:spacing w:val="0"/>
          <w:w w:val="100"/>
          <w:position w:val="0"/>
          <w:sz w:val="32"/>
          <w:szCs w:val="32"/>
          <w:highlight w:val="none"/>
        </w:rPr>
      </w:pPr>
      <w:r>
        <w:rPr>
          <w:rFonts w:hint="eastAsia" w:ascii="仿宋_GB2312" w:hAnsi="仿宋_GB2312" w:eastAsia="仿宋_GB2312" w:cs="仿宋_GB2312"/>
          <w:b w:val="0"/>
          <w:bCs/>
          <w:spacing w:val="0"/>
          <w:w w:val="100"/>
          <w:position w:val="0"/>
          <w:sz w:val="32"/>
          <w:szCs w:val="32"/>
          <w:highlight w:val="none"/>
          <w:lang w:val="en-US" w:eastAsia="zh-CN"/>
        </w:rPr>
        <w:t>（五）</w:t>
      </w:r>
      <w:r>
        <w:rPr>
          <w:rFonts w:hint="eastAsia" w:ascii="仿宋_GB2312" w:hAnsi="仿宋_GB2312" w:eastAsia="仿宋_GB2312" w:cs="仿宋_GB2312"/>
          <w:b w:val="0"/>
          <w:bCs/>
          <w:spacing w:val="0"/>
          <w:w w:val="100"/>
          <w:position w:val="0"/>
          <w:sz w:val="32"/>
          <w:szCs w:val="32"/>
          <w:highlight w:val="none"/>
        </w:rPr>
        <w:t>其他农用地，补偿标准按38.1375‬万元/公顷计算，青苗补偿1.2万元/公顷。</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ascii="黑体" w:hAnsi="黑体" w:eastAsia="黑体" w:cs="黑体"/>
          <w:b w:val="0"/>
          <w:bCs/>
          <w:spacing w:val="0"/>
          <w:w w:val="100"/>
          <w:position w:val="0"/>
          <w:sz w:val="32"/>
          <w:szCs w:val="32"/>
          <w:highlight w:val="none"/>
        </w:rPr>
      </w:pPr>
      <w:r>
        <w:rPr>
          <w:rFonts w:ascii="黑体" w:hAnsi="黑体" w:eastAsia="黑体" w:cs="黑体"/>
          <w:b w:val="0"/>
          <w:bCs/>
          <w:spacing w:val="0"/>
          <w:w w:val="100"/>
          <w:position w:val="0"/>
          <w:sz w:val="32"/>
          <w:szCs w:val="32"/>
          <w:highlight w:val="none"/>
        </w:rPr>
        <w:t>三、安置情况说明</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b w:val="0"/>
          <w:bCs/>
          <w:spacing w:val="0"/>
          <w:w w:val="100"/>
          <w:position w:val="0"/>
          <w:sz w:val="32"/>
          <w:szCs w:val="32"/>
          <w:highlight w:val="none"/>
        </w:rPr>
      </w:pPr>
      <w:r>
        <w:rPr>
          <w:rFonts w:hint="eastAsia" w:ascii="仿宋_GB2312" w:hAnsi="仿宋_GB2312" w:eastAsia="仿宋_GB2312" w:cs="仿宋_GB2312"/>
          <w:b w:val="0"/>
          <w:bCs/>
          <w:spacing w:val="0"/>
          <w:w w:val="100"/>
          <w:position w:val="0"/>
          <w:sz w:val="32"/>
          <w:szCs w:val="32"/>
          <w:highlight w:val="none"/>
        </w:rPr>
        <w:t>(一)将安置补助款足额支付给土地承包者；</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b w:val="0"/>
          <w:bCs/>
          <w:spacing w:val="0"/>
          <w:w w:val="100"/>
          <w:position w:val="0"/>
          <w:sz w:val="32"/>
          <w:szCs w:val="32"/>
          <w:highlight w:val="none"/>
        </w:rPr>
      </w:pPr>
      <w:r>
        <w:rPr>
          <w:rFonts w:hint="eastAsia" w:ascii="仿宋_GB2312" w:hAnsi="仿宋_GB2312" w:eastAsia="仿宋_GB2312" w:cs="仿宋_GB2312"/>
          <w:b w:val="0"/>
          <w:bCs/>
          <w:spacing w:val="0"/>
          <w:w w:val="100"/>
          <w:position w:val="0"/>
          <w:sz w:val="32"/>
          <w:szCs w:val="32"/>
          <w:highlight w:val="none"/>
        </w:rPr>
        <w:t>(二)根据《广东省人民政府办公厅关于加强征收农村集体土地留用地安置管理工作的意见》(粤府办〔2016〕30号)精神，按征地面积1</w:t>
      </w:r>
      <w:r>
        <w:rPr>
          <w:rFonts w:hint="eastAsia" w:ascii="仿宋_GB2312" w:hAnsi="仿宋_GB2312" w:eastAsia="仿宋_GB2312" w:cs="仿宋_GB2312"/>
          <w:b w:val="0"/>
          <w:bCs/>
          <w:spacing w:val="0"/>
          <w:w w:val="100"/>
          <w:position w:val="0"/>
          <w:sz w:val="32"/>
          <w:szCs w:val="32"/>
          <w:highlight w:val="none"/>
          <w:lang w:val="en-US" w:eastAsia="zh-CN"/>
        </w:rPr>
        <w:t>0</w:t>
      </w:r>
      <w:r>
        <w:rPr>
          <w:rFonts w:hint="eastAsia" w:ascii="仿宋_GB2312" w:hAnsi="仿宋_GB2312" w:eastAsia="仿宋_GB2312" w:cs="仿宋_GB2312"/>
          <w:b w:val="0"/>
          <w:bCs/>
          <w:spacing w:val="0"/>
          <w:w w:val="100"/>
          <w:position w:val="0"/>
          <w:sz w:val="32"/>
          <w:szCs w:val="32"/>
          <w:highlight w:val="none"/>
        </w:rPr>
        <w:t>%的比例折算货币给被征地村集体、以折算等价物业置换补偿方式进行留用地安置。</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ascii="黑体" w:hAnsi="黑体" w:eastAsia="黑体" w:cs="黑体"/>
          <w:b w:val="0"/>
          <w:bCs/>
          <w:spacing w:val="0"/>
          <w:w w:val="100"/>
          <w:position w:val="0"/>
          <w:sz w:val="32"/>
          <w:szCs w:val="32"/>
          <w:highlight w:val="none"/>
        </w:rPr>
      </w:pPr>
      <w:r>
        <w:rPr>
          <w:rFonts w:ascii="黑体" w:hAnsi="黑体" w:eastAsia="黑体" w:cs="黑体"/>
          <w:b w:val="0"/>
          <w:bCs/>
          <w:spacing w:val="0"/>
          <w:w w:val="100"/>
          <w:position w:val="0"/>
          <w:sz w:val="32"/>
          <w:szCs w:val="32"/>
          <w:highlight w:val="none"/>
        </w:rPr>
        <w:t>四、对违章建筑物和超过批准使用期限的临时建筑物不作补偿。</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b w:val="0"/>
          <w:bCs/>
          <w:spacing w:val="0"/>
          <w:w w:val="100"/>
          <w:position w:val="0"/>
          <w:sz w:val="32"/>
          <w:szCs w:val="32"/>
          <w:highlight w:val="none"/>
        </w:rPr>
      </w:pPr>
      <w:r>
        <w:rPr>
          <w:rFonts w:hint="eastAsia" w:ascii="仿宋_GB2312" w:hAnsi="仿宋_GB2312" w:eastAsia="仿宋_GB2312" w:cs="仿宋_GB2312"/>
          <w:b w:val="0"/>
          <w:bCs/>
          <w:spacing w:val="0"/>
          <w:w w:val="100"/>
          <w:position w:val="0"/>
          <w:sz w:val="32"/>
          <w:szCs w:val="32"/>
          <w:highlight w:val="none"/>
        </w:rPr>
        <w:t>特此公告。</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0" w:firstLineChars="0"/>
        <w:jc w:val="both"/>
        <w:textAlignment w:val="baseline"/>
        <w:outlineLvl w:val="9"/>
        <w:rPr>
          <w:rFonts w:hint="eastAsia" w:ascii="仿宋_GB2312" w:hAnsi="仿宋_GB2312" w:eastAsia="仿宋_GB2312" w:cs="仿宋_GB2312"/>
          <w:b w:val="0"/>
          <w:bCs/>
          <w:spacing w:val="0"/>
          <w:w w:val="100"/>
          <w:position w:val="0"/>
          <w:sz w:val="32"/>
          <w:szCs w:val="32"/>
          <w:highlight w:val="none"/>
        </w:rPr>
      </w:pP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0" w:firstLineChars="0"/>
        <w:jc w:val="right"/>
        <w:textAlignment w:val="baseline"/>
        <w:outlineLvl w:val="9"/>
        <w:rPr>
          <w:rFonts w:hint="eastAsia" w:ascii="仿宋_GB2312" w:hAnsi="仿宋_GB2312" w:eastAsia="仿宋_GB2312" w:cs="仿宋_GB2312"/>
          <w:b w:val="0"/>
          <w:bCs/>
          <w:spacing w:val="0"/>
          <w:w w:val="100"/>
          <w:position w:val="0"/>
          <w:sz w:val="32"/>
          <w:szCs w:val="32"/>
          <w:highlight w:val="none"/>
        </w:rPr>
      </w:pPr>
      <w:r>
        <w:rPr>
          <w:rFonts w:hint="eastAsia" w:ascii="仿宋_GB2312" w:hAnsi="仿宋_GB2312" w:eastAsia="仿宋_GB2312" w:cs="仿宋_GB2312"/>
          <w:b w:val="0"/>
          <w:bCs/>
          <w:spacing w:val="0"/>
          <w:w w:val="100"/>
          <w:position w:val="0"/>
          <w:sz w:val="32"/>
          <w:szCs w:val="32"/>
          <w:highlight w:val="none"/>
          <w:lang w:val="en-US" w:eastAsia="zh-CN"/>
        </w:rPr>
        <w:t>仁化县</w:t>
      </w:r>
      <w:r>
        <w:rPr>
          <w:rFonts w:hint="eastAsia" w:ascii="仿宋_GB2312" w:hAnsi="仿宋_GB2312" w:eastAsia="仿宋_GB2312" w:cs="仿宋_GB2312"/>
          <w:b w:val="0"/>
          <w:bCs/>
          <w:spacing w:val="0"/>
          <w:w w:val="100"/>
          <w:position w:val="0"/>
          <w:sz w:val="32"/>
          <w:szCs w:val="32"/>
          <w:highlight w:val="none"/>
        </w:rPr>
        <w:t>自然资源局</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0" w:firstLineChars="0"/>
        <w:jc w:val="right"/>
        <w:textAlignment w:val="baseline"/>
        <w:outlineLvl w:val="9"/>
        <w:rPr>
          <w:rFonts w:hint="eastAsia" w:ascii="仿宋_GB2312" w:hAnsi="仿宋_GB2312" w:eastAsia="仿宋_GB2312" w:cs="仿宋_GB2312"/>
          <w:b w:val="0"/>
          <w:bCs/>
          <w:spacing w:val="0"/>
          <w:w w:val="100"/>
          <w:position w:val="0"/>
          <w:sz w:val="32"/>
          <w:szCs w:val="32"/>
          <w:highlight w:val="none"/>
        </w:rPr>
      </w:pPr>
      <w:r>
        <w:rPr>
          <w:rFonts w:hint="eastAsia" w:ascii="仿宋_GB2312" w:hAnsi="仿宋_GB2312" w:eastAsia="仿宋_GB2312" w:cs="仿宋_GB2312"/>
          <w:b w:val="0"/>
          <w:bCs/>
          <w:spacing w:val="0"/>
          <w:w w:val="100"/>
          <w:position w:val="0"/>
          <w:sz w:val="32"/>
          <w:szCs w:val="32"/>
          <w:highlight w:val="none"/>
        </w:rPr>
        <w:t>2022年1</w:t>
      </w:r>
      <w:r>
        <w:rPr>
          <w:rFonts w:hint="eastAsia" w:ascii="仿宋_GB2312" w:hAnsi="仿宋_GB2312" w:eastAsia="仿宋_GB2312" w:cs="仿宋_GB2312"/>
          <w:b w:val="0"/>
          <w:bCs/>
          <w:spacing w:val="0"/>
          <w:w w:val="100"/>
          <w:position w:val="0"/>
          <w:sz w:val="32"/>
          <w:szCs w:val="32"/>
          <w:highlight w:val="none"/>
          <w:lang w:val="en-US" w:eastAsia="zh-CN"/>
        </w:rPr>
        <w:t>2</w:t>
      </w:r>
      <w:r>
        <w:rPr>
          <w:rFonts w:hint="eastAsia" w:ascii="仿宋_GB2312" w:hAnsi="仿宋_GB2312" w:eastAsia="仿宋_GB2312" w:cs="仿宋_GB2312"/>
          <w:b w:val="0"/>
          <w:bCs/>
          <w:spacing w:val="0"/>
          <w:w w:val="100"/>
          <w:position w:val="0"/>
          <w:sz w:val="32"/>
          <w:szCs w:val="32"/>
          <w:highlight w:val="none"/>
        </w:rPr>
        <w:t>月</w:t>
      </w:r>
      <w:r>
        <w:rPr>
          <w:rFonts w:hint="eastAsia" w:ascii="仿宋_GB2312" w:hAnsi="仿宋_GB2312" w:eastAsia="仿宋_GB2312" w:cs="仿宋_GB2312"/>
          <w:b w:val="0"/>
          <w:bCs/>
          <w:spacing w:val="0"/>
          <w:w w:val="100"/>
          <w:position w:val="0"/>
          <w:sz w:val="32"/>
          <w:szCs w:val="32"/>
          <w:highlight w:val="none"/>
          <w:lang w:val="en-US" w:eastAsia="zh-CN"/>
        </w:rPr>
        <w:t>7</w:t>
      </w:r>
      <w:r>
        <w:rPr>
          <w:rFonts w:hint="eastAsia" w:ascii="仿宋_GB2312" w:hAnsi="仿宋_GB2312" w:eastAsia="仿宋_GB2312" w:cs="仿宋_GB2312"/>
          <w:b w:val="0"/>
          <w:bCs/>
          <w:spacing w:val="0"/>
          <w:w w:val="100"/>
          <w:position w:val="0"/>
          <w:sz w:val="32"/>
          <w:szCs w:val="32"/>
          <w:highlight w:val="none"/>
        </w:rPr>
        <w:t>日</w:t>
      </w:r>
    </w:p>
    <w:bookmarkEnd w:id="0"/>
    <w:sectPr>
      <w:footerReference r:id="rId5" w:type="default"/>
      <w:pgSz w:w="12070" w:h="16950"/>
      <w:pgMar w:top="1077" w:right="1474" w:bottom="1157" w:left="1588" w:header="0" w:footer="94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jc w:val="right"/>
      <w:rPr>
        <w:rFonts w:ascii="宋体" w:hAnsi="宋体" w:eastAsia="宋体" w:cs="宋体"/>
        <w:sz w:val="30"/>
        <w:szCs w:val="30"/>
      </w:rPr>
    </w:pPr>
    <w:r>
      <w:rPr>
        <w:rFonts w:ascii="宋体" w:hAnsi="宋体" w:eastAsia="宋体" w:cs="宋体"/>
        <w:spacing w:val="-18"/>
        <w:sz w:val="30"/>
        <w:szCs w:val="30"/>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TBjNDBlMWUxYzExODc4Y2I0ZTIwNTk5YTUyN2Q5ZDgifQ=="/>
  </w:docVars>
  <w:rsids>
    <w:rsidRoot w:val="00000000"/>
    <w:rsid w:val="03620568"/>
    <w:rsid w:val="3A7719EC"/>
    <w:rsid w:val="5AF648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682</Words>
  <Characters>773</Characters>
  <TotalTime>1</TotalTime>
  <ScaleCrop>false</ScaleCrop>
  <LinksUpToDate>false</LinksUpToDate>
  <CharactersWithSpaces>773</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2022-12-05T14:46:00Z</dcterms:created>
  <dc:creator>Kingsoft-PDF</dc:creator>
  <cp:lastModifiedBy>wgq</cp:lastModifiedBy>
  <cp:lastPrinted>2022-12-06T01:45:51Z</cp:lastPrinted>
  <dcterms:modified xsi:type="dcterms:W3CDTF">2022-12-06T01:58:39Z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2022-12-05T14:46:42Z</vt:filetime>
  </property>
  <property fmtid="{D5CDD505-2E9C-101B-9397-08002B2CF9AE}" pid="4" name="UsrData">
    <vt:lpwstr>638d93c7c1ea6f0016ee590e</vt:lpwstr>
  </property>
  <property fmtid="{D5CDD505-2E9C-101B-9397-08002B2CF9AE}" pid="5" name="KSOProductBuildVer">
    <vt:lpwstr>2052-11.1.0.12763</vt:lpwstr>
  </property>
  <property fmtid="{D5CDD505-2E9C-101B-9397-08002B2CF9AE}" pid="6" name="ICV">
    <vt:lpwstr>C094B072FF4F46B6BFE8CD2EA6849C4D</vt:lpwstr>
  </property>
</Properties>
</file>